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97BF0" w14:textId="77777777" w:rsidR="00AC1325" w:rsidRPr="007D6102" w:rsidRDefault="00AC1325" w:rsidP="00AC1325">
      <w:pPr>
        <w:spacing w:line="360" w:lineRule="auto"/>
        <w:rPr>
          <w:rFonts w:cs="Arial"/>
        </w:rPr>
      </w:pPr>
      <w:r w:rsidRPr="007D6102">
        <w:rPr>
          <w:rFonts w:cs="Arial"/>
        </w:rPr>
        <w:t>Supplementary figures</w:t>
      </w:r>
    </w:p>
    <w:p w14:paraId="38545757" w14:textId="77777777" w:rsidR="00AC1325" w:rsidRDefault="00AC1325" w:rsidP="00AC1325">
      <w:pPr>
        <w:keepNext/>
        <w:spacing w:line="360" w:lineRule="auto"/>
      </w:pPr>
      <w:r>
        <w:rPr>
          <w:rFonts w:cs="Arial"/>
          <w:noProof/>
          <w14:ligatures w14:val="standardContextual"/>
        </w:rPr>
        <w:drawing>
          <wp:inline distT="0" distB="0" distL="0" distR="0" wp14:anchorId="1747AD27" wp14:editId="33CA5F40">
            <wp:extent cx="5728335" cy="2909570"/>
            <wp:effectExtent l="0" t="0" r="0" b="0"/>
            <wp:docPr id="734907534" name="Picture 734907534" descr="A group of maps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07534" name="Picture 734907534" descr="A group of maps of australi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28335" cy="2909570"/>
                    </a:xfrm>
                    <a:prstGeom prst="rect">
                      <a:avLst/>
                    </a:prstGeom>
                  </pic:spPr>
                </pic:pic>
              </a:graphicData>
            </a:graphic>
          </wp:inline>
        </w:drawing>
      </w:r>
    </w:p>
    <w:p w14:paraId="16A78471" w14:textId="6DD0066A" w:rsidR="00AC1325" w:rsidRDefault="00AC1325" w:rsidP="00AC1325">
      <w:pPr>
        <w:pStyle w:val="Caption"/>
      </w:pPr>
      <w:r>
        <w:t xml:space="preserve">Supplementary figure </w:t>
      </w:r>
      <w:fldSimple w:instr=" SEQ Supplementary_figure \* ARABIC ">
        <w:r>
          <w:rPr>
            <w:noProof/>
          </w:rPr>
          <w:t>1</w:t>
        </w:r>
      </w:fldSimple>
      <w:r>
        <w:t xml:space="preserve">: </w:t>
      </w:r>
      <w:r w:rsidRPr="007D6102">
        <w:rPr>
          <w:rFonts w:cs="Arial"/>
        </w:rPr>
        <w:t xml:space="preserve">Tagging effort of kingfish in comparison to all other marine species tagged in NSW DPI GFTP. The total number of releases of kingfish </w:t>
      </w:r>
      <w:r>
        <w:rPr>
          <w:rFonts w:cs="Arial"/>
        </w:rPr>
        <w:t xml:space="preserve">(A) </w:t>
      </w:r>
      <w:r w:rsidRPr="007D6102">
        <w:rPr>
          <w:rFonts w:cs="Arial"/>
        </w:rPr>
        <w:t>and other species (</w:t>
      </w:r>
      <w:r>
        <w:rPr>
          <w:rFonts w:cs="Arial"/>
        </w:rPr>
        <w:t>B</w:t>
      </w:r>
      <w:r w:rsidRPr="007D6102">
        <w:rPr>
          <w:rFonts w:cs="Arial"/>
        </w:rPr>
        <w:t xml:space="preserve">) are grouped into 1-degree latitude- longitude grids, as well as the proportion of releases </w:t>
      </w:r>
      <w:r>
        <w:rPr>
          <w:rFonts w:cs="Arial"/>
        </w:rPr>
        <w:t xml:space="preserve">of kingfish </w:t>
      </w:r>
      <w:r w:rsidRPr="007D6102">
        <w:rPr>
          <w:rFonts w:cs="Arial"/>
        </w:rPr>
        <w:t>(</w:t>
      </w:r>
      <w:r>
        <w:rPr>
          <w:rFonts w:cs="Arial"/>
        </w:rPr>
        <w:t>C</w:t>
      </w:r>
      <w:r w:rsidRPr="007D6102">
        <w:rPr>
          <w:rFonts w:cs="Arial"/>
        </w:rPr>
        <w:t>) that occurred in each grid out of the total number of kingfish</w:t>
      </w:r>
      <w:r w:rsidR="00023535">
        <w:rPr>
          <w:rFonts w:cs="Arial"/>
        </w:rPr>
        <w:t xml:space="preserve"> tagged throughout the duration of the GFTP (1974-2022) analysed within this study. To directly compare the proportion of kingfish released in each 1-degree latitude-longitude grid to the tagging effort of other species, the proportion of all other species targeted in the study, in relation to the total number of species (excluding kingfish) that were tagged from 1974-2022 is also displayed (D).</w:t>
      </w:r>
    </w:p>
    <w:p w14:paraId="3390B121" w14:textId="77777777" w:rsidR="00AC1325" w:rsidRDefault="00AC1325" w:rsidP="00AC1325">
      <w:pPr>
        <w:keepNext/>
      </w:pPr>
      <w:r w:rsidRPr="007D6102">
        <w:rPr>
          <w:rFonts w:cs="Arial"/>
          <w:noProof/>
          <w14:ligatures w14:val="standardContextual"/>
        </w:rPr>
        <w:drawing>
          <wp:inline distT="0" distB="0" distL="0" distR="0" wp14:anchorId="75B4E8EC" wp14:editId="38589B4C">
            <wp:extent cx="5728335" cy="3634740"/>
            <wp:effectExtent l="0" t="0" r="0" b="0"/>
            <wp:docPr id="1008367002" name="Picture 10083670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7002" name="Picture 6"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8335" cy="3634740"/>
                    </a:xfrm>
                    <a:prstGeom prst="rect">
                      <a:avLst/>
                    </a:prstGeom>
                  </pic:spPr>
                </pic:pic>
              </a:graphicData>
            </a:graphic>
          </wp:inline>
        </w:drawing>
      </w:r>
    </w:p>
    <w:p w14:paraId="50E7FCCE" w14:textId="77777777" w:rsidR="00AC1325" w:rsidRDefault="00AC1325" w:rsidP="00AC1325">
      <w:pPr>
        <w:pStyle w:val="Caption"/>
        <w:rPr>
          <w:rFonts w:cs="Arial"/>
        </w:rPr>
      </w:pPr>
      <w:r>
        <w:t xml:space="preserve">Supplementary figure </w:t>
      </w:r>
      <w:fldSimple w:instr=" SEQ Supplementary_figure \* ARABIC ">
        <w:r>
          <w:rPr>
            <w:noProof/>
          </w:rPr>
          <w:t>2</w:t>
        </w:r>
      </w:fldSimple>
      <w:r>
        <w:t xml:space="preserve">: </w:t>
      </w:r>
      <w:r w:rsidRPr="007D6102">
        <w:rPr>
          <w:rFonts w:cs="Arial"/>
        </w:rPr>
        <w:t>Number of kingfish that were released each month in either the NSW or NZ GFTP. Releases are grouped by the jurisdiction that the fish was released in, as well as the size of the fish at the time of release.</w:t>
      </w:r>
    </w:p>
    <w:p w14:paraId="6EDA3F0E" w14:textId="77777777" w:rsidR="00AC1325" w:rsidRDefault="00AC1325" w:rsidP="00AC1325">
      <w:pPr>
        <w:keepNext/>
        <w:spacing w:line="360" w:lineRule="auto"/>
      </w:pPr>
      <w:r w:rsidRPr="007D6102">
        <w:rPr>
          <w:rFonts w:cs="Arial"/>
          <w:noProof/>
          <w14:ligatures w14:val="standardContextual"/>
        </w:rPr>
        <w:lastRenderedPageBreak/>
        <w:drawing>
          <wp:inline distT="0" distB="0" distL="0" distR="0" wp14:anchorId="3A4A8C4D" wp14:editId="2D621FF7">
            <wp:extent cx="5728335" cy="3289935"/>
            <wp:effectExtent l="0" t="0" r="0" b="0"/>
            <wp:docPr id="1560480278" name="Picture 1560480278"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80278" name="Picture 1560480278" descr="A graph of different colo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8335" cy="3289935"/>
                    </a:xfrm>
                    <a:prstGeom prst="rect">
                      <a:avLst/>
                    </a:prstGeom>
                  </pic:spPr>
                </pic:pic>
              </a:graphicData>
            </a:graphic>
          </wp:inline>
        </w:drawing>
      </w:r>
    </w:p>
    <w:p w14:paraId="45B1DC38" w14:textId="77777777" w:rsidR="00AC1325" w:rsidRPr="00BE7337" w:rsidRDefault="00AC1325" w:rsidP="00AC1325">
      <w:pPr>
        <w:pStyle w:val="Caption"/>
        <w:rPr>
          <w:rFonts w:cs="Arial"/>
        </w:rPr>
      </w:pPr>
      <w:r>
        <w:t xml:space="preserve">Supplementary figure </w:t>
      </w:r>
      <w:fldSimple w:instr=" SEQ Supplementary_figure \* ARABIC ">
        <w:r>
          <w:rPr>
            <w:noProof/>
          </w:rPr>
          <w:t>3</w:t>
        </w:r>
      </w:fldSimple>
      <w:r>
        <w:t xml:space="preserve">: </w:t>
      </w:r>
      <w:r w:rsidRPr="007D6102">
        <w:rPr>
          <w:rFonts w:cs="Arial"/>
        </w:rPr>
        <w:t>Water temperature (</w:t>
      </w:r>
      <w:r w:rsidRPr="007D6102">
        <w:rPr>
          <w:rFonts w:ascii="Symbol" w:eastAsia="Symbol" w:hAnsi="Symbol" w:cs="Symbol"/>
        </w:rPr>
        <w:t>°</w:t>
      </w:r>
      <w:r w:rsidRPr="007D6102">
        <w:rPr>
          <w:rFonts w:cs="Arial"/>
        </w:rPr>
        <w:t xml:space="preserve">C) at the time of release and recapture. Water temperature is modelled for 2.5 metres depth for each release and recapture location using BRAN2020 ocean reanalysis models </w:t>
      </w:r>
      <w:r w:rsidRPr="007D6102">
        <w:rPr>
          <w:rFonts w:cs="Arial"/>
        </w:rPr>
        <w:fldChar w:fldCharType="begin"/>
      </w:r>
      <w:r>
        <w:rPr>
          <w:rFonts w:cs="Arial"/>
        </w:rPr>
        <w:instrText xml:space="preserve"> ADDIN EN.CITE &lt;EndNote&gt;&lt;Cite&gt;&lt;Author&gt;Chamberlain&lt;/Author&gt;&lt;Year&gt;2021&lt;/Year&gt;&lt;RecNum&gt;119&lt;/RecNum&gt;&lt;DisplayText&gt;(Chamberlain et al. 2021b)&lt;/DisplayText&gt;&lt;record&gt;&lt;rec-number&gt;119&lt;/rec-number&gt;&lt;foreign-keys&gt;&lt;key app="EN" db-id="xe009edd8edvxietr22599ex2rrwvdxwa525" timestamp="1685061221"&gt;119&lt;/key&gt;&lt;/foreign-keys&gt;&lt;ref-type name="Journal Article"&gt;17&lt;/ref-type&gt;&lt;contributors&gt;&lt;authors&gt;&lt;author&gt;Chamberlain, M. A.&lt;/author&gt;&lt;author&gt;Oke, P. R.&lt;/author&gt;&lt;author&gt;Fiedler, R. A. S.&lt;/author&gt;&lt;author&gt;Beggs, H. M.&lt;/author&gt;&lt;author&gt;Brassington, G. B.&lt;/author&gt;&lt;author&gt;Divakaran, P.&lt;/author&gt;&lt;/authors&gt;&lt;/contributors&gt;&lt;titles&gt;&lt;title&gt;Next generation of Bluelink ocean reanalysis with multiscale data assimilation: BRAN2020&lt;/title&gt;&lt;secondary-title&gt;Earth Syst. Sci. Data&lt;/secondary-title&gt;&lt;/titles&gt;&lt;periodical&gt;&lt;full-title&gt;Earth Syst. Sci. Data&lt;/full-title&gt;&lt;/periodical&gt;&lt;pages&gt;5663-5688&lt;/pages&gt;&lt;volume&gt;13&lt;/volume&gt;&lt;number&gt;12&lt;/number&gt;&lt;dates&gt;&lt;year&gt;2021&lt;/year&gt;&lt;/dates&gt;&lt;publisher&gt;Copernicus Publications&lt;/publisher&gt;&lt;isbn&gt;1866-3516&lt;/isbn&gt;&lt;urls&gt;&lt;related-urls&gt;&lt;url&gt;https://essd.copernicus.org/articles/13/5663/2021/&lt;/url&gt;&lt;/related-urls&gt;&lt;/urls&gt;&lt;electronic-resource-num&gt;10.5194/essd-13-5663-2021&lt;/electronic-resource-num&gt;&lt;/record&gt;&lt;/Cite&gt;&lt;/EndNote&gt;</w:instrText>
      </w:r>
      <w:r w:rsidRPr="007D6102">
        <w:rPr>
          <w:rFonts w:cs="Arial"/>
        </w:rPr>
        <w:fldChar w:fldCharType="separate"/>
      </w:r>
      <w:r>
        <w:rPr>
          <w:rFonts w:cs="Arial"/>
          <w:noProof/>
        </w:rPr>
        <w:t>(Chamberlain et al. 2021b)</w:t>
      </w:r>
      <w:r w:rsidRPr="007D6102">
        <w:rPr>
          <w:rFonts w:cs="Arial"/>
        </w:rPr>
        <w:fldChar w:fldCharType="end"/>
      </w:r>
      <w:r w:rsidRPr="007D6102">
        <w:rPr>
          <w:rFonts w:cs="Arial"/>
        </w:rPr>
        <w:t>.</w:t>
      </w:r>
    </w:p>
    <w:p w14:paraId="535A2BFB" w14:textId="77777777" w:rsidR="00AC1325" w:rsidRDefault="00AC1325" w:rsidP="00AC1325">
      <w:pPr>
        <w:pStyle w:val="Caption"/>
        <w:keepNext/>
      </w:pPr>
      <w:r>
        <w:rPr>
          <w:rFonts w:cs="Arial"/>
          <w:noProof/>
          <w14:ligatures w14:val="standardContextual"/>
        </w:rPr>
        <w:drawing>
          <wp:inline distT="0" distB="0" distL="0" distR="0" wp14:anchorId="504DE663" wp14:editId="578C3171">
            <wp:extent cx="5728335" cy="4391025"/>
            <wp:effectExtent l="0" t="0" r="0" b="3175"/>
            <wp:docPr id="925119818" name="Picture 9251198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9818" name="Picture 925119818" descr="A screenshot of a graph&#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8335" cy="4391025"/>
                    </a:xfrm>
                    <a:prstGeom prst="rect">
                      <a:avLst/>
                    </a:prstGeom>
                  </pic:spPr>
                </pic:pic>
              </a:graphicData>
            </a:graphic>
          </wp:inline>
        </w:drawing>
      </w:r>
    </w:p>
    <w:p w14:paraId="45561BA4" w14:textId="77777777" w:rsidR="00AC1325" w:rsidRDefault="00AC1325" w:rsidP="00AC1325">
      <w:pPr>
        <w:pStyle w:val="Caption"/>
        <w:rPr>
          <w:rFonts w:cs="Arial"/>
        </w:rPr>
      </w:pPr>
      <w:r>
        <w:t xml:space="preserve">Supplementary figure </w:t>
      </w:r>
      <w:fldSimple w:instr=" SEQ Supplementary_figure \* ARABIC ">
        <w:r>
          <w:rPr>
            <w:noProof/>
          </w:rPr>
          <w:t>4</w:t>
        </w:r>
      </w:fldSimple>
      <w:r>
        <w:t xml:space="preserve">: </w:t>
      </w:r>
      <w:r w:rsidRPr="67037F31">
        <w:rPr>
          <w:rFonts w:cs="Arial"/>
        </w:rPr>
        <w:t xml:space="preserve">Connectivity matrices based on the movements of kingfish. Movements of kingfish are identified through the release location (y-axis) and the recapture location (x-axis). Numbers show the proportion of releases from each bioregion that were recaptured in each respective bioregion. Combinations of release and </w:t>
      </w:r>
      <w:r w:rsidRPr="67037F31">
        <w:rPr>
          <w:rFonts w:cs="Arial"/>
        </w:rPr>
        <w:lastRenderedPageBreak/>
        <w:t>recapture bioregions where connectivity was not observed through either GFTP remain blank. The three NA squares indicate that no kingfish released as part of either GFTP was eventually recaptured, however those bioregions did have kingfish recaptured in them (hence they are displayed on both axis for ease of interpretation of results). Lighter coloured squares indicate higher level of connectivity between two bioregions, while dark coloured squares indicate there was some connectivity observed.</w:t>
      </w:r>
    </w:p>
    <w:p w14:paraId="136F4C28" w14:textId="77777777" w:rsidR="00AC1325" w:rsidRDefault="00AC1325" w:rsidP="00AC1325">
      <w:pPr>
        <w:keepNext/>
      </w:pPr>
      <w:r>
        <w:rPr>
          <w:rFonts w:cs="Arial"/>
          <w:noProof/>
          <w14:ligatures w14:val="standardContextual"/>
        </w:rPr>
        <w:drawing>
          <wp:inline distT="0" distB="0" distL="0" distR="0" wp14:anchorId="38518ED9" wp14:editId="2BE1E9A8">
            <wp:extent cx="5728335" cy="4129405"/>
            <wp:effectExtent l="0" t="0" r="0" b="0"/>
            <wp:docPr id="248567384" name="Picture 248567384"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67384" name="Picture 9" descr="A graph of different colored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8335" cy="4129405"/>
                    </a:xfrm>
                    <a:prstGeom prst="rect">
                      <a:avLst/>
                    </a:prstGeom>
                  </pic:spPr>
                </pic:pic>
              </a:graphicData>
            </a:graphic>
          </wp:inline>
        </w:drawing>
      </w:r>
    </w:p>
    <w:p w14:paraId="2FC94B63" w14:textId="77777777" w:rsidR="00AC1325" w:rsidRPr="00BE7337" w:rsidRDefault="00AC1325" w:rsidP="00AC1325">
      <w:pPr>
        <w:pStyle w:val="Caption"/>
        <w:rPr>
          <w:rFonts w:cs="Arial"/>
        </w:rPr>
      </w:pPr>
      <w:r>
        <w:t xml:space="preserve">Supplementary figure </w:t>
      </w:r>
      <w:fldSimple w:instr=" SEQ Supplementary_figure \* ARABIC ">
        <w:r>
          <w:rPr>
            <w:noProof/>
          </w:rPr>
          <w:t>5</w:t>
        </w:r>
      </w:fldSimple>
      <w:r>
        <w:t xml:space="preserve">: </w:t>
      </w:r>
      <w:r w:rsidRPr="67037F31">
        <w:rPr>
          <w:rFonts w:cs="Arial"/>
        </w:rPr>
        <w:t>Connectivity matrices based on the movements of kingfish. Movements of kingfish are identified through the release location (y-axis) and the recapture location (x-axis). Numbers show the proportion of releases from each state jurisdiction that were recaptured in each respective jurisdiction. Combinations of release and recapture jurisdictions where connectivity was not observed through either GFTP remain blank. Lighter coloured squares indicate higher level of connectivity between two bioregions, while dark coloured squares indicate there was some connectivity observed.</w:t>
      </w:r>
    </w:p>
    <w:p w14:paraId="585DD8EC" w14:textId="77777777" w:rsidR="00AC1325" w:rsidRDefault="00AC1325" w:rsidP="00AC1325">
      <w:pPr>
        <w:keepNext/>
      </w:pPr>
      <w:r>
        <w:rPr>
          <w:rFonts w:cs="Arial"/>
          <w:noProof/>
          <w14:ligatures w14:val="standardContextual"/>
        </w:rPr>
        <w:lastRenderedPageBreak/>
        <w:drawing>
          <wp:inline distT="0" distB="0" distL="0" distR="0" wp14:anchorId="14CDAF2C" wp14:editId="013D729A">
            <wp:extent cx="5728335" cy="3667125"/>
            <wp:effectExtent l="0" t="0" r="0" b="3175"/>
            <wp:docPr id="800597003" name="Picture 800597003" descr="A map of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7003" name="Picture 800597003" descr="A map of different continen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8335" cy="3667125"/>
                    </a:xfrm>
                    <a:prstGeom prst="rect">
                      <a:avLst/>
                    </a:prstGeom>
                  </pic:spPr>
                </pic:pic>
              </a:graphicData>
            </a:graphic>
          </wp:inline>
        </w:drawing>
      </w:r>
    </w:p>
    <w:p w14:paraId="2357CC46" w14:textId="77777777" w:rsidR="00AC1325" w:rsidRDefault="00AC1325" w:rsidP="00AC1325">
      <w:pPr>
        <w:pStyle w:val="Caption"/>
        <w:rPr>
          <w:rFonts w:cs="Arial"/>
        </w:rPr>
      </w:pPr>
      <w:r>
        <w:t xml:space="preserve">Supplementary figure </w:t>
      </w:r>
      <w:fldSimple w:instr=" SEQ Supplementary_figure \* ARABIC ">
        <w:r>
          <w:rPr>
            <w:noProof/>
          </w:rPr>
          <w:t>6</w:t>
        </w:r>
      </w:fldSimple>
      <w:r>
        <w:t xml:space="preserve">: </w:t>
      </w:r>
      <w:r w:rsidRPr="03EFEF87">
        <w:rPr>
          <w:rFonts w:cs="Arial"/>
        </w:rPr>
        <w:t>Connectivity of kingfish between bioregions, grouped by size at time of release. Release size (cm) is a combination of total and fork length but was not always able to be differentiated. Not all released fish had a length recorded at time of release, but may have at time of recapture, hence not all movements are displayed in the size at time of release networks.</w:t>
      </w:r>
    </w:p>
    <w:p w14:paraId="7A445A8A" w14:textId="77777777" w:rsidR="00AC1325" w:rsidRDefault="00AC1325" w:rsidP="00AC1325">
      <w:pPr>
        <w:keepNext/>
      </w:pPr>
      <w:r w:rsidRPr="007570A6">
        <w:rPr>
          <w:rFonts w:ascii="Times New Roman" w:hAnsi="Times New Roman" w:cs="Times New Roman"/>
          <w:noProof/>
        </w:rPr>
        <w:drawing>
          <wp:inline distT="0" distB="0" distL="0" distR="0" wp14:anchorId="0DAF5528" wp14:editId="1A6297E1">
            <wp:extent cx="5727700" cy="3779520"/>
            <wp:effectExtent l="0" t="0" r="0" b="5080"/>
            <wp:docPr id="1421155870"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55870" name="Picture 2" descr="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3779520"/>
                    </a:xfrm>
                    <a:prstGeom prst="rect">
                      <a:avLst/>
                    </a:prstGeom>
                  </pic:spPr>
                </pic:pic>
              </a:graphicData>
            </a:graphic>
          </wp:inline>
        </w:drawing>
      </w:r>
    </w:p>
    <w:p w14:paraId="2B525A6B" w14:textId="77777777" w:rsidR="00AC1325" w:rsidRPr="00113441" w:rsidRDefault="00AC1325" w:rsidP="00AC1325">
      <w:pPr>
        <w:pStyle w:val="Caption"/>
        <w:rPr>
          <w:rFonts w:cs="Arial"/>
        </w:rPr>
      </w:pPr>
      <w:r w:rsidRPr="00113441">
        <w:rPr>
          <w:rFonts w:cs="Arial"/>
        </w:rPr>
        <w:t xml:space="preserve">Supplementary figure </w:t>
      </w:r>
      <w:r w:rsidRPr="00113441">
        <w:rPr>
          <w:rFonts w:cs="Arial"/>
        </w:rPr>
        <w:fldChar w:fldCharType="begin"/>
      </w:r>
      <w:r w:rsidRPr="00113441">
        <w:rPr>
          <w:rFonts w:cs="Arial"/>
        </w:rPr>
        <w:instrText xml:space="preserve"> SEQ Supplementary_figure \* ARABIC </w:instrText>
      </w:r>
      <w:r w:rsidRPr="00113441">
        <w:rPr>
          <w:rFonts w:cs="Arial"/>
        </w:rPr>
        <w:fldChar w:fldCharType="separate"/>
      </w:r>
      <w:r>
        <w:rPr>
          <w:rFonts w:cs="Arial"/>
          <w:noProof/>
        </w:rPr>
        <w:t>7</w:t>
      </w:r>
      <w:r w:rsidRPr="00113441">
        <w:rPr>
          <w:rFonts w:cs="Arial"/>
        </w:rPr>
        <w:fldChar w:fldCharType="end"/>
      </w:r>
      <w:r w:rsidRPr="00113441">
        <w:rPr>
          <w:rFonts w:cs="Arial"/>
        </w:rPr>
        <w:t>: Connectivity of kingfish between bioregions, grouped by size at time of recapture. Recapture size (cm) is a combination of total and fork length but was not always able to be differentiated. Not all released fish had a length recorded at time of release, but may have at time of recapture, hence not all movements are displayed in the size at time of release networks.</w:t>
      </w:r>
    </w:p>
    <w:p w14:paraId="11637F22" w14:textId="77777777" w:rsidR="00AC1325" w:rsidRPr="007D6102" w:rsidRDefault="00AC1325" w:rsidP="00AC1325">
      <w:pPr>
        <w:rPr>
          <w:rFonts w:cs="Arial"/>
        </w:rPr>
        <w:sectPr w:rsidR="00AC1325" w:rsidRPr="007D6102" w:rsidSect="00F65DA9">
          <w:headerReference w:type="default" r:id="rId13"/>
          <w:pgSz w:w="11901" w:h="16817"/>
          <w:pgMar w:top="1440" w:right="1440" w:bottom="1440" w:left="1440" w:header="709" w:footer="709" w:gutter="0"/>
          <w:lnNumType w:countBy="5" w:restart="continuous"/>
          <w:cols w:space="708"/>
          <w:docGrid w:linePitch="360"/>
        </w:sectPr>
      </w:pPr>
    </w:p>
    <w:p w14:paraId="31110109" w14:textId="77777777" w:rsidR="00AC1325" w:rsidRPr="007D6102" w:rsidRDefault="00AC1325" w:rsidP="00AC1325">
      <w:pPr>
        <w:spacing w:line="360" w:lineRule="auto"/>
        <w:rPr>
          <w:rFonts w:cs="Arial"/>
        </w:rPr>
      </w:pPr>
      <w:r w:rsidRPr="007D6102">
        <w:rPr>
          <w:rFonts w:cs="Arial"/>
        </w:rPr>
        <w:lastRenderedPageBreak/>
        <w:t>Supplementary tables</w:t>
      </w:r>
    </w:p>
    <w:p w14:paraId="74618D42" w14:textId="77777777" w:rsidR="00AC1325" w:rsidRPr="00992490" w:rsidRDefault="00AC1325" w:rsidP="00AC1325">
      <w:pPr>
        <w:rPr>
          <w:rFonts w:cs="Arial"/>
          <w:i/>
          <w:iCs/>
          <w:sz w:val="20"/>
          <w:szCs w:val="20"/>
        </w:rPr>
      </w:pPr>
      <w:r>
        <w:rPr>
          <w:rFonts w:cs="Arial"/>
          <w:i/>
          <w:iCs/>
          <w:sz w:val="20"/>
          <w:szCs w:val="20"/>
        </w:rPr>
        <w:t>T</w:t>
      </w:r>
      <w:r w:rsidRPr="00992490">
        <w:rPr>
          <w:rFonts w:cs="Arial"/>
          <w:i/>
          <w:iCs/>
          <w:sz w:val="20"/>
          <w:szCs w:val="20"/>
        </w:rPr>
        <w:t xml:space="preserve">able </w:t>
      </w:r>
      <w:r>
        <w:rPr>
          <w:rFonts w:cs="Arial"/>
          <w:i/>
          <w:iCs/>
          <w:sz w:val="20"/>
          <w:szCs w:val="20"/>
        </w:rPr>
        <w:t>S</w:t>
      </w:r>
      <w:r w:rsidRPr="00992490">
        <w:rPr>
          <w:rFonts w:cs="Arial"/>
          <w:i/>
          <w:iCs/>
          <w:sz w:val="20"/>
          <w:szCs w:val="20"/>
        </w:rPr>
        <w:t xml:space="preserve">1: Node-level centrality measures derived from network analysis of tagged kingfish recaptures across provincial bioregions. In-degree is the number incoming movements from neighbouring nodes. Out-degree is the number of out-going movements to neighbouring nodes. Centrality is the number of edges (unique movements) connected to a node (sum of in-degree and out-degree), identifying whether elements of the network are more central or peripheral to the overall system. Betweenness demonstrates the number of shortest paths passing through a node, highlighting how likely a node or an edge is to be passed through when going from one node to every other node in the network, with a number of 1 meaning that all possible paths in the network cross through the node to get to another. Closeness is how close each node is to every other node of the graph (centrality to the network of movements), with values closer to 0 indicating shorter distances and those closer to 1 indicating larger distances, and therefore not central. </w:t>
      </w:r>
    </w:p>
    <w:p w14:paraId="5D7518C2" w14:textId="77777777" w:rsidR="00AC1325" w:rsidRPr="007D6102" w:rsidRDefault="00AC1325" w:rsidP="00AC1325">
      <w:pPr>
        <w:rPr>
          <w:rFonts w:cs="Arial"/>
          <w:b/>
          <w:bCs/>
          <w:color w:val="000000"/>
          <w:sz w:val="22"/>
          <w:szCs w:val="22"/>
        </w:rPr>
      </w:pPr>
    </w:p>
    <w:p w14:paraId="7043A703" w14:textId="77777777" w:rsidR="00AC1325" w:rsidRPr="007D6102" w:rsidRDefault="00AC1325" w:rsidP="00AC1325">
      <w:pPr>
        <w:rPr>
          <w:rFonts w:cs="Arial"/>
          <w:b/>
          <w:bCs/>
          <w:color w:val="000000"/>
          <w:sz w:val="22"/>
          <w:szCs w:val="22"/>
        </w:rPr>
      </w:pPr>
    </w:p>
    <w:tbl>
      <w:tblPr>
        <w:tblStyle w:val="PlainTable5"/>
        <w:tblW w:w="0" w:type="auto"/>
        <w:tblLayout w:type="fixed"/>
        <w:tblLook w:val="04A0" w:firstRow="1" w:lastRow="0" w:firstColumn="1" w:lastColumn="0" w:noHBand="0" w:noVBand="1"/>
      </w:tblPr>
      <w:tblGrid>
        <w:gridCol w:w="4390"/>
        <w:gridCol w:w="1616"/>
        <w:gridCol w:w="1616"/>
        <w:gridCol w:w="1616"/>
        <w:gridCol w:w="1753"/>
        <w:gridCol w:w="1618"/>
      </w:tblGrid>
      <w:tr w:rsidR="00AC1325" w:rsidRPr="007D6102" w14:paraId="2586CFA7" w14:textId="77777777" w:rsidTr="006B59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4390" w:type="dxa"/>
          </w:tcPr>
          <w:p w14:paraId="6E6B0470" w14:textId="77777777" w:rsidR="00AC1325" w:rsidRPr="007D6102" w:rsidRDefault="00AC1325" w:rsidP="006B599B">
            <w:pPr>
              <w:rPr>
                <w:rFonts w:cs="Arial"/>
                <w:i w:val="0"/>
                <w:iCs w:val="0"/>
              </w:rPr>
            </w:pPr>
            <w:r w:rsidRPr="007D6102">
              <w:rPr>
                <w:rFonts w:cs="Arial"/>
                <w:b/>
                <w:bCs/>
                <w:i w:val="0"/>
                <w:iCs w:val="0"/>
                <w:color w:val="000000"/>
                <w:sz w:val="22"/>
                <w:szCs w:val="22"/>
              </w:rPr>
              <w:t>Bioregion</w:t>
            </w:r>
          </w:p>
        </w:tc>
        <w:tc>
          <w:tcPr>
            <w:tcW w:w="1616" w:type="dxa"/>
          </w:tcPr>
          <w:p w14:paraId="1A96418A" w14:textId="77777777" w:rsidR="00AC1325" w:rsidRPr="007D6102" w:rsidRDefault="00AC1325" w:rsidP="006B599B">
            <w:pPr>
              <w:cnfStyle w:val="100000000000" w:firstRow="1" w:lastRow="0" w:firstColumn="0" w:lastColumn="0" w:oddVBand="0" w:evenVBand="0" w:oddHBand="0" w:evenHBand="0" w:firstRowFirstColumn="0" w:firstRowLastColumn="0" w:lastRowFirstColumn="0" w:lastRowLastColumn="0"/>
              <w:rPr>
                <w:rFonts w:cs="Arial"/>
                <w:i w:val="0"/>
                <w:iCs w:val="0"/>
              </w:rPr>
            </w:pPr>
            <w:r w:rsidRPr="007D6102">
              <w:rPr>
                <w:rFonts w:cs="Arial"/>
                <w:b/>
                <w:bCs/>
                <w:i w:val="0"/>
                <w:iCs w:val="0"/>
                <w:color w:val="000000"/>
                <w:sz w:val="22"/>
                <w:szCs w:val="22"/>
              </w:rPr>
              <w:t>In-degree</w:t>
            </w:r>
          </w:p>
        </w:tc>
        <w:tc>
          <w:tcPr>
            <w:tcW w:w="1616" w:type="dxa"/>
          </w:tcPr>
          <w:p w14:paraId="115D008F" w14:textId="77777777" w:rsidR="00AC1325" w:rsidRPr="007D6102" w:rsidRDefault="00AC1325" w:rsidP="006B599B">
            <w:pPr>
              <w:cnfStyle w:val="100000000000" w:firstRow="1" w:lastRow="0" w:firstColumn="0" w:lastColumn="0" w:oddVBand="0" w:evenVBand="0" w:oddHBand="0" w:evenHBand="0" w:firstRowFirstColumn="0" w:firstRowLastColumn="0" w:lastRowFirstColumn="0" w:lastRowLastColumn="0"/>
              <w:rPr>
                <w:rFonts w:cs="Arial"/>
                <w:i w:val="0"/>
                <w:iCs w:val="0"/>
              </w:rPr>
            </w:pPr>
            <w:r w:rsidRPr="007D6102">
              <w:rPr>
                <w:rFonts w:cs="Arial"/>
                <w:b/>
                <w:bCs/>
                <w:i w:val="0"/>
                <w:iCs w:val="0"/>
                <w:color w:val="000000"/>
                <w:sz w:val="22"/>
                <w:szCs w:val="22"/>
              </w:rPr>
              <w:t>Out-degree</w:t>
            </w:r>
          </w:p>
        </w:tc>
        <w:tc>
          <w:tcPr>
            <w:tcW w:w="1616" w:type="dxa"/>
          </w:tcPr>
          <w:p w14:paraId="37EB34FB" w14:textId="77777777" w:rsidR="00AC1325" w:rsidRPr="007D6102" w:rsidRDefault="00AC1325" w:rsidP="006B599B">
            <w:pPr>
              <w:cnfStyle w:val="100000000000" w:firstRow="1" w:lastRow="0" w:firstColumn="0" w:lastColumn="0" w:oddVBand="0" w:evenVBand="0" w:oddHBand="0" w:evenHBand="0" w:firstRowFirstColumn="0" w:firstRowLastColumn="0" w:lastRowFirstColumn="0" w:lastRowLastColumn="0"/>
              <w:rPr>
                <w:rFonts w:cs="Arial"/>
                <w:i w:val="0"/>
                <w:iCs w:val="0"/>
              </w:rPr>
            </w:pPr>
            <w:r w:rsidRPr="007D6102">
              <w:rPr>
                <w:rFonts w:cs="Arial"/>
                <w:b/>
                <w:bCs/>
                <w:i w:val="0"/>
                <w:iCs w:val="0"/>
                <w:color w:val="000000"/>
                <w:sz w:val="22"/>
                <w:szCs w:val="22"/>
              </w:rPr>
              <w:t>Centrality</w:t>
            </w:r>
          </w:p>
        </w:tc>
        <w:tc>
          <w:tcPr>
            <w:tcW w:w="1753" w:type="dxa"/>
          </w:tcPr>
          <w:p w14:paraId="555C6284" w14:textId="77777777" w:rsidR="00AC1325" w:rsidRPr="007D6102" w:rsidRDefault="00AC1325" w:rsidP="006B599B">
            <w:pPr>
              <w:cnfStyle w:val="100000000000" w:firstRow="1" w:lastRow="0" w:firstColumn="0" w:lastColumn="0" w:oddVBand="0" w:evenVBand="0" w:oddHBand="0" w:evenHBand="0" w:firstRowFirstColumn="0" w:firstRowLastColumn="0" w:lastRowFirstColumn="0" w:lastRowLastColumn="0"/>
              <w:rPr>
                <w:rFonts w:cs="Arial"/>
                <w:i w:val="0"/>
                <w:iCs w:val="0"/>
              </w:rPr>
            </w:pPr>
            <w:r w:rsidRPr="007D6102">
              <w:rPr>
                <w:rFonts w:cs="Arial"/>
                <w:b/>
                <w:bCs/>
                <w:i w:val="0"/>
                <w:iCs w:val="0"/>
                <w:color w:val="000000"/>
                <w:sz w:val="22"/>
                <w:szCs w:val="22"/>
              </w:rPr>
              <w:t>Betweenness</w:t>
            </w:r>
          </w:p>
        </w:tc>
        <w:tc>
          <w:tcPr>
            <w:tcW w:w="1618" w:type="dxa"/>
          </w:tcPr>
          <w:p w14:paraId="543C39EB" w14:textId="77777777" w:rsidR="00AC1325" w:rsidRPr="007D6102" w:rsidRDefault="00AC1325" w:rsidP="006B599B">
            <w:pPr>
              <w:cnfStyle w:val="100000000000" w:firstRow="1" w:lastRow="0" w:firstColumn="0" w:lastColumn="0" w:oddVBand="0" w:evenVBand="0" w:oddHBand="0" w:evenHBand="0" w:firstRowFirstColumn="0" w:firstRowLastColumn="0" w:lastRowFirstColumn="0" w:lastRowLastColumn="0"/>
              <w:rPr>
                <w:rFonts w:cs="Arial"/>
                <w:i w:val="0"/>
                <w:iCs w:val="0"/>
              </w:rPr>
            </w:pPr>
            <w:r w:rsidRPr="007D6102">
              <w:rPr>
                <w:rFonts w:cs="Arial"/>
                <w:b/>
                <w:bCs/>
                <w:i w:val="0"/>
                <w:iCs w:val="0"/>
                <w:color w:val="000000"/>
                <w:sz w:val="22"/>
                <w:szCs w:val="22"/>
              </w:rPr>
              <w:t>Closeness</w:t>
            </w:r>
          </w:p>
        </w:tc>
      </w:tr>
      <w:tr w:rsidR="00AC1325" w:rsidRPr="007D6102" w14:paraId="37E03626"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3FD906FF" w14:textId="77777777" w:rsidR="00AC1325" w:rsidRPr="007D6102" w:rsidRDefault="00AC1325" w:rsidP="006B599B">
            <w:pPr>
              <w:rPr>
                <w:rFonts w:cs="Arial"/>
                <w:i w:val="0"/>
                <w:iCs w:val="0"/>
              </w:rPr>
            </w:pPr>
            <w:r w:rsidRPr="007D6102">
              <w:rPr>
                <w:rFonts w:cs="Arial"/>
                <w:i w:val="0"/>
                <w:iCs w:val="0"/>
                <w:color w:val="000000"/>
                <w:sz w:val="22"/>
                <w:szCs w:val="22"/>
              </w:rPr>
              <w:t>Bass Strait Shelf Province</w:t>
            </w:r>
          </w:p>
        </w:tc>
        <w:tc>
          <w:tcPr>
            <w:tcW w:w="1616" w:type="dxa"/>
          </w:tcPr>
          <w:p w14:paraId="03EE2980"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62BAC434"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2</w:t>
            </w:r>
          </w:p>
        </w:tc>
        <w:tc>
          <w:tcPr>
            <w:tcW w:w="1616" w:type="dxa"/>
          </w:tcPr>
          <w:p w14:paraId="3205DB47"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3</w:t>
            </w:r>
          </w:p>
        </w:tc>
        <w:tc>
          <w:tcPr>
            <w:tcW w:w="1753" w:type="dxa"/>
          </w:tcPr>
          <w:p w14:paraId="25BA0B3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6D4CD6FA"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0.04</w:t>
            </w:r>
          </w:p>
        </w:tc>
      </w:tr>
      <w:tr w:rsidR="00AC1325" w:rsidRPr="007D6102" w14:paraId="7E9C82BE"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2F8A16EA" w14:textId="77777777" w:rsidR="00AC1325" w:rsidRPr="007D6102" w:rsidRDefault="00AC1325" w:rsidP="006B599B">
            <w:pPr>
              <w:rPr>
                <w:rFonts w:cs="Arial"/>
                <w:i w:val="0"/>
                <w:iCs w:val="0"/>
              </w:rPr>
            </w:pPr>
            <w:r w:rsidRPr="007D6102">
              <w:rPr>
                <w:rFonts w:cs="Arial"/>
                <w:i w:val="0"/>
                <w:iCs w:val="0"/>
                <w:color w:val="000000"/>
                <w:sz w:val="22"/>
                <w:szCs w:val="22"/>
              </w:rPr>
              <w:t>Central Eastern Province</w:t>
            </w:r>
          </w:p>
        </w:tc>
        <w:tc>
          <w:tcPr>
            <w:tcW w:w="1616" w:type="dxa"/>
          </w:tcPr>
          <w:p w14:paraId="5F9DD0F1"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4</w:t>
            </w:r>
          </w:p>
        </w:tc>
        <w:tc>
          <w:tcPr>
            <w:tcW w:w="1616" w:type="dxa"/>
          </w:tcPr>
          <w:p w14:paraId="4465A7C2"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4</w:t>
            </w:r>
          </w:p>
        </w:tc>
        <w:tc>
          <w:tcPr>
            <w:tcW w:w="1616" w:type="dxa"/>
          </w:tcPr>
          <w:p w14:paraId="0AE1A122"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8</w:t>
            </w:r>
          </w:p>
        </w:tc>
        <w:tc>
          <w:tcPr>
            <w:tcW w:w="1753" w:type="dxa"/>
          </w:tcPr>
          <w:p w14:paraId="0CEF5F29"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56225826"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0.042</w:t>
            </w:r>
          </w:p>
        </w:tc>
      </w:tr>
      <w:tr w:rsidR="00AC1325" w:rsidRPr="007D6102" w14:paraId="442AC9F0"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5550A42A"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Central Eastern Shelf Province</w:t>
            </w:r>
          </w:p>
        </w:tc>
        <w:tc>
          <w:tcPr>
            <w:tcW w:w="1616" w:type="dxa"/>
          </w:tcPr>
          <w:p w14:paraId="11B6C3BD"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8</w:t>
            </w:r>
          </w:p>
        </w:tc>
        <w:tc>
          <w:tcPr>
            <w:tcW w:w="1616" w:type="dxa"/>
          </w:tcPr>
          <w:p w14:paraId="2B7FF364"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7</w:t>
            </w:r>
          </w:p>
        </w:tc>
        <w:tc>
          <w:tcPr>
            <w:tcW w:w="1616" w:type="dxa"/>
          </w:tcPr>
          <w:p w14:paraId="66A912FA"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15</w:t>
            </w:r>
          </w:p>
        </w:tc>
        <w:tc>
          <w:tcPr>
            <w:tcW w:w="1753" w:type="dxa"/>
          </w:tcPr>
          <w:p w14:paraId="7F49DDE1"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0.044</w:t>
            </w:r>
          </w:p>
        </w:tc>
        <w:tc>
          <w:tcPr>
            <w:tcW w:w="1618" w:type="dxa"/>
          </w:tcPr>
          <w:p w14:paraId="4FD1F181"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0.067</w:t>
            </w:r>
          </w:p>
        </w:tc>
      </w:tr>
      <w:tr w:rsidR="00AC1325" w:rsidRPr="007D6102" w14:paraId="05007691"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3891E17E"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Central Eastern Shelf Transition</w:t>
            </w:r>
          </w:p>
        </w:tc>
        <w:tc>
          <w:tcPr>
            <w:tcW w:w="1616" w:type="dxa"/>
          </w:tcPr>
          <w:p w14:paraId="4F84686D"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6</w:t>
            </w:r>
          </w:p>
        </w:tc>
        <w:tc>
          <w:tcPr>
            <w:tcW w:w="1616" w:type="dxa"/>
          </w:tcPr>
          <w:p w14:paraId="25A70CA5"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5</w:t>
            </w:r>
          </w:p>
        </w:tc>
        <w:tc>
          <w:tcPr>
            <w:tcW w:w="1616" w:type="dxa"/>
          </w:tcPr>
          <w:p w14:paraId="149CD0C3"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11</w:t>
            </w:r>
          </w:p>
        </w:tc>
        <w:tc>
          <w:tcPr>
            <w:tcW w:w="1753" w:type="dxa"/>
          </w:tcPr>
          <w:p w14:paraId="5F0192DE"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0.022</w:t>
            </w:r>
          </w:p>
        </w:tc>
        <w:tc>
          <w:tcPr>
            <w:tcW w:w="1618" w:type="dxa"/>
          </w:tcPr>
          <w:p w14:paraId="5A6C3A2B"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0.053</w:t>
            </w:r>
          </w:p>
        </w:tc>
      </w:tr>
      <w:tr w:rsidR="00AC1325" w:rsidRPr="007D6102" w14:paraId="3A5296DD"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7DD13E36"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Cocos (Keeling) Island Province</w:t>
            </w:r>
          </w:p>
        </w:tc>
        <w:tc>
          <w:tcPr>
            <w:tcW w:w="1616" w:type="dxa"/>
          </w:tcPr>
          <w:p w14:paraId="5F4C9DE5"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195232D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0174EAA7"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2</w:t>
            </w:r>
          </w:p>
        </w:tc>
        <w:tc>
          <w:tcPr>
            <w:tcW w:w="1753" w:type="dxa"/>
          </w:tcPr>
          <w:p w14:paraId="7D5AB0E7"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1B417C84"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NA</w:t>
            </w:r>
          </w:p>
        </w:tc>
      </w:tr>
      <w:tr w:rsidR="00AC1325" w:rsidRPr="007D6102" w14:paraId="561D6196"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0D727DFF"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Great Australian Bight Shelf Transition</w:t>
            </w:r>
          </w:p>
        </w:tc>
        <w:tc>
          <w:tcPr>
            <w:tcW w:w="1616" w:type="dxa"/>
          </w:tcPr>
          <w:p w14:paraId="7C584DB7"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62AA5A84"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6" w:type="dxa"/>
          </w:tcPr>
          <w:p w14:paraId="3C5F6F84"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w:t>
            </w:r>
          </w:p>
        </w:tc>
        <w:tc>
          <w:tcPr>
            <w:tcW w:w="1753" w:type="dxa"/>
          </w:tcPr>
          <w:p w14:paraId="3445F492"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7AC441CD"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0.03</w:t>
            </w:r>
          </w:p>
        </w:tc>
      </w:tr>
      <w:tr w:rsidR="00AC1325" w:rsidRPr="007D6102" w14:paraId="2204FE5F"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4035AAF5" w14:textId="77777777" w:rsidR="00AC1325" w:rsidRPr="007D6102" w:rsidRDefault="00AC1325" w:rsidP="006B599B">
            <w:pPr>
              <w:rPr>
                <w:rFonts w:cs="Arial"/>
                <w:i w:val="0"/>
                <w:iCs w:val="0"/>
              </w:rPr>
            </w:pPr>
            <w:r w:rsidRPr="007D6102">
              <w:rPr>
                <w:rFonts w:cs="Arial"/>
                <w:i w:val="0"/>
                <w:iCs w:val="0"/>
                <w:color w:val="000000"/>
                <w:sz w:val="22"/>
                <w:szCs w:val="22"/>
              </w:rPr>
              <w:t>Lord Howe Province</w:t>
            </w:r>
          </w:p>
        </w:tc>
        <w:tc>
          <w:tcPr>
            <w:tcW w:w="1616" w:type="dxa"/>
          </w:tcPr>
          <w:p w14:paraId="65EC4F52"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4</w:t>
            </w:r>
          </w:p>
        </w:tc>
        <w:tc>
          <w:tcPr>
            <w:tcW w:w="1616" w:type="dxa"/>
          </w:tcPr>
          <w:p w14:paraId="35ABE038"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1DC59F9C"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5</w:t>
            </w:r>
          </w:p>
        </w:tc>
        <w:tc>
          <w:tcPr>
            <w:tcW w:w="1753" w:type="dxa"/>
          </w:tcPr>
          <w:p w14:paraId="4188E04A"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3B114EB3"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0.045</w:t>
            </w:r>
          </w:p>
        </w:tc>
      </w:tr>
      <w:tr w:rsidR="00AC1325" w:rsidRPr="007D6102" w14:paraId="158F643C"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349F5815" w14:textId="77777777" w:rsidR="00AC1325" w:rsidRPr="007D6102" w:rsidRDefault="00AC1325" w:rsidP="006B599B">
            <w:pPr>
              <w:rPr>
                <w:rFonts w:cs="Arial"/>
                <w:i w:val="0"/>
                <w:iCs w:val="0"/>
              </w:rPr>
            </w:pPr>
            <w:r w:rsidRPr="007D6102">
              <w:rPr>
                <w:rFonts w:cs="Arial"/>
                <w:i w:val="0"/>
                <w:iCs w:val="0"/>
                <w:color w:val="000000"/>
                <w:sz w:val="22"/>
                <w:szCs w:val="22"/>
              </w:rPr>
              <w:t>New Zealand</w:t>
            </w:r>
          </w:p>
        </w:tc>
        <w:tc>
          <w:tcPr>
            <w:tcW w:w="1616" w:type="dxa"/>
          </w:tcPr>
          <w:p w14:paraId="6002E1BD"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3</w:t>
            </w:r>
          </w:p>
        </w:tc>
        <w:tc>
          <w:tcPr>
            <w:tcW w:w="1616" w:type="dxa"/>
          </w:tcPr>
          <w:p w14:paraId="699AEDC5"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7</w:t>
            </w:r>
          </w:p>
        </w:tc>
        <w:tc>
          <w:tcPr>
            <w:tcW w:w="1616" w:type="dxa"/>
          </w:tcPr>
          <w:p w14:paraId="77A07DCC"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10</w:t>
            </w:r>
          </w:p>
        </w:tc>
        <w:tc>
          <w:tcPr>
            <w:tcW w:w="1753" w:type="dxa"/>
          </w:tcPr>
          <w:p w14:paraId="6306F624"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0.06</w:t>
            </w:r>
          </w:p>
        </w:tc>
        <w:tc>
          <w:tcPr>
            <w:tcW w:w="1618" w:type="dxa"/>
          </w:tcPr>
          <w:p w14:paraId="1D1DA6A9"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0.053</w:t>
            </w:r>
          </w:p>
        </w:tc>
      </w:tr>
      <w:tr w:rsidR="00AC1325" w:rsidRPr="007D6102" w14:paraId="1BF06DF0"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3905062C" w14:textId="77777777" w:rsidR="00AC1325" w:rsidRPr="007D6102" w:rsidRDefault="00AC1325" w:rsidP="006B599B">
            <w:pPr>
              <w:rPr>
                <w:rFonts w:cs="Arial"/>
                <w:i w:val="0"/>
                <w:iCs w:val="0"/>
              </w:rPr>
            </w:pPr>
            <w:r w:rsidRPr="007D6102">
              <w:rPr>
                <w:rFonts w:cs="Arial"/>
                <w:i w:val="0"/>
                <w:iCs w:val="0"/>
                <w:color w:val="000000"/>
                <w:sz w:val="22"/>
                <w:szCs w:val="22"/>
              </w:rPr>
              <w:t>Norfolk Island Province</w:t>
            </w:r>
          </w:p>
        </w:tc>
        <w:tc>
          <w:tcPr>
            <w:tcW w:w="1616" w:type="dxa"/>
          </w:tcPr>
          <w:p w14:paraId="10CA9E8E"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4831558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6" w:type="dxa"/>
          </w:tcPr>
          <w:p w14:paraId="27AAC867"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753" w:type="dxa"/>
          </w:tcPr>
          <w:p w14:paraId="5DD6DF4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174061B0"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0.033</w:t>
            </w:r>
          </w:p>
        </w:tc>
      </w:tr>
      <w:tr w:rsidR="00AC1325" w:rsidRPr="007D6102" w14:paraId="7ACB3143"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71B65139" w14:textId="77777777" w:rsidR="00AC1325" w:rsidRPr="007D6102" w:rsidRDefault="00AC1325" w:rsidP="006B599B">
            <w:pPr>
              <w:rPr>
                <w:rFonts w:cs="Arial"/>
                <w:i w:val="0"/>
                <w:iCs w:val="0"/>
              </w:rPr>
            </w:pPr>
            <w:r w:rsidRPr="007D6102">
              <w:rPr>
                <w:rFonts w:cs="Arial"/>
                <w:i w:val="0"/>
                <w:iCs w:val="0"/>
                <w:color w:val="000000"/>
                <w:sz w:val="22"/>
                <w:szCs w:val="22"/>
              </w:rPr>
              <w:t>Northeast Shelf Province</w:t>
            </w:r>
          </w:p>
        </w:tc>
        <w:tc>
          <w:tcPr>
            <w:tcW w:w="1616" w:type="dxa"/>
          </w:tcPr>
          <w:p w14:paraId="7A56EB05"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2</w:t>
            </w:r>
          </w:p>
        </w:tc>
        <w:tc>
          <w:tcPr>
            <w:tcW w:w="1616" w:type="dxa"/>
          </w:tcPr>
          <w:p w14:paraId="73830DA2"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6" w:type="dxa"/>
          </w:tcPr>
          <w:p w14:paraId="05AEF292"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2</w:t>
            </w:r>
          </w:p>
        </w:tc>
        <w:tc>
          <w:tcPr>
            <w:tcW w:w="1753" w:type="dxa"/>
          </w:tcPr>
          <w:p w14:paraId="239C821D"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4638596B"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0.04</w:t>
            </w:r>
          </w:p>
        </w:tc>
      </w:tr>
      <w:tr w:rsidR="00AC1325" w:rsidRPr="007D6102" w14:paraId="6C88D1F2"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602DDDE9" w14:textId="77777777" w:rsidR="00AC1325" w:rsidRPr="007D6102" w:rsidRDefault="00AC1325" w:rsidP="006B599B">
            <w:pPr>
              <w:rPr>
                <w:rFonts w:cs="Arial"/>
                <w:i w:val="0"/>
                <w:iCs w:val="0"/>
              </w:rPr>
            </w:pPr>
            <w:r w:rsidRPr="007D6102">
              <w:rPr>
                <w:rFonts w:cs="Arial"/>
                <w:i w:val="0"/>
                <w:iCs w:val="0"/>
                <w:color w:val="000000"/>
                <w:sz w:val="22"/>
                <w:szCs w:val="22"/>
              </w:rPr>
              <w:t>Offshore New Zealand</w:t>
            </w:r>
          </w:p>
        </w:tc>
        <w:tc>
          <w:tcPr>
            <w:tcW w:w="1616" w:type="dxa"/>
          </w:tcPr>
          <w:p w14:paraId="5AA7162D"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570A90B7"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6" w:type="dxa"/>
          </w:tcPr>
          <w:p w14:paraId="4B5EAA8D"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753" w:type="dxa"/>
          </w:tcPr>
          <w:p w14:paraId="09C1B68C"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6784CBBC"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0.033</w:t>
            </w:r>
          </w:p>
        </w:tc>
      </w:tr>
      <w:tr w:rsidR="00AC1325" w:rsidRPr="007D6102" w14:paraId="0E5CEB0A"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57EB2B45"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Southeast Shelf Transition</w:t>
            </w:r>
          </w:p>
        </w:tc>
        <w:tc>
          <w:tcPr>
            <w:tcW w:w="1616" w:type="dxa"/>
          </w:tcPr>
          <w:p w14:paraId="73E7E7BB"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8</w:t>
            </w:r>
          </w:p>
        </w:tc>
        <w:tc>
          <w:tcPr>
            <w:tcW w:w="1616" w:type="dxa"/>
          </w:tcPr>
          <w:p w14:paraId="22B1DFD4"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9</w:t>
            </w:r>
          </w:p>
        </w:tc>
        <w:tc>
          <w:tcPr>
            <w:tcW w:w="1616" w:type="dxa"/>
          </w:tcPr>
          <w:p w14:paraId="1CE49B43"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17</w:t>
            </w:r>
          </w:p>
        </w:tc>
        <w:tc>
          <w:tcPr>
            <w:tcW w:w="1753" w:type="dxa"/>
          </w:tcPr>
          <w:p w14:paraId="09252B9D"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0.112</w:t>
            </w:r>
          </w:p>
        </w:tc>
        <w:tc>
          <w:tcPr>
            <w:tcW w:w="1618" w:type="dxa"/>
          </w:tcPr>
          <w:p w14:paraId="7206EA71"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0.067</w:t>
            </w:r>
          </w:p>
        </w:tc>
      </w:tr>
      <w:tr w:rsidR="00AC1325" w:rsidRPr="007D6102" w14:paraId="6970D610"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1DB18706" w14:textId="77777777" w:rsidR="00AC1325" w:rsidRPr="007D6102" w:rsidRDefault="00AC1325" w:rsidP="006B599B">
            <w:pPr>
              <w:rPr>
                <w:rFonts w:cs="Arial"/>
                <w:i w:val="0"/>
                <w:iCs w:val="0"/>
              </w:rPr>
            </w:pPr>
            <w:r w:rsidRPr="007D6102">
              <w:rPr>
                <w:rFonts w:cs="Arial"/>
                <w:i w:val="0"/>
                <w:iCs w:val="0"/>
                <w:color w:val="000000"/>
                <w:sz w:val="22"/>
                <w:szCs w:val="22"/>
              </w:rPr>
              <w:t>Southeast Transition</w:t>
            </w:r>
          </w:p>
        </w:tc>
        <w:tc>
          <w:tcPr>
            <w:tcW w:w="1616" w:type="dxa"/>
          </w:tcPr>
          <w:p w14:paraId="3E95A0FC"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3</w:t>
            </w:r>
          </w:p>
        </w:tc>
        <w:tc>
          <w:tcPr>
            <w:tcW w:w="1616" w:type="dxa"/>
          </w:tcPr>
          <w:p w14:paraId="0D4DB90B"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3</w:t>
            </w:r>
          </w:p>
        </w:tc>
        <w:tc>
          <w:tcPr>
            <w:tcW w:w="1616" w:type="dxa"/>
          </w:tcPr>
          <w:p w14:paraId="79C09822"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6</w:t>
            </w:r>
          </w:p>
        </w:tc>
        <w:tc>
          <w:tcPr>
            <w:tcW w:w="1753" w:type="dxa"/>
          </w:tcPr>
          <w:p w14:paraId="6C9958F2"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51F61AD9"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0.04</w:t>
            </w:r>
          </w:p>
        </w:tc>
      </w:tr>
      <w:tr w:rsidR="00AC1325" w:rsidRPr="007D6102" w14:paraId="4EFF18FB"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28D11ED9"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Southwest Shelf Province</w:t>
            </w:r>
          </w:p>
        </w:tc>
        <w:tc>
          <w:tcPr>
            <w:tcW w:w="1616" w:type="dxa"/>
          </w:tcPr>
          <w:p w14:paraId="7999280C"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03A23D90"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2</w:t>
            </w:r>
          </w:p>
        </w:tc>
        <w:tc>
          <w:tcPr>
            <w:tcW w:w="1616" w:type="dxa"/>
          </w:tcPr>
          <w:p w14:paraId="022071B1"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3</w:t>
            </w:r>
          </w:p>
        </w:tc>
        <w:tc>
          <w:tcPr>
            <w:tcW w:w="1753" w:type="dxa"/>
          </w:tcPr>
          <w:p w14:paraId="31B64581"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3895342B"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w:t>
            </w:r>
          </w:p>
        </w:tc>
      </w:tr>
      <w:tr w:rsidR="00AC1325" w:rsidRPr="007D6102" w14:paraId="3F25D728"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2B6E3A57"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Southwest Shelf Transition</w:t>
            </w:r>
          </w:p>
        </w:tc>
        <w:tc>
          <w:tcPr>
            <w:tcW w:w="1616" w:type="dxa"/>
          </w:tcPr>
          <w:p w14:paraId="3EC0D753"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2</w:t>
            </w:r>
          </w:p>
        </w:tc>
        <w:tc>
          <w:tcPr>
            <w:tcW w:w="1616" w:type="dxa"/>
          </w:tcPr>
          <w:p w14:paraId="07115C14"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4006255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3</w:t>
            </w:r>
          </w:p>
        </w:tc>
        <w:tc>
          <w:tcPr>
            <w:tcW w:w="1753" w:type="dxa"/>
          </w:tcPr>
          <w:p w14:paraId="46D32551"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2D4B5C6F"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r>
      <w:tr w:rsidR="00AC1325" w:rsidRPr="007D6102" w14:paraId="7ACAD94E" w14:textId="77777777" w:rsidTr="006B599B">
        <w:trPr>
          <w:trHeight w:val="255"/>
        </w:trPr>
        <w:tc>
          <w:tcPr>
            <w:cnfStyle w:val="001000000000" w:firstRow="0" w:lastRow="0" w:firstColumn="1" w:lastColumn="0" w:oddVBand="0" w:evenVBand="0" w:oddHBand="0" w:evenHBand="0" w:firstRowFirstColumn="0" w:firstRowLastColumn="0" w:lastRowFirstColumn="0" w:lastRowLastColumn="0"/>
            <w:tcW w:w="4390" w:type="dxa"/>
          </w:tcPr>
          <w:p w14:paraId="29BBE24A"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Spencer Gulf Shelf Province</w:t>
            </w:r>
          </w:p>
        </w:tc>
        <w:tc>
          <w:tcPr>
            <w:tcW w:w="1616" w:type="dxa"/>
          </w:tcPr>
          <w:p w14:paraId="27E4F2AC"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153E7665"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5</w:t>
            </w:r>
          </w:p>
        </w:tc>
        <w:tc>
          <w:tcPr>
            <w:tcW w:w="1616" w:type="dxa"/>
          </w:tcPr>
          <w:p w14:paraId="1850C63A"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6</w:t>
            </w:r>
          </w:p>
        </w:tc>
        <w:tc>
          <w:tcPr>
            <w:tcW w:w="1753" w:type="dxa"/>
          </w:tcPr>
          <w:p w14:paraId="6DD1681F"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1594714A" w14:textId="77777777" w:rsidR="00AC1325" w:rsidRPr="007D6102" w:rsidRDefault="00AC1325" w:rsidP="006B599B">
            <w:pPr>
              <w:cnfStyle w:val="000000000000" w:firstRow="0" w:lastRow="0" w:firstColumn="0" w:lastColumn="0" w:oddVBand="0" w:evenVBand="0" w:oddHBand="0" w:evenHBand="0" w:firstRowFirstColumn="0" w:firstRowLastColumn="0" w:lastRowFirstColumn="0" w:lastRowLastColumn="0"/>
              <w:rPr>
                <w:rFonts w:cs="Arial"/>
              </w:rPr>
            </w:pPr>
            <w:r w:rsidRPr="007D6102">
              <w:rPr>
                <w:rFonts w:cs="Arial"/>
                <w:color w:val="000000"/>
                <w:sz w:val="22"/>
                <w:szCs w:val="22"/>
              </w:rPr>
              <w:t>0.045</w:t>
            </w:r>
          </w:p>
        </w:tc>
      </w:tr>
      <w:tr w:rsidR="00AC1325" w:rsidRPr="007D6102" w14:paraId="0EA0CBF5" w14:textId="77777777" w:rsidTr="006B59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390" w:type="dxa"/>
          </w:tcPr>
          <w:p w14:paraId="52FF72BB" w14:textId="77777777" w:rsidR="00AC1325" w:rsidRPr="007D6102" w:rsidRDefault="00AC1325" w:rsidP="006B599B">
            <w:pPr>
              <w:rPr>
                <w:rFonts w:cs="Arial"/>
                <w:i w:val="0"/>
                <w:iCs w:val="0"/>
                <w:color w:val="000000"/>
                <w:sz w:val="22"/>
                <w:szCs w:val="22"/>
              </w:rPr>
            </w:pPr>
            <w:r w:rsidRPr="007D6102">
              <w:rPr>
                <w:rFonts w:cs="Arial"/>
                <w:i w:val="0"/>
                <w:iCs w:val="0"/>
                <w:color w:val="000000"/>
                <w:sz w:val="22"/>
                <w:szCs w:val="22"/>
              </w:rPr>
              <w:t>Western Bass Strait Shelf Transition</w:t>
            </w:r>
          </w:p>
        </w:tc>
        <w:tc>
          <w:tcPr>
            <w:tcW w:w="1616" w:type="dxa"/>
          </w:tcPr>
          <w:p w14:paraId="2CE15144"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5AF775AB"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1</w:t>
            </w:r>
          </w:p>
        </w:tc>
        <w:tc>
          <w:tcPr>
            <w:tcW w:w="1616" w:type="dxa"/>
          </w:tcPr>
          <w:p w14:paraId="626A0466"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2</w:t>
            </w:r>
          </w:p>
        </w:tc>
        <w:tc>
          <w:tcPr>
            <w:tcW w:w="1753" w:type="dxa"/>
          </w:tcPr>
          <w:p w14:paraId="1837B0BF"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0</w:t>
            </w:r>
          </w:p>
        </w:tc>
        <w:tc>
          <w:tcPr>
            <w:tcW w:w="1618" w:type="dxa"/>
          </w:tcPr>
          <w:p w14:paraId="2B84543F" w14:textId="77777777" w:rsidR="00AC1325" w:rsidRPr="007D6102" w:rsidRDefault="00AC1325" w:rsidP="006B599B">
            <w:pPr>
              <w:cnfStyle w:val="000000100000" w:firstRow="0" w:lastRow="0" w:firstColumn="0" w:lastColumn="0" w:oddVBand="0" w:evenVBand="0" w:oddHBand="1" w:evenHBand="0" w:firstRowFirstColumn="0" w:firstRowLastColumn="0" w:lastRowFirstColumn="0" w:lastRowLastColumn="0"/>
              <w:rPr>
                <w:rFonts w:cs="Arial"/>
              </w:rPr>
            </w:pPr>
            <w:r w:rsidRPr="007D6102">
              <w:rPr>
                <w:rFonts w:cs="Arial"/>
                <w:color w:val="000000"/>
                <w:sz w:val="22"/>
                <w:szCs w:val="22"/>
              </w:rPr>
              <w:t>NA</w:t>
            </w:r>
          </w:p>
        </w:tc>
      </w:tr>
    </w:tbl>
    <w:p w14:paraId="49BD2C07" w14:textId="77777777" w:rsidR="00AC1325" w:rsidRPr="007D6102" w:rsidRDefault="00AC1325" w:rsidP="00AC1325">
      <w:pPr>
        <w:keepNext/>
        <w:spacing w:line="360" w:lineRule="auto"/>
        <w:rPr>
          <w:rFonts w:cs="Arial"/>
          <w:b/>
          <w:bCs/>
          <w:color w:val="000000" w:themeColor="text1"/>
          <w:sz w:val="22"/>
          <w:szCs w:val="22"/>
        </w:rPr>
        <w:sectPr w:rsidR="00AC1325" w:rsidRPr="007D6102" w:rsidSect="00F25642">
          <w:headerReference w:type="default" r:id="rId14"/>
          <w:pgSz w:w="16817" w:h="11901" w:orient="landscape"/>
          <w:pgMar w:top="1440" w:right="1440" w:bottom="1440" w:left="1440" w:header="709" w:footer="709" w:gutter="0"/>
          <w:lnNumType w:countBy="5" w:restart="continuous"/>
          <w:cols w:space="708"/>
          <w:docGrid w:linePitch="360"/>
        </w:sectPr>
      </w:pPr>
    </w:p>
    <w:p w14:paraId="794EE0F5" w14:textId="77777777" w:rsidR="00AC1325" w:rsidRDefault="00AC1325" w:rsidP="00AC1325">
      <w:pPr>
        <w:pStyle w:val="Caption"/>
        <w:rPr>
          <w:rFonts w:cs="Arial"/>
        </w:rPr>
      </w:pPr>
    </w:p>
    <w:p w14:paraId="6218FDBB" w14:textId="77777777" w:rsidR="00AC1325" w:rsidRPr="007D6102" w:rsidRDefault="00AC1325" w:rsidP="00AC1325">
      <w:pPr>
        <w:pStyle w:val="Caption"/>
        <w:rPr>
          <w:rFonts w:cs="Arial"/>
        </w:rPr>
      </w:pPr>
      <w:r>
        <w:rPr>
          <w:rFonts w:cs="Arial"/>
        </w:rPr>
        <w:t>Table S2</w:t>
      </w:r>
      <w:r w:rsidRPr="007D6102">
        <w:rPr>
          <w:rFonts w:cs="Arial"/>
        </w:rPr>
        <w:t xml:space="preserve">. Summary of the water temperature (°C) for the releases and recaptures within each jurisdiction. There were no recaptures recorded in </w:t>
      </w:r>
      <w:r>
        <w:rPr>
          <w:rFonts w:cs="Arial"/>
        </w:rPr>
        <w:t>Tas</w:t>
      </w:r>
      <w:r w:rsidRPr="007D6102">
        <w:rPr>
          <w:rFonts w:cs="Arial"/>
        </w:rPr>
        <w:t xml:space="preserve">mania. </w:t>
      </w:r>
    </w:p>
    <w:tbl>
      <w:tblPr>
        <w:tblStyle w:val="PlainTable5"/>
        <w:tblW w:w="14029" w:type="dxa"/>
        <w:tblLook w:val="04A0" w:firstRow="1" w:lastRow="0" w:firstColumn="1" w:lastColumn="0" w:noHBand="0" w:noVBand="1"/>
      </w:tblPr>
      <w:tblGrid>
        <w:gridCol w:w="1852"/>
        <w:gridCol w:w="1834"/>
        <w:gridCol w:w="1723"/>
        <w:gridCol w:w="1724"/>
        <w:gridCol w:w="1724"/>
        <w:gridCol w:w="1724"/>
        <w:gridCol w:w="1724"/>
        <w:gridCol w:w="1724"/>
      </w:tblGrid>
      <w:tr w:rsidR="00AC1325" w:rsidRPr="007D6102" w14:paraId="29EAC5EB" w14:textId="77777777" w:rsidTr="006B59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2" w:type="dxa"/>
          </w:tcPr>
          <w:p w14:paraId="73CAC9F8" w14:textId="77777777" w:rsidR="00AC1325" w:rsidRPr="007D6102" w:rsidRDefault="00AC1325" w:rsidP="006B599B">
            <w:pPr>
              <w:spacing w:line="360" w:lineRule="auto"/>
              <w:rPr>
                <w:rFonts w:cs="Arial"/>
                <w:sz w:val="20"/>
                <w:szCs w:val="20"/>
              </w:rPr>
            </w:pPr>
            <w:r w:rsidRPr="007D6102">
              <w:rPr>
                <w:rFonts w:cs="Arial"/>
                <w:sz w:val="20"/>
                <w:szCs w:val="20"/>
              </w:rPr>
              <w:t>Release/recapture</w:t>
            </w:r>
          </w:p>
        </w:tc>
        <w:tc>
          <w:tcPr>
            <w:tcW w:w="1834" w:type="dxa"/>
          </w:tcPr>
          <w:p w14:paraId="45B32388"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Jurisdiction</w:t>
            </w:r>
          </w:p>
        </w:tc>
        <w:tc>
          <w:tcPr>
            <w:tcW w:w="1723" w:type="dxa"/>
          </w:tcPr>
          <w:p w14:paraId="0466FC97"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Minimum</w:t>
            </w:r>
          </w:p>
        </w:tc>
        <w:tc>
          <w:tcPr>
            <w:tcW w:w="1724" w:type="dxa"/>
          </w:tcPr>
          <w:p w14:paraId="7DF4DAB5"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1</w:t>
            </w:r>
            <w:r w:rsidRPr="007D6102">
              <w:rPr>
                <w:rFonts w:cs="Arial"/>
                <w:sz w:val="20"/>
                <w:szCs w:val="20"/>
                <w:vertAlign w:val="superscript"/>
              </w:rPr>
              <w:t>st</w:t>
            </w:r>
            <w:r w:rsidRPr="007D6102">
              <w:rPr>
                <w:rFonts w:cs="Arial"/>
                <w:sz w:val="20"/>
                <w:szCs w:val="20"/>
              </w:rPr>
              <w:t xml:space="preserve"> quartile</w:t>
            </w:r>
          </w:p>
        </w:tc>
        <w:tc>
          <w:tcPr>
            <w:tcW w:w="1724" w:type="dxa"/>
          </w:tcPr>
          <w:p w14:paraId="35775840"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Median</w:t>
            </w:r>
          </w:p>
        </w:tc>
        <w:tc>
          <w:tcPr>
            <w:tcW w:w="1724" w:type="dxa"/>
          </w:tcPr>
          <w:p w14:paraId="3E816AE3"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Mean</w:t>
            </w:r>
          </w:p>
        </w:tc>
        <w:tc>
          <w:tcPr>
            <w:tcW w:w="1724" w:type="dxa"/>
          </w:tcPr>
          <w:p w14:paraId="05EE65ED"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3</w:t>
            </w:r>
            <w:r w:rsidRPr="007D6102">
              <w:rPr>
                <w:rFonts w:cs="Arial"/>
                <w:sz w:val="20"/>
                <w:szCs w:val="20"/>
                <w:vertAlign w:val="superscript"/>
              </w:rPr>
              <w:t>rd</w:t>
            </w:r>
            <w:r w:rsidRPr="007D6102">
              <w:rPr>
                <w:rFonts w:cs="Arial"/>
                <w:sz w:val="20"/>
                <w:szCs w:val="20"/>
              </w:rPr>
              <w:t xml:space="preserve"> quartile</w:t>
            </w:r>
          </w:p>
        </w:tc>
        <w:tc>
          <w:tcPr>
            <w:tcW w:w="1724" w:type="dxa"/>
          </w:tcPr>
          <w:p w14:paraId="25C8F84F" w14:textId="77777777" w:rsidR="00AC1325" w:rsidRPr="007D6102" w:rsidRDefault="00AC1325" w:rsidP="006B599B">
            <w:pPr>
              <w:spacing w:line="36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Maximum</w:t>
            </w:r>
          </w:p>
        </w:tc>
      </w:tr>
      <w:tr w:rsidR="00AC1325" w:rsidRPr="007D6102" w14:paraId="65353B6B"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EB78C55" w14:textId="77777777" w:rsidR="00AC1325" w:rsidRPr="007D6102" w:rsidRDefault="00AC1325" w:rsidP="006B599B">
            <w:pPr>
              <w:spacing w:line="360" w:lineRule="auto"/>
              <w:rPr>
                <w:rFonts w:cs="Arial"/>
                <w:sz w:val="20"/>
                <w:szCs w:val="20"/>
              </w:rPr>
            </w:pPr>
            <w:r w:rsidRPr="007D6102">
              <w:rPr>
                <w:rFonts w:cs="Arial"/>
                <w:sz w:val="20"/>
                <w:szCs w:val="20"/>
              </w:rPr>
              <w:t>Release</w:t>
            </w:r>
          </w:p>
        </w:tc>
        <w:tc>
          <w:tcPr>
            <w:tcW w:w="1834" w:type="dxa"/>
          </w:tcPr>
          <w:p w14:paraId="528F690D" w14:textId="77777777" w:rsidR="00AC1325" w:rsidRPr="007D6102" w:rsidRDefault="00AC1325" w:rsidP="006B599B">
            <w:pPr>
              <w:spacing w:line="360" w:lineRule="auto"/>
              <w:ind w:right="-205"/>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New South Wales</w:t>
            </w:r>
          </w:p>
        </w:tc>
        <w:tc>
          <w:tcPr>
            <w:tcW w:w="1723" w:type="dxa"/>
          </w:tcPr>
          <w:p w14:paraId="62BDFF32"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13.34</w:t>
            </w:r>
          </w:p>
        </w:tc>
        <w:tc>
          <w:tcPr>
            <w:tcW w:w="1724" w:type="dxa"/>
          </w:tcPr>
          <w:p w14:paraId="2DF41B73"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19.32</w:t>
            </w:r>
          </w:p>
        </w:tc>
        <w:tc>
          <w:tcPr>
            <w:tcW w:w="1724" w:type="dxa"/>
          </w:tcPr>
          <w:p w14:paraId="08CDCF0A"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20.87</w:t>
            </w:r>
          </w:p>
        </w:tc>
        <w:tc>
          <w:tcPr>
            <w:tcW w:w="1724" w:type="dxa"/>
          </w:tcPr>
          <w:p w14:paraId="5A8C7851"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20.71</w:t>
            </w:r>
          </w:p>
        </w:tc>
        <w:tc>
          <w:tcPr>
            <w:tcW w:w="1724" w:type="dxa"/>
          </w:tcPr>
          <w:p w14:paraId="59F0926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22.11</w:t>
            </w:r>
          </w:p>
        </w:tc>
        <w:tc>
          <w:tcPr>
            <w:tcW w:w="1724" w:type="dxa"/>
          </w:tcPr>
          <w:p w14:paraId="7D2DE849"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26.7</w:t>
            </w:r>
          </w:p>
        </w:tc>
      </w:tr>
      <w:tr w:rsidR="00AC1325" w:rsidRPr="007D6102" w14:paraId="01C185ED"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46355E4C" w14:textId="77777777" w:rsidR="00AC1325" w:rsidRPr="007D6102" w:rsidRDefault="00AC1325" w:rsidP="006B599B">
            <w:pPr>
              <w:spacing w:line="360" w:lineRule="auto"/>
              <w:rPr>
                <w:rFonts w:cs="Arial"/>
                <w:sz w:val="20"/>
                <w:szCs w:val="20"/>
              </w:rPr>
            </w:pPr>
          </w:p>
        </w:tc>
        <w:tc>
          <w:tcPr>
            <w:tcW w:w="1834" w:type="dxa"/>
          </w:tcPr>
          <w:p w14:paraId="086F6F11"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New Zealand</w:t>
            </w:r>
          </w:p>
        </w:tc>
        <w:tc>
          <w:tcPr>
            <w:tcW w:w="1723" w:type="dxa"/>
          </w:tcPr>
          <w:p w14:paraId="3604906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10.74</w:t>
            </w:r>
          </w:p>
        </w:tc>
        <w:tc>
          <w:tcPr>
            <w:tcW w:w="1724" w:type="dxa"/>
          </w:tcPr>
          <w:p w14:paraId="6824A63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17.63</w:t>
            </w:r>
          </w:p>
        </w:tc>
        <w:tc>
          <w:tcPr>
            <w:tcW w:w="1724" w:type="dxa"/>
          </w:tcPr>
          <w:p w14:paraId="6109944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19.69</w:t>
            </w:r>
          </w:p>
        </w:tc>
        <w:tc>
          <w:tcPr>
            <w:tcW w:w="1724" w:type="dxa"/>
          </w:tcPr>
          <w:p w14:paraId="478A2AC7"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19.18</w:t>
            </w:r>
          </w:p>
        </w:tc>
        <w:tc>
          <w:tcPr>
            <w:tcW w:w="1724" w:type="dxa"/>
          </w:tcPr>
          <w:p w14:paraId="1A97FCF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20.87</w:t>
            </w:r>
          </w:p>
        </w:tc>
        <w:tc>
          <w:tcPr>
            <w:tcW w:w="1724" w:type="dxa"/>
          </w:tcPr>
          <w:p w14:paraId="53D0866A"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23.83</w:t>
            </w:r>
          </w:p>
        </w:tc>
      </w:tr>
      <w:tr w:rsidR="00AC1325" w:rsidRPr="007D6102" w14:paraId="2C1F7881"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783B7A69" w14:textId="77777777" w:rsidR="00AC1325" w:rsidRPr="007D6102" w:rsidRDefault="00AC1325" w:rsidP="006B599B">
            <w:pPr>
              <w:spacing w:line="360" w:lineRule="auto"/>
              <w:rPr>
                <w:rFonts w:cs="Arial"/>
                <w:sz w:val="20"/>
                <w:szCs w:val="20"/>
              </w:rPr>
            </w:pPr>
          </w:p>
        </w:tc>
        <w:tc>
          <w:tcPr>
            <w:tcW w:w="1834" w:type="dxa"/>
          </w:tcPr>
          <w:p w14:paraId="1CD3F986"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South Australia</w:t>
            </w:r>
          </w:p>
        </w:tc>
        <w:tc>
          <w:tcPr>
            <w:tcW w:w="1723" w:type="dxa"/>
          </w:tcPr>
          <w:p w14:paraId="0B1838F7"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18.9</w:t>
            </w:r>
          </w:p>
        </w:tc>
        <w:tc>
          <w:tcPr>
            <w:tcW w:w="1724" w:type="dxa"/>
          </w:tcPr>
          <w:p w14:paraId="3B4E0072"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21.15</w:t>
            </w:r>
          </w:p>
        </w:tc>
        <w:tc>
          <w:tcPr>
            <w:tcW w:w="1724" w:type="dxa"/>
          </w:tcPr>
          <w:p w14:paraId="3A73EF67"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22.4</w:t>
            </w:r>
          </w:p>
        </w:tc>
        <w:tc>
          <w:tcPr>
            <w:tcW w:w="1724" w:type="dxa"/>
          </w:tcPr>
          <w:p w14:paraId="0CB42208"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22.83</w:t>
            </w:r>
          </w:p>
        </w:tc>
        <w:tc>
          <w:tcPr>
            <w:tcW w:w="1724" w:type="dxa"/>
          </w:tcPr>
          <w:p w14:paraId="758A37B0"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24.28</w:t>
            </w:r>
          </w:p>
        </w:tc>
        <w:tc>
          <w:tcPr>
            <w:tcW w:w="1724" w:type="dxa"/>
          </w:tcPr>
          <w:p w14:paraId="52875046"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28.86</w:t>
            </w:r>
          </w:p>
        </w:tc>
      </w:tr>
      <w:tr w:rsidR="00AC1325" w:rsidRPr="007D6102" w14:paraId="56F56EB6"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4E5EB5FE" w14:textId="77777777" w:rsidR="00AC1325" w:rsidRPr="007D6102" w:rsidRDefault="00AC1325" w:rsidP="006B599B">
            <w:pPr>
              <w:spacing w:line="360" w:lineRule="auto"/>
              <w:rPr>
                <w:rFonts w:cs="Arial"/>
                <w:sz w:val="20"/>
                <w:szCs w:val="20"/>
              </w:rPr>
            </w:pPr>
          </w:p>
        </w:tc>
        <w:tc>
          <w:tcPr>
            <w:tcW w:w="1834" w:type="dxa"/>
          </w:tcPr>
          <w:p w14:paraId="2278B5E7"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Queensland</w:t>
            </w:r>
          </w:p>
        </w:tc>
        <w:tc>
          <w:tcPr>
            <w:tcW w:w="1723" w:type="dxa"/>
          </w:tcPr>
          <w:p w14:paraId="0BE7369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11.81</w:t>
            </w:r>
          </w:p>
        </w:tc>
        <w:tc>
          <w:tcPr>
            <w:tcW w:w="1724" w:type="dxa"/>
          </w:tcPr>
          <w:p w14:paraId="4025DFE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17.8</w:t>
            </w:r>
          </w:p>
        </w:tc>
        <w:tc>
          <w:tcPr>
            <w:tcW w:w="1724" w:type="dxa"/>
          </w:tcPr>
          <w:p w14:paraId="080B585E"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18.94</w:t>
            </w:r>
          </w:p>
        </w:tc>
        <w:tc>
          <w:tcPr>
            <w:tcW w:w="1724" w:type="dxa"/>
          </w:tcPr>
          <w:p w14:paraId="3649D183"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18.64</w:t>
            </w:r>
          </w:p>
        </w:tc>
        <w:tc>
          <w:tcPr>
            <w:tcW w:w="1724" w:type="dxa"/>
          </w:tcPr>
          <w:p w14:paraId="48F74D61"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19.58</w:t>
            </w:r>
          </w:p>
        </w:tc>
        <w:tc>
          <w:tcPr>
            <w:tcW w:w="1724" w:type="dxa"/>
          </w:tcPr>
          <w:p w14:paraId="52606452"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22.95</w:t>
            </w:r>
          </w:p>
        </w:tc>
      </w:tr>
      <w:tr w:rsidR="00AC1325" w:rsidRPr="007D6102" w14:paraId="3C8763FE"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0A51C8D" w14:textId="77777777" w:rsidR="00AC1325" w:rsidRPr="007D6102" w:rsidRDefault="00AC1325" w:rsidP="006B599B">
            <w:pPr>
              <w:spacing w:line="360" w:lineRule="auto"/>
              <w:rPr>
                <w:rFonts w:cs="Arial"/>
                <w:sz w:val="20"/>
                <w:szCs w:val="20"/>
              </w:rPr>
            </w:pPr>
          </w:p>
        </w:tc>
        <w:tc>
          <w:tcPr>
            <w:tcW w:w="1834" w:type="dxa"/>
          </w:tcPr>
          <w:p w14:paraId="79451E4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Tas</w:t>
            </w:r>
            <w:r w:rsidRPr="007D6102">
              <w:rPr>
                <w:rFonts w:cs="Arial"/>
                <w:sz w:val="20"/>
                <w:szCs w:val="20"/>
              </w:rPr>
              <w:t>mania</w:t>
            </w:r>
          </w:p>
        </w:tc>
        <w:tc>
          <w:tcPr>
            <w:tcW w:w="1723" w:type="dxa"/>
          </w:tcPr>
          <w:p w14:paraId="6BA8119D"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17.54</w:t>
            </w:r>
          </w:p>
        </w:tc>
        <w:tc>
          <w:tcPr>
            <w:tcW w:w="1724" w:type="dxa"/>
          </w:tcPr>
          <w:p w14:paraId="29B8A34E"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17.54</w:t>
            </w:r>
          </w:p>
        </w:tc>
        <w:tc>
          <w:tcPr>
            <w:tcW w:w="1724" w:type="dxa"/>
          </w:tcPr>
          <w:p w14:paraId="2B5DB723"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17.61</w:t>
            </w:r>
          </w:p>
        </w:tc>
        <w:tc>
          <w:tcPr>
            <w:tcW w:w="1724" w:type="dxa"/>
          </w:tcPr>
          <w:p w14:paraId="45477E59"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17.97</w:t>
            </w:r>
          </w:p>
        </w:tc>
        <w:tc>
          <w:tcPr>
            <w:tcW w:w="1724" w:type="dxa"/>
          </w:tcPr>
          <w:p w14:paraId="62C704D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18.11</w:t>
            </w:r>
          </w:p>
        </w:tc>
        <w:tc>
          <w:tcPr>
            <w:tcW w:w="1724" w:type="dxa"/>
          </w:tcPr>
          <w:p w14:paraId="08122E50"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13.12</w:t>
            </w:r>
          </w:p>
        </w:tc>
      </w:tr>
      <w:tr w:rsidR="00AC1325" w:rsidRPr="007D6102" w14:paraId="55A377A8"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3113D234" w14:textId="77777777" w:rsidR="00AC1325" w:rsidRPr="007D6102" w:rsidRDefault="00AC1325" w:rsidP="006B599B">
            <w:pPr>
              <w:spacing w:line="360" w:lineRule="auto"/>
              <w:rPr>
                <w:rFonts w:cs="Arial"/>
                <w:sz w:val="20"/>
                <w:szCs w:val="20"/>
              </w:rPr>
            </w:pPr>
          </w:p>
        </w:tc>
        <w:tc>
          <w:tcPr>
            <w:tcW w:w="1834" w:type="dxa"/>
          </w:tcPr>
          <w:p w14:paraId="6073E0F1"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Vic</w:t>
            </w:r>
            <w:r w:rsidRPr="007D6102">
              <w:rPr>
                <w:rFonts w:cs="Arial"/>
                <w:sz w:val="20"/>
                <w:szCs w:val="20"/>
              </w:rPr>
              <w:t>toria</w:t>
            </w:r>
          </w:p>
        </w:tc>
        <w:tc>
          <w:tcPr>
            <w:tcW w:w="1723" w:type="dxa"/>
          </w:tcPr>
          <w:p w14:paraId="5889656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15.02</w:t>
            </w:r>
          </w:p>
        </w:tc>
        <w:tc>
          <w:tcPr>
            <w:tcW w:w="1724" w:type="dxa"/>
          </w:tcPr>
          <w:p w14:paraId="2A03F0D1"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18.12</w:t>
            </w:r>
          </w:p>
        </w:tc>
        <w:tc>
          <w:tcPr>
            <w:tcW w:w="1724" w:type="dxa"/>
          </w:tcPr>
          <w:p w14:paraId="743A57F1"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18.54</w:t>
            </w:r>
          </w:p>
        </w:tc>
        <w:tc>
          <w:tcPr>
            <w:tcW w:w="1724" w:type="dxa"/>
          </w:tcPr>
          <w:p w14:paraId="7D4CA67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18.72</w:t>
            </w:r>
          </w:p>
        </w:tc>
        <w:tc>
          <w:tcPr>
            <w:tcW w:w="1724" w:type="dxa"/>
          </w:tcPr>
          <w:p w14:paraId="009B356B"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19.39</w:t>
            </w:r>
          </w:p>
        </w:tc>
        <w:tc>
          <w:tcPr>
            <w:tcW w:w="1724" w:type="dxa"/>
          </w:tcPr>
          <w:p w14:paraId="5D5D0C0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22.3</w:t>
            </w:r>
          </w:p>
        </w:tc>
      </w:tr>
      <w:tr w:rsidR="00AC1325" w:rsidRPr="007D6102" w14:paraId="09776411"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7B324AC9" w14:textId="77777777" w:rsidR="00AC1325" w:rsidRPr="007D6102" w:rsidRDefault="00AC1325" w:rsidP="006B599B">
            <w:pPr>
              <w:spacing w:line="360" w:lineRule="auto"/>
              <w:rPr>
                <w:rFonts w:cs="Arial"/>
                <w:sz w:val="20"/>
                <w:szCs w:val="20"/>
              </w:rPr>
            </w:pPr>
          </w:p>
        </w:tc>
        <w:tc>
          <w:tcPr>
            <w:tcW w:w="1834" w:type="dxa"/>
          </w:tcPr>
          <w:p w14:paraId="536BEA4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Western Australia</w:t>
            </w:r>
          </w:p>
        </w:tc>
        <w:tc>
          <w:tcPr>
            <w:tcW w:w="1723" w:type="dxa"/>
          </w:tcPr>
          <w:p w14:paraId="6E082106"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17.71</w:t>
            </w:r>
          </w:p>
        </w:tc>
        <w:tc>
          <w:tcPr>
            <w:tcW w:w="1724" w:type="dxa"/>
          </w:tcPr>
          <w:p w14:paraId="48E7E4F5"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20.15</w:t>
            </w:r>
          </w:p>
        </w:tc>
        <w:tc>
          <w:tcPr>
            <w:tcW w:w="1724" w:type="dxa"/>
          </w:tcPr>
          <w:p w14:paraId="03475590"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21.51</w:t>
            </w:r>
          </w:p>
        </w:tc>
        <w:tc>
          <w:tcPr>
            <w:tcW w:w="1724" w:type="dxa"/>
          </w:tcPr>
          <w:p w14:paraId="62AA1E85"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21.22</w:t>
            </w:r>
          </w:p>
        </w:tc>
        <w:tc>
          <w:tcPr>
            <w:tcW w:w="1724" w:type="dxa"/>
          </w:tcPr>
          <w:p w14:paraId="3361D0C7"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22.27</w:t>
            </w:r>
          </w:p>
        </w:tc>
        <w:tc>
          <w:tcPr>
            <w:tcW w:w="1724" w:type="dxa"/>
          </w:tcPr>
          <w:p w14:paraId="4A932175"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27.91</w:t>
            </w:r>
          </w:p>
        </w:tc>
      </w:tr>
      <w:tr w:rsidR="00AC1325" w:rsidRPr="007D6102" w14:paraId="33E37499" w14:textId="77777777" w:rsidTr="006B599B">
        <w:tc>
          <w:tcPr>
            <w:cnfStyle w:val="001000000000" w:firstRow="0" w:lastRow="0" w:firstColumn="1" w:lastColumn="0" w:oddVBand="0" w:evenVBand="0" w:oddHBand="0" w:evenHBand="0" w:firstRowFirstColumn="0" w:firstRowLastColumn="0" w:lastRowFirstColumn="0" w:lastRowLastColumn="0"/>
            <w:tcW w:w="1852" w:type="dxa"/>
            <w:tcBorders>
              <w:bottom w:val="single" w:sz="4" w:space="0" w:color="auto"/>
            </w:tcBorders>
          </w:tcPr>
          <w:p w14:paraId="44469C7E" w14:textId="77777777" w:rsidR="00AC1325" w:rsidRPr="007D6102" w:rsidRDefault="00AC1325" w:rsidP="006B599B">
            <w:pPr>
              <w:spacing w:line="360" w:lineRule="auto"/>
              <w:rPr>
                <w:rFonts w:cs="Arial"/>
                <w:sz w:val="20"/>
                <w:szCs w:val="20"/>
              </w:rPr>
            </w:pPr>
          </w:p>
        </w:tc>
        <w:tc>
          <w:tcPr>
            <w:tcW w:w="1834" w:type="dxa"/>
            <w:tcBorders>
              <w:bottom w:val="single" w:sz="4" w:space="0" w:color="808080"/>
            </w:tcBorders>
          </w:tcPr>
          <w:p w14:paraId="63EE7014"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All releases</w:t>
            </w:r>
          </w:p>
        </w:tc>
        <w:tc>
          <w:tcPr>
            <w:tcW w:w="1723" w:type="dxa"/>
            <w:tcBorders>
              <w:bottom w:val="single" w:sz="4" w:space="0" w:color="808080"/>
            </w:tcBorders>
          </w:tcPr>
          <w:p w14:paraId="4D4E951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10.74</w:t>
            </w:r>
          </w:p>
        </w:tc>
        <w:tc>
          <w:tcPr>
            <w:tcW w:w="1724" w:type="dxa"/>
            <w:tcBorders>
              <w:bottom w:val="single" w:sz="4" w:space="0" w:color="808080"/>
            </w:tcBorders>
          </w:tcPr>
          <w:p w14:paraId="5ABA8DC9"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18.61</w:t>
            </w:r>
          </w:p>
        </w:tc>
        <w:tc>
          <w:tcPr>
            <w:tcW w:w="1724" w:type="dxa"/>
            <w:tcBorders>
              <w:bottom w:val="single" w:sz="4" w:space="0" w:color="808080"/>
            </w:tcBorders>
          </w:tcPr>
          <w:p w14:paraId="41DE5094"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20.22</w:t>
            </w:r>
          </w:p>
        </w:tc>
        <w:tc>
          <w:tcPr>
            <w:tcW w:w="1724" w:type="dxa"/>
            <w:tcBorders>
              <w:bottom w:val="single" w:sz="4" w:space="0" w:color="808080"/>
            </w:tcBorders>
          </w:tcPr>
          <w:p w14:paraId="08C62193"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19.95</w:t>
            </w:r>
          </w:p>
        </w:tc>
        <w:tc>
          <w:tcPr>
            <w:tcW w:w="1724" w:type="dxa"/>
            <w:tcBorders>
              <w:bottom w:val="single" w:sz="4" w:space="0" w:color="808080"/>
            </w:tcBorders>
          </w:tcPr>
          <w:p w14:paraId="3402B5C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21.43</w:t>
            </w:r>
          </w:p>
        </w:tc>
        <w:tc>
          <w:tcPr>
            <w:tcW w:w="1724" w:type="dxa"/>
            <w:tcBorders>
              <w:bottom w:val="single" w:sz="4" w:space="0" w:color="808080"/>
            </w:tcBorders>
          </w:tcPr>
          <w:p w14:paraId="67048807"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28.86</w:t>
            </w:r>
          </w:p>
        </w:tc>
      </w:tr>
      <w:tr w:rsidR="00AC1325" w:rsidRPr="007D6102" w14:paraId="643D24FC"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top w:val="single" w:sz="4" w:space="0" w:color="auto"/>
            </w:tcBorders>
          </w:tcPr>
          <w:p w14:paraId="37FCD551" w14:textId="77777777" w:rsidR="00AC1325" w:rsidRPr="007D6102" w:rsidRDefault="00AC1325" w:rsidP="006B599B">
            <w:pPr>
              <w:spacing w:line="360" w:lineRule="auto"/>
              <w:rPr>
                <w:rFonts w:cs="Arial"/>
                <w:sz w:val="20"/>
                <w:szCs w:val="20"/>
              </w:rPr>
            </w:pPr>
            <w:r w:rsidRPr="007D6102">
              <w:rPr>
                <w:rFonts w:cs="Arial"/>
                <w:sz w:val="20"/>
                <w:szCs w:val="20"/>
              </w:rPr>
              <w:t>Recapture</w:t>
            </w:r>
          </w:p>
        </w:tc>
        <w:tc>
          <w:tcPr>
            <w:tcW w:w="1834" w:type="dxa"/>
            <w:tcBorders>
              <w:top w:val="single" w:sz="4" w:space="0" w:color="808080"/>
            </w:tcBorders>
          </w:tcPr>
          <w:p w14:paraId="7990660E"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New South Wales</w:t>
            </w:r>
          </w:p>
        </w:tc>
        <w:tc>
          <w:tcPr>
            <w:tcW w:w="1723" w:type="dxa"/>
            <w:tcBorders>
              <w:top w:val="single" w:sz="4" w:space="0" w:color="808080"/>
            </w:tcBorders>
          </w:tcPr>
          <w:p w14:paraId="33A81AED"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18.57</w:t>
            </w:r>
          </w:p>
        </w:tc>
        <w:tc>
          <w:tcPr>
            <w:tcW w:w="1724" w:type="dxa"/>
            <w:tcBorders>
              <w:top w:val="single" w:sz="4" w:space="0" w:color="808080"/>
            </w:tcBorders>
          </w:tcPr>
          <w:p w14:paraId="531DC8E5"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21.06</w:t>
            </w:r>
          </w:p>
        </w:tc>
        <w:tc>
          <w:tcPr>
            <w:tcW w:w="1724" w:type="dxa"/>
            <w:tcBorders>
              <w:top w:val="single" w:sz="4" w:space="0" w:color="808080"/>
            </w:tcBorders>
          </w:tcPr>
          <w:p w14:paraId="38B0C804"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21.17</w:t>
            </w:r>
          </w:p>
        </w:tc>
        <w:tc>
          <w:tcPr>
            <w:tcW w:w="1724" w:type="dxa"/>
            <w:tcBorders>
              <w:top w:val="single" w:sz="4" w:space="0" w:color="808080"/>
            </w:tcBorders>
          </w:tcPr>
          <w:p w14:paraId="70F61E96"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21.65</w:t>
            </w:r>
          </w:p>
        </w:tc>
        <w:tc>
          <w:tcPr>
            <w:tcW w:w="1724" w:type="dxa"/>
            <w:tcBorders>
              <w:top w:val="single" w:sz="4" w:space="0" w:color="808080"/>
            </w:tcBorders>
          </w:tcPr>
          <w:p w14:paraId="2D00583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22.15</w:t>
            </w:r>
          </w:p>
        </w:tc>
        <w:tc>
          <w:tcPr>
            <w:tcW w:w="1724" w:type="dxa"/>
            <w:tcBorders>
              <w:top w:val="single" w:sz="4" w:space="0" w:color="808080"/>
            </w:tcBorders>
          </w:tcPr>
          <w:p w14:paraId="01458CF4"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25.64</w:t>
            </w:r>
          </w:p>
        </w:tc>
      </w:tr>
      <w:tr w:rsidR="00AC1325" w:rsidRPr="007D6102" w14:paraId="08001777"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18C0C82B" w14:textId="77777777" w:rsidR="00AC1325" w:rsidRPr="007D6102" w:rsidRDefault="00AC1325" w:rsidP="006B599B">
            <w:pPr>
              <w:spacing w:line="360" w:lineRule="auto"/>
              <w:rPr>
                <w:rFonts w:cs="Arial"/>
                <w:sz w:val="20"/>
                <w:szCs w:val="20"/>
              </w:rPr>
            </w:pPr>
          </w:p>
        </w:tc>
        <w:tc>
          <w:tcPr>
            <w:tcW w:w="1834" w:type="dxa"/>
          </w:tcPr>
          <w:p w14:paraId="36CBD8C9"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New Zealand</w:t>
            </w:r>
          </w:p>
        </w:tc>
        <w:tc>
          <w:tcPr>
            <w:tcW w:w="1723" w:type="dxa"/>
          </w:tcPr>
          <w:p w14:paraId="45487594"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12.28</w:t>
            </w:r>
          </w:p>
        </w:tc>
        <w:tc>
          <w:tcPr>
            <w:tcW w:w="1724" w:type="dxa"/>
          </w:tcPr>
          <w:p w14:paraId="07D39173"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19.03</w:t>
            </w:r>
          </w:p>
        </w:tc>
        <w:tc>
          <w:tcPr>
            <w:tcW w:w="1724" w:type="dxa"/>
          </w:tcPr>
          <w:p w14:paraId="5A7FA4B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19.47</w:t>
            </w:r>
          </w:p>
        </w:tc>
        <w:tc>
          <w:tcPr>
            <w:tcW w:w="1724" w:type="dxa"/>
          </w:tcPr>
          <w:p w14:paraId="6DDF0CAB"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19.43</w:t>
            </w:r>
          </w:p>
        </w:tc>
        <w:tc>
          <w:tcPr>
            <w:tcW w:w="1724" w:type="dxa"/>
          </w:tcPr>
          <w:p w14:paraId="20F5F68E"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19.9</w:t>
            </w:r>
          </w:p>
        </w:tc>
        <w:tc>
          <w:tcPr>
            <w:tcW w:w="1724" w:type="dxa"/>
          </w:tcPr>
          <w:p w14:paraId="170077C9"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22.27</w:t>
            </w:r>
          </w:p>
        </w:tc>
      </w:tr>
      <w:tr w:rsidR="00AC1325" w:rsidRPr="007D6102" w14:paraId="0274D1D4"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0690E19D" w14:textId="77777777" w:rsidR="00AC1325" w:rsidRPr="007D6102" w:rsidRDefault="00AC1325" w:rsidP="006B599B">
            <w:pPr>
              <w:spacing w:line="360" w:lineRule="auto"/>
              <w:rPr>
                <w:rFonts w:cs="Arial"/>
                <w:sz w:val="20"/>
                <w:szCs w:val="20"/>
              </w:rPr>
            </w:pPr>
          </w:p>
        </w:tc>
        <w:tc>
          <w:tcPr>
            <w:tcW w:w="1834" w:type="dxa"/>
          </w:tcPr>
          <w:p w14:paraId="7F2BEC0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South Australia</w:t>
            </w:r>
          </w:p>
        </w:tc>
        <w:tc>
          <w:tcPr>
            <w:tcW w:w="1723" w:type="dxa"/>
          </w:tcPr>
          <w:p w14:paraId="530B620C"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24.27</w:t>
            </w:r>
          </w:p>
        </w:tc>
        <w:tc>
          <w:tcPr>
            <w:tcW w:w="1724" w:type="dxa"/>
          </w:tcPr>
          <w:p w14:paraId="76BD5088"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24.95</w:t>
            </w:r>
          </w:p>
        </w:tc>
        <w:tc>
          <w:tcPr>
            <w:tcW w:w="1724" w:type="dxa"/>
          </w:tcPr>
          <w:p w14:paraId="57C75A01"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25.52</w:t>
            </w:r>
          </w:p>
        </w:tc>
        <w:tc>
          <w:tcPr>
            <w:tcW w:w="1724" w:type="dxa"/>
          </w:tcPr>
          <w:p w14:paraId="15D4C816"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25.7</w:t>
            </w:r>
          </w:p>
        </w:tc>
        <w:tc>
          <w:tcPr>
            <w:tcW w:w="1724" w:type="dxa"/>
          </w:tcPr>
          <w:p w14:paraId="1F0CA0CD"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26.32</w:t>
            </w:r>
          </w:p>
        </w:tc>
        <w:tc>
          <w:tcPr>
            <w:tcW w:w="1724" w:type="dxa"/>
          </w:tcPr>
          <w:p w14:paraId="4281A3C7"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27.86</w:t>
            </w:r>
          </w:p>
        </w:tc>
      </w:tr>
      <w:tr w:rsidR="00AC1325" w:rsidRPr="007D6102" w14:paraId="349059E0"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56A25EE6" w14:textId="77777777" w:rsidR="00AC1325" w:rsidRPr="007D6102" w:rsidRDefault="00AC1325" w:rsidP="006B599B">
            <w:pPr>
              <w:spacing w:line="360" w:lineRule="auto"/>
              <w:rPr>
                <w:rFonts w:cs="Arial"/>
                <w:sz w:val="20"/>
                <w:szCs w:val="20"/>
              </w:rPr>
            </w:pPr>
          </w:p>
        </w:tc>
        <w:tc>
          <w:tcPr>
            <w:tcW w:w="1834" w:type="dxa"/>
          </w:tcPr>
          <w:p w14:paraId="2E1F6FD4"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Queensland</w:t>
            </w:r>
          </w:p>
        </w:tc>
        <w:tc>
          <w:tcPr>
            <w:tcW w:w="1723" w:type="dxa"/>
          </w:tcPr>
          <w:p w14:paraId="0711F36F"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17.05</w:t>
            </w:r>
          </w:p>
        </w:tc>
        <w:tc>
          <w:tcPr>
            <w:tcW w:w="1724" w:type="dxa"/>
          </w:tcPr>
          <w:p w14:paraId="56B48D83"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18.6</w:t>
            </w:r>
          </w:p>
        </w:tc>
        <w:tc>
          <w:tcPr>
            <w:tcW w:w="1724" w:type="dxa"/>
          </w:tcPr>
          <w:p w14:paraId="67A5D08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19.39</w:t>
            </w:r>
          </w:p>
        </w:tc>
        <w:tc>
          <w:tcPr>
            <w:tcW w:w="1724" w:type="dxa"/>
          </w:tcPr>
          <w:p w14:paraId="5F3DA122"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20.08</w:t>
            </w:r>
          </w:p>
        </w:tc>
        <w:tc>
          <w:tcPr>
            <w:tcW w:w="1724" w:type="dxa"/>
          </w:tcPr>
          <w:p w14:paraId="5A5B8A3D"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20.96</w:t>
            </w:r>
          </w:p>
        </w:tc>
        <w:tc>
          <w:tcPr>
            <w:tcW w:w="1724" w:type="dxa"/>
          </w:tcPr>
          <w:p w14:paraId="04D32DCA"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24.55</w:t>
            </w:r>
          </w:p>
        </w:tc>
      </w:tr>
      <w:tr w:rsidR="00AC1325" w:rsidRPr="007D6102" w14:paraId="6B8363F7"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20D4C8C2" w14:textId="77777777" w:rsidR="00AC1325" w:rsidRPr="007D6102" w:rsidRDefault="00AC1325" w:rsidP="006B599B">
            <w:pPr>
              <w:spacing w:line="360" w:lineRule="auto"/>
              <w:rPr>
                <w:rFonts w:cs="Arial"/>
                <w:sz w:val="20"/>
                <w:szCs w:val="20"/>
              </w:rPr>
            </w:pPr>
          </w:p>
        </w:tc>
        <w:tc>
          <w:tcPr>
            <w:tcW w:w="1834" w:type="dxa"/>
          </w:tcPr>
          <w:p w14:paraId="1E2680E9"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Vic</w:t>
            </w:r>
            <w:r w:rsidRPr="007D6102">
              <w:rPr>
                <w:rFonts w:cs="Arial"/>
                <w:sz w:val="20"/>
                <w:szCs w:val="20"/>
              </w:rPr>
              <w:t>toria</w:t>
            </w:r>
          </w:p>
        </w:tc>
        <w:tc>
          <w:tcPr>
            <w:tcW w:w="1723" w:type="dxa"/>
          </w:tcPr>
          <w:p w14:paraId="462C3A98"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w:t>
            </w:r>
          </w:p>
        </w:tc>
        <w:tc>
          <w:tcPr>
            <w:tcW w:w="1724" w:type="dxa"/>
          </w:tcPr>
          <w:p w14:paraId="29D0ABC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17.77</w:t>
            </w:r>
          </w:p>
        </w:tc>
        <w:tc>
          <w:tcPr>
            <w:tcW w:w="1724" w:type="dxa"/>
          </w:tcPr>
          <w:p w14:paraId="455B44AA"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18.79</w:t>
            </w:r>
          </w:p>
        </w:tc>
        <w:tc>
          <w:tcPr>
            <w:tcW w:w="1724" w:type="dxa"/>
          </w:tcPr>
          <w:p w14:paraId="59661741"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18.45</w:t>
            </w:r>
          </w:p>
        </w:tc>
        <w:tc>
          <w:tcPr>
            <w:tcW w:w="1724" w:type="dxa"/>
          </w:tcPr>
          <w:p w14:paraId="3C970F3A"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18.9</w:t>
            </w:r>
          </w:p>
        </w:tc>
        <w:tc>
          <w:tcPr>
            <w:tcW w:w="1724" w:type="dxa"/>
          </w:tcPr>
          <w:p w14:paraId="0A2FEC28"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color w:val="000000"/>
                <w:sz w:val="20"/>
                <w:szCs w:val="20"/>
              </w:rPr>
              <w:t>19.11</w:t>
            </w:r>
          </w:p>
        </w:tc>
      </w:tr>
      <w:tr w:rsidR="00AC1325" w:rsidRPr="007D6102" w14:paraId="1F2533F3" w14:textId="77777777" w:rsidTr="006B599B">
        <w:tc>
          <w:tcPr>
            <w:cnfStyle w:val="001000000000" w:firstRow="0" w:lastRow="0" w:firstColumn="1" w:lastColumn="0" w:oddVBand="0" w:evenVBand="0" w:oddHBand="0" w:evenHBand="0" w:firstRowFirstColumn="0" w:firstRowLastColumn="0" w:lastRowFirstColumn="0" w:lastRowLastColumn="0"/>
            <w:tcW w:w="1852" w:type="dxa"/>
          </w:tcPr>
          <w:p w14:paraId="2A9EE5BB" w14:textId="77777777" w:rsidR="00AC1325" w:rsidRPr="007D6102" w:rsidRDefault="00AC1325" w:rsidP="006B599B">
            <w:pPr>
              <w:spacing w:line="360" w:lineRule="auto"/>
              <w:rPr>
                <w:rFonts w:cs="Arial"/>
                <w:sz w:val="20"/>
                <w:szCs w:val="20"/>
              </w:rPr>
            </w:pPr>
          </w:p>
        </w:tc>
        <w:tc>
          <w:tcPr>
            <w:tcW w:w="1834" w:type="dxa"/>
          </w:tcPr>
          <w:p w14:paraId="2CDFF919"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sz w:val="20"/>
                <w:szCs w:val="20"/>
              </w:rPr>
              <w:t>Western Australia</w:t>
            </w:r>
          </w:p>
        </w:tc>
        <w:tc>
          <w:tcPr>
            <w:tcW w:w="1723" w:type="dxa"/>
          </w:tcPr>
          <w:p w14:paraId="2763F678"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19.65</w:t>
            </w:r>
          </w:p>
        </w:tc>
        <w:tc>
          <w:tcPr>
            <w:tcW w:w="1724" w:type="dxa"/>
          </w:tcPr>
          <w:p w14:paraId="40F330E3"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20.68</w:t>
            </w:r>
          </w:p>
        </w:tc>
        <w:tc>
          <w:tcPr>
            <w:tcW w:w="1724" w:type="dxa"/>
          </w:tcPr>
          <w:p w14:paraId="4CA73F65"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21.46</w:t>
            </w:r>
          </w:p>
        </w:tc>
        <w:tc>
          <w:tcPr>
            <w:tcW w:w="1724" w:type="dxa"/>
          </w:tcPr>
          <w:p w14:paraId="4737D1BE"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21.67</w:t>
            </w:r>
          </w:p>
        </w:tc>
        <w:tc>
          <w:tcPr>
            <w:tcW w:w="1724" w:type="dxa"/>
          </w:tcPr>
          <w:p w14:paraId="43764DE0"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21.62</w:t>
            </w:r>
          </w:p>
        </w:tc>
        <w:tc>
          <w:tcPr>
            <w:tcW w:w="1724" w:type="dxa"/>
          </w:tcPr>
          <w:p w14:paraId="2C965AC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7D6102">
              <w:rPr>
                <w:rFonts w:cs="Arial"/>
                <w:color w:val="000000"/>
                <w:sz w:val="20"/>
                <w:szCs w:val="20"/>
              </w:rPr>
              <w:t>27.62</w:t>
            </w:r>
          </w:p>
        </w:tc>
      </w:tr>
      <w:tr w:rsidR="00AC1325" w:rsidRPr="007D6102" w14:paraId="6DD4CB9E" w14:textId="77777777" w:rsidTr="006B5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Borders>
              <w:bottom w:val="single" w:sz="4" w:space="0" w:color="auto"/>
            </w:tcBorders>
          </w:tcPr>
          <w:p w14:paraId="7146B8D5" w14:textId="77777777" w:rsidR="00AC1325" w:rsidRPr="007D6102" w:rsidRDefault="00AC1325" w:rsidP="006B599B">
            <w:pPr>
              <w:spacing w:line="360" w:lineRule="auto"/>
              <w:rPr>
                <w:rFonts w:cs="Arial"/>
                <w:sz w:val="20"/>
                <w:szCs w:val="20"/>
              </w:rPr>
            </w:pPr>
          </w:p>
        </w:tc>
        <w:tc>
          <w:tcPr>
            <w:tcW w:w="1834" w:type="dxa"/>
            <w:tcBorders>
              <w:bottom w:val="single" w:sz="4" w:space="0" w:color="808080" w:themeColor="background1" w:themeShade="80"/>
            </w:tcBorders>
          </w:tcPr>
          <w:p w14:paraId="412DAF20"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7D6102">
              <w:rPr>
                <w:rFonts w:cs="Arial"/>
                <w:sz w:val="20"/>
                <w:szCs w:val="20"/>
              </w:rPr>
              <w:t>All recaptures</w:t>
            </w:r>
          </w:p>
        </w:tc>
        <w:tc>
          <w:tcPr>
            <w:tcW w:w="1723" w:type="dxa"/>
            <w:tcBorders>
              <w:bottom w:val="single" w:sz="4" w:space="0" w:color="808080" w:themeColor="background1" w:themeShade="80"/>
            </w:tcBorders>
          </w:tcPr>
          <w:p w14:paraId="10A4401C"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12.28</w:t>
            </w:r>
          </w:p>
        </w:tc>
        <w:tc>
          <w:tcPr>
            <w:tcW w:w="1724" w:type="dxa"/>
            <w:tcBorders>
              <w:bottom w:val="single" w:sz="4" w:space="0" w:color="808080" w:themeColor="background1" w:themeShade="80"/>
            </w:tcBorders>
          </w:tcPr>
          <w:p w14:paraId="083C31B7"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19.53</w:t>
            </w:r>
          </w:p>
        </w:tc>
        <w:tc>
          <w:tcPr>
            <w:tcW w:w="1724" w:type="dxa"/>
            <w:tcBorders>
              <w:bottom w:val="single" w:sz="4" w:space="0" w:color="808080" w:themeColor="background1" w:themeShade="80"/>
            </w:tcBorders>
          </w:tcPr>
          <w:p w14:paraId="084BEE29"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20.65</w:t>
            </w:r>
          </w:p>
        </w:tc>
        <w:tc>
          <w:tcPr>
            <w:tcW w:w="1724" w:type="dxa"/>
            <w:tcBorders>
              <w:bottom w:val="single" w:sz="4" w:space="0" w:color="808080" w:themeColor="background1" w:themeShade="80"/>
            </w:tcBorders>
          </w:tcPr>
          <w:p w14:paraId="63FC429B"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20.78</w:t>
            </w:r>
          </w:p>
        </w:tc>
        <w:tc>
          <w:tcPr>
            <w:tcW w:w="1724" w:type="dxa"/>
            <w:tcBorders>
              <w:bottom w:val="single" w:sz="4" w:space="0" w:color="808080" w:themeColor="background1" w:themeShade="80"/>
            </w:tcBorders>
          </w:tcPr>
          <w:p w14:paraId="5F94187C"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21.84</w:t>
            </w:r>
          </w:p>
        </w:tc>
        <w:tc>
          <w:tcPr>
            <w:tcW w:w="1724" w:type="dxa"/>
            <w:tcBorders>
              <w:bottom w:val="single" w:sz="4" w:space="0" w:color="808080" w:themeColor="background1" w:themeShade="80"/>
            </w:tcBorders>
          </w:tcPr>
          <w:p w14:paraId="4F7C47A1" w14:textId="77777777" w:rsidR="00AC1325" w:rsidRPr="007D6102" w:rsidRDefault="00AC1325" w:rsidP="006B599B">
            <w:pPr>
              <w:spacing w:line="36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D6102">
              <w:rPr>
                <w:rFonts w:cs="Arial"/>
                <w:color w:val="000000"/>
                <w:sz w:val="20"/>
                <w:szCs w:val="20"/>
              </w:rPr>
              <w:t>27.86</w:t>
            </w:r>
          </w:p>
        </w:tc>
      </w:tr>
      <w:tr w:rsidR="00AC1325" w:rsidRPr="007D6102" w14:paraId="17A0E2D1" w14:textId="77777777" w:rsidTr="006B599B">
        <w:tc>
          <w:tcPr>
            <w:cnfStyle w:val="001000000000" w:firstRow="0" w:lastRow="0" w:firstColumn="1" w:lastColumn="0" w:oddVBand="0" w:evenVBand="0" w:oddHBand="0" w:evenHBand="0" w:firstRowFirstColumn="0" w:firstRowLastColumn="0" w:lastRowFirstColumn="0" w:lastRowLastColumn="0"/>
            <w:tcW w:w="1852" w:type="dxa"/>
            <w:tcBorders>
              <w:top w:val="single" w:sz="4" w:space="0" w:color="auto"/>
            </w:tcBorders>
          </w:tcPr>
          <w:p w14:paraId="17946E54" w14:textId="77777777" w:rsidR="00AC1325" w:rsidRPr="007D6102" w:rsidRDefault="00AC1325" w:rsidP="006B599B">
            <w:pPr>
              <w:spacing w:line="360" w:lineRule="auto"/>
              <w:rPr>
                <w:rFonts w:cs="Arial"/>
                <w:sz w:val="20"/>
                <w:szCs w:val="20"/>
              </w:rPr>
            </w:pPr>
            <w:r w:rsidRPr="007D6102">
              <w:rPr>
                <w:rFonts w:cs="Arial"/>
                <w:sz w:val="20"/>
                <w:szCs w:val="20"/>
              </w:rPr>
              <w:t>Overall combined</w:t>
            </w:r>
          </w:p>
        </w:tc>
        <w:tc>
          <w:tcPr>
            <w:tcW w:w="1834" w:type="dxa"/>
            <w:tcBorders>
              <w:top w:val="single" w:sz="4" w:space="0" w:color="808080" w:themeColor="background1" w:themeShade="80"/>
              <w:left w:val="nil"/>
            </w:tcBorders>
          </w:tcPr>
          <w:p w14:paraId="34593EA5"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23" w:type="dxa"/>
            <w:tcBorders>
              <w:top w:val="single" w:sz="4" w:space="0" w:color="808080" w:themeColor="background1" w:themeShade="80"/>
              <w:left w:val="nil"/>
            </w:tcBorders>
          </w:tcPr>
          <w:p w14:paraId="5EC50746"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10.74</w:t>
            </w:r>
          </w:p>
        </w:tc>
        <w:tc>
          <w:tcPr>
            <w:tcW w:w="1724" w:type="dxa"/>
            <w:tcBorders>
              <w:top w:val="single" w:sz="4" w:space="0" w:color="808080" w:themeColor="background1" w:themeShade="80"/>
            </w:tcBorders>
          </w:tcPr>
          <w:p w14:paraId="47B4DF45"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18.70</w:t>
            </w:r>
          </w:p>
        </w:tc>
        <w:tc>
          <w:tcPr>
            <w:tcW w:w="1724" w:type="dxa"/>
            <w:tcBorders>
              <w:top w:val="single" w:sz="4" w:space="0" w:color="808080" w:themeColor="background1" w:themeShade="80"/>
            </w:tcBorders>
          </w:tcPr>
          <w:p w14:paraId="00E647EA"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20.25</w:t>
            </w:r>
          </w:p>
        </w:tc>
        <w:tc>
          <w:tcPr>
            <w:tcW w:w="1724" w:type="dxa"/>
            <w:tcBorders>
              <w:top w:val="single" w:sz="4" w:space="0" w:color="808080" w:themeColor="background1" w:themeShade="80"/>
            </w:tcBorders>
          </w:tcPr>
          <w:p w14:paraId="1D619A6D"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20.00</w:t>
            </w:r>
          </w:p>
        </w:tc>
        <w:tc>
          <w:tcPr>
            <w:tcW w:w="1724" w:type="dxa"/>
            <w:tcBorders>
              <w:top w:val="single" w:sz="4" w:space="0" w:color="808080" w:themeColor="background1" w:themeShade="80"/>
            </w:tcBorders>
          </w:tcPr>
          <w:p w14:paraId="446E06D7"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21.48</w:t>
            </w:r>
          </w:p>
        </w:tc>
        <w:tc>
          <w:tcPr>
            <w:tcW w:w="1724" w:type="dxa"/>
            <w:tcBorders>
              <w:top w:val="single" w:sz="4" w:space="0" w:color="808080" w:themeColor="background1" w:themeShade="80"/>
            </w:tcBorders>
          </w:tcPr>
          <w:p w14:paraId="4C0930C5" w14:textId="77777777" w:rsidR="00AC1325" w:rsidRPr="007D6102" w:rsidRDefault="00AC1325" w:rsidP="006B599B">
            <w:pPr>
              <w:spacing w:line="36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D6102">
              <w:rPr>
                <w:rFonts w:cs="Arial"/>
                <w:color w:val="000000"/>
                <w:sz w:val="20"/>
                <w:szCs w:val="20"/>
              </w:rPr>
              <w:t>28.86</w:t>
            </w:r>
          </w:p>
        </w:tc>
      </w:tr>
    </w:tbl>
    <w:p w14:paraId="122A18F6" w14:textId="77777777" w:rsidR="00AC1325" w:rsidRDefault="00AC1325" w:rsidP="00AC1325">
      <w:pPr>
        <w:spacing w:line="360" w:lineRule="auto"/>
        <w:rPr>
          <w:rFonts w:cs="Arial"/>
        </w:rPr>
        <w:sectPr w:rsidR="00AC1325" w:rsidSect="00843EE0">
          <w:headerReference w:type="default" r:id="rId15"/>
          <w:pgSz w:w="16817" w:h="11901" w:orient="landscape"/>
          <w:pgMar w:top="1440" w:right="1440" w:bottom="1440" w:left="1440" w:header="709" w:footer="709" w:gutter="0"/>
          <w:lnNumType w:countBy="5" w:restart="continuous"/>
          <w:cols w:space="708"/>
          <w:docGrid w:linePitch="360"/>
        </w:sectPr>
      </w:pPr>
    </w:p>
    <w:p w14:paraId="740C4F35" w14:textId="77777777" w:rsidR="00AC1325" w:rsidRPr="0017067E" w:rsidRDefault="00AC1325" w:rsidP="00AC1325">
      <w:pPr>
        <w:rPr>
          <w:sz w:val="26"/>
          <w:szCs w:val="26"/>
        </w:rPr>
      </w:pPr>
    </w:p>
    <w:p w14:paraId="34AD4792" w14:textId="77777777" w:rsidR="00B66001" w:rsidRDefault="00B66001"/>
    <w:sectPr w:rsidR="00B66001" w:rsidSect="00060CEF">
      <w:headerReference w:type="default" r:id="rId16"/>
      <w:pgSz w:w="11901" w:h="16817"/>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711B9" w14:textId="77777777" w:rsidR="000338FB" w:rsidRDefault="000338FB">
      <w:r>
        <w:separator/>
      </w:r>
    </w:p>
  </w:endnote>
  <w:endnote w:type="continuationSeparator" w:id="0">
    <w:p w14:paraId="0E299C2B" w14:textId="77777777" w:rsidR="000338FB" w:rsidRDefault="0003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C9A7" w14:textId="77777777" w:rsidR="000338FB" w:rsidRDefault="000338FB">
      <w:r>
        <w:separator/>
      </w:r>
    </w:p>
  </w:footnote>
  <w:footnote w:type="continuationSeparator" w:id="0">
    <w:p w14:paraId="78F3CB9B" w14:textId="77777777" w:rsidR="000338FB" w:rsidRDefault="00033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5CFE" w14:textId="77777777" w:rsidR="008F043F" w:rsidRDefault="008F04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07D1" w14:textId="77777777" w:rsidR="008F043F" w:rsidRDefault="008F04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82C5" w14:textId="77777777" w:rsidR="008F043F" w:rsidRDefault="008F04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C292" w14:textId="77777777" w:rsidR="008F043F" w:rsidRDefault="008F04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25"/>
    <w:rsid w:val="0000060D"/>
    <w:rsid w:val="00003ED3"/>
    <w:rsid w:val="00023535"/>
    <w:rsid w:val="000338FB"/>
    <w:rsid w:val="000424E5"/>
    <w:rsid w:val="00042DC8"/>
    <w:rsid w:val="0004365A"/>
    <w:rsid w:val="000457F2"/>
    <w:rsid w:val="00047C91"/>
    <w:rsid w:val="0005107B"/>
    <w:rsid w:val="00065369"/>
    <w:rsid w:val="00074DA6"/>
    <w:rsid w:val="00095296"/>
    <w:rsid w:val="000C0986"/>
    <w:rsid w:val="000C31E6"/>
    <w:rsid w:val="000D5F85"/>
    <w:rsid w:val="000E3523"/>
    <w:rsid w:val="000E7061"/>
    <w:rsid w:val="000F098C"/>
    <w:rsid w:val="000F1665"/>
    <w:rsid w:val="000F6ABD"/>
    <w:rsid w:val="0010231D"/>
    <w:rsid w:val="00125790"/>
    <w:rsid w:val="00126963"/>
    <w:rsid w:val="0013689E"/>
    <w:rsid w:val="001519E3"/>
    <w:rsid w:val="001651A8"/>
    <w:rsid w:val="00190C85"/>
    <w:rsid w:val="001A0372"/>
    <w:rsid w:val="001A4C18"/>
    <w:rsid w:val="001F2933"/>
    <w:rsid w:val="001F5D92"/>
    <w:rsid w:val="001F7012"/>
    <w:rsid w:val="002006C9"/>
    <w:rsid w:val="00226729"/>
    <w:rsid w:val="00232DDF"/>
    <w:rsid w:val="00236100"/>
    <w:rsid w:val="00241750"/>
    <w:rsid w:val="00251E2F"/>
    <w:rsid w:val="0026021C"/>
    <w:rsid w:val="00263D32"/>
    <w:rsid w:val="00264A55"/>
    <w:rsid w:val="00271D66"/>
    <w:rsid w:val="00280351"/>
    <w:rsid w:val="0029072B"/>
    <w:rsid w:val="002A5265"/>
    <w:rsid w:val="002B4077"/>
    <w:rsid w:val="002B4826"/>
    <w:rsid w:val="002C6DC0"/>
    <w:rsid w:val="002D64C5"/>
    <w:rsid w:val="002E16AE"/>
    <w:rsid w:val="002F33FA"/>
    <w:rsid w:val="002F748E"/>
    <w:rsid w:val="00330451"/>
    <w:rsid w:val="00332BE5"/>
    <w:rsid w:val="00333B49"/>
    <w:rsid w:val="003478D4"/>
    <w:rsid w:val="0037575F"/>
    <w:rsid w:val="00376224"/>
    <w:rsid w:val="00382802"/>
    <w:rsid w:val="00392747"/>
    <w:rsid w:val="003A4E40"/>
    <w:rsid w:val="003A6A68"/>
    <w:rsid w:val="003C1883"/>
    <w:rsid w:val="003D0956"/>
    <w:rsid w:val="003D1CFD"/>
    <w:rsid w:val="003E614B"/>
    <w:rsid w:val="0040153C"/>
    <w:rsid w:val="0040238D"/>
    <w:rsid w:val="00411A02"/>
    <w:rsid w:val="00414F14"/>
    <w:rsid w:val="00414FF8"/>
    <w:rsid w:val="0042508E"/>
    <w:rsid w:val="00434243"/>
    <w:rsid w:val="0044082E"/>
    <w:rsid w:val="004422FD"/>
    <w:rsid w:val="0044695D"/>
    <w:rsid w:val="00451243"/>
    <w:rsid w:val="00451E72"/>
    <w:rsid w:val="00456905"/>
    <w:rsid w:val="00462CFB"/>
    <w:rsid w:val="00472E34"/>
    <w:rsid w:val="004845C5"/>
    <w:rsid w:val="00486602"/>
    <w:rsid w:val="0049331C"/>
    <w:rsid w:val="004A4CAD"/>
    <w:rsid w:val="004B0061"/>
    <w:rsid w:val="004B1D1E"/>
    <w:rsid w:val="004B2159"/>
    <w:rsid w:val="004C58DF"/>
    <w:rsid w:val="004D14D1"/>
    <w:rsid w:val="0050670F"/>
    <w:rsid w:val="0054321E"/>
    <w:rsid w:val="005521AD"/>
    <w:rsid w:val="00552C32"/>
    <w:rsid w:val="00555B21"/>
    <w:rsid w:val="005613CE"/>
    <w:rsid w:val="005634B6"/>
    <w:rsid w:val="00573720"/>
    <w:rsid w:val="005744D5"/>
    <w:rsid w:val="0057697F"/>
    <w:rsid w:val="005801D3"/>
    <w:rsid w:val="00581087"/>
    <w:rsid w:val="00584EBD"/>
    <w:rsid w:val="00585DD8"/>
    <w:rsid w:val="00596AD0"/>
    <w:rsid w:val="005B0105"/>
    <w:rsid w:val="005E2294"/>
    <w:rsid w:val="005F5FF0"/>
    <w:rsid w:val="005F7ED7"/>
    <w:rsid w:val="00603BC8"/>
    <w:rsid w:val="006148CA"/>
    <w:rsid w:val="00614DB3"/>
    <w:rsid w:val="00617005"/>
    <w:rsid w:val="006333AB"/>
    <w:rsid w:val="00635124"/>
    <w:rsid w:val="006356F7"/>
    <w:rsid w:val="006778F5"/>
    <w:rsid w:val="006932B6"/>
    <w:rsid w:val="006A1300"/>
    <w:rsid w:val="006A30EE"/>
    <w:rsid w:val="006B772A"/>
    <w:rsid w:val="006C34EC"/>
    <w:rsid w:val="006C62E0"/>
    <w:rsid w:val="006D517D"/>
    <w:rsid w:val="006D7AD3"/>
    <w:rsid w:val="006E4367"/>
    <w:rsid w:val="006F3CEB"/>
    <w:rsid w:val="006F3F7A"/>
    <w:rsid w:val="006F7E62"/>
    <w:rsid w:val="007134C8"/>
    <w:rsid w:val="00732D9C"/>
    <w:rsid w:val="00735E68"/>
    <w:rsid w:val="0074016C"/>
    <w:rsid w:val="0074534F"/>
    <w:rsid w:val="00760047"/>
    <w:rsid w:val="00763444"/>
    <w:rsid w:val="00765EE7"/>
    <w:rsid w:val="00766179"/>
    <w:rsid w:val="00774E9C"/>
    <w:rsid w:val="00785A7C"/>
    <w:rsid w:val="007A2585"/>
    <w:rsid w:val="007A37D9"/>
    <w:rsid w:val="007A79E3"/>
    <w:rsid w:val="007B11C5"/>
    <w:rsid w:val="007B540B"/>
    <w:rsid w:val="007C5A71"/>
    <w:rsid w:val="007D3D1D"/>
    <w:rsid w:val="007D7C85"/>
    <w:rsid w:val="007E50E6"/>
    <w:rsid w:val="007F357B"/>
    <w:rsid w:val="007F6343"/>
    <w:rsid w:val="00816778"/>
    <w:rsid w:val="00843111"/>
    <w:rsid w:val="00870E36"/>
    <w:rsid w:val="008808FC"/>
    <w:rsid w:val="008A1406"/>
    <w:rsid w:val="008F043F"/>
    <w:rsid w:val="008F44F1"/>
    <w:rsid w:val="0090059D"/>
    <w:rsid w:val="00904C93"/>
    <w:rsid w:val="00904DF7"/>
    <w:rsid w:val="0090532A"/>
    <w:rsid w:val="0092315C"/>
    <w:rsid w:val="009251DE"/>
    <w:rsid w:val="00925A94"/>
    <w:rsid w:val="009307E7"/>
    <w:rsid w:val="009445DC"/>
    <w:rsid w:val="009648C8"/>
    <w:rsid w:val="00971BEA"/>
    <w:rsid w:val="00977467"/>
    <w:rsid w:val="009802A9"/>
    <w:rsid w:val="00981FB3"/>
    <w:rsid w:val="009971C5"/>
    <w:rsid w:val="009A3E72"/>
    <w:rsid w:val="009C1A94"/>
    <w:rsid w:val="009C2BA6"/>
    <w:rsid w:val="009C4D05"/>
    <w:rsid w:val="009D5A23"/>
    <w:rsid w:val="009E53EA"/>
    <w:rsid w:val="009E59D9"/>
    <w:rsid w:val="009F12B3"/>
    <w:rsid w:val="009F7F51"/>
    <w:rsid w:val="00A25B7B"/>
    <w:rsid w:val="00A270AE"/>
    <w:rsid w:val="00A27C34"/>
    <w:rsid w:val="00A27DB3"/>
    <w:rsid w:val="00A35718"/>
    <w:rsid w:val="00A637A7"/>
    <w:rsid w:val="00A82582"/>
    <w:rsid w:val="00A907EB"/>
    <w:rsid w:val="00AA3DFC"/>
    <w:rsid w:val="00AA4AD7"/>
    <w:rsid w:val="00AB5572"/>
    <w:rsid w:val="00AB5A39"/>
    <w:rsid w:val="00AC1325"/>
    <w:rsid w:val="00AC1B96"/>
    <w:rsid w:val="00AC5A48"/>
    <w:rsid w:val="00AD3083"/>
    <w:rsid w:val="00AE2700"/>
    <w:rsid w:val="00AE28C9"/>
    <w:rsid w:val="00AE4465"/>
    <w:rsid w:val="00AF0D4C"/>
    <w:rsid w:val="00AF2128"/>
    <w:rsid w:val="00AF4442"/>
    <w:rsid w:val="00AF5241"/>
    <w:rsid w:val="00AF52F3"/>
    <w:rsid w:val="00B00233"/>
    <w:rsid w:val="00B175D4"/>
    <w:rsid w:val="00B244AD"/>
    <w:rsid w:val="00B30526"/>
    <w:rsid w:val="00B403B8"/>
    <w:rsid w:val="00B43857"/>
    <w:rsid w:val="00B4493A"/>
    <w:rsid w:val="00B5160F"/>
    <w:rsid w:val="00B66001"/>
    <w:rsid w:val="00B936F9"/>
    <w:rsid w:val="00B94FD5"/>
    <w:rsid w:val="00B961B0"/>
    <w:rsid w:val="00BB71C5"/>
    <w:rsid w:val="00BC53F7"/>
    <w:rsid w:val="00BD2D81"/>
    <w:rsid w:val="00BD48AF"/>
    <w:rsid w:val="00BF5B5E"/>
    <w:rsid w:val="00C23778"/>
    <w:rsid w:val="00C301CE"/>
    <w:rsid w:val="00C35E5D"/>
    <w:rsid w:val="00C66907"/>
    <w:rsid w:val="00C77CA6"/>
    <w:rsid w:val="00CA1CB7"/>
    <w:rsid w:val="00CB0710"/>
    <w:rsid w:val="00CD333E"/>
    <w:rsid w:val="00CD6FDE"/>
    <w:rsid w:val="00CF3D1C"/>
    <w:rsid w:val="00D028AB"/>
    <w:rsid w:val="00D17536"/>
    <w:rsid w:val="00D55019"/>
    <w:rsid w:val="00D573B2"/>
    <w:rsid w:val="00D712AD"/>
    <w:rsid w:val="00D9570F"/>
    <w:rsid w:val="00DB22BA"/>
    <w:rsid w:val="00DC0021"/>
    <w:rsid w:val="00DC2AFC"/>
    <w:rsid w:val="00DC31F5"/>
    <w:rsid w:val="00DD1465"/>
    <w:rsid w:val="00DD3446"/>
    <w:rsid w:val="00DE4A7E"/>
    <w:rsid w:val="00DE6393"/>
    <w:rsid w:val="00DF1D9D"/>
    <w:rsid w:val="00DF5D6F"/>
    <w:rsid w:val="00E0338D"/>
    <w:rsid w:val="00E26283"/>
    <w:rsid w:val="00E273BD"/>
    <w:rsid w:val="00E27650"/>
    <w:rsid w:val="00E4399B"/>
    <w:rsid w:val="00E50E8D"/>
    <w:rsid w:val="00E51108"/>
    <w:rsid w:val="00E733DB"/>
    <w:rsid w:val="00E771F9"/>
    <w:rsid w:val="00E83167"/>
    <w:rsid w:val="00E9662C"/>
    <w:rsid w:val="00EA1E23"/>
    <w:rsid w:val="00EC1BD0"/>
    <w:rsid w:val="00EE4FF7"/>
    <w:rsid w:val="00EE7F39"/>
    <w:rsid w:val="00F04863"/>
    <w:rsid w:val="00F10DB9"/>
    <w:rsid w:val="00F328CD"/>
    <w:rsid w:val="00F47208"/>
    <w:rsid w:val="00F54811"/>
    <w:rsid w:val="00F5604E"/>
    <w:rsid w:val="00F658EA"/>
    <w:rsid w:val="00F769A0"/>
    <w:rsid w:val="00F86F8D"/>
    <w:rsid w:val="00FA295E"/>
    <w:rsid w:val="00FA751F"/>
    <w:rsid w:val="00FB769C"/>
    <w:rsid w:val="00FD4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338DAE"/>
  <w14:defaultImageDpi w14:val="32767"/>
  <w15:chartTrackingRefBased/>
  <w15:docId w15:val="{B7AA68FA-520A-C04C-BF2A-B66E6FD3E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C1325"/>
    <w:rPr>
      <w:rFonts w:ascii="Arial" w:hAnsi="Arial"/>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C1325"/>
    <w:pPr>
      <w:spacing w:after="200"/>
    </w:pPr>
    <w:rPr>
      <w:i/>
      <w:iCs/>
      <w:color w:val="000000" w:themeColor="text1"/>
      <w:sz w:val="18"/>
      <w:szCs w:val="18"/>
    </w:rPr>
  </w:style>
  <w:style w:type="table" w:styleId="PlainTable5">
    <w:name w:val="Plain Table 5"/>
    <w:basedOn w:val="TableNormal"/>
    <w:uiPriority w:val="45"/>
    <w:rsid w:val="00AC1325"/>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C1325"/>
    <w:pPr>
      <w:tabs>
        <w:tab w:val="center" w:pos="4513"/>
        <w:tab w:val="right" w:pos="9026"/>
      </w:tabs>
    </w:pPr>
  </w:style>
  <w:style w:type="character" w:customStyle="1" w:styleId="HeaderChar">
    <w:name w:val="Header Char"/>
    <w:basedOn w:val="DefaultParagraphFont"/>
    <w:link w:val="Header"/>
    <w:uiPriority w:val="99"/>
    <w:rsid w:val="00AC1325"/>
    <w:rPr>
      <w:rFonts w:ascii="Arial" w:hAnsi="Arial"/>
      <w:kern w:val="0"/>
      <w14:ligatures w14:val="none"/>
    </w:rPr>
  </w:style>
  <w:style w:type="character" w:styleId="LineNumber">
    <w:name w:val="line number"/>
    <w:basedOn w:val="DefaultParagraphFont"/>
    <w:uiPriority w:val="99"/>
    <w:semiHidden/>
    <w:unhideWhenUsed/>
    <w:rsid w:val="00AC1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Goddard</dc:creator>
  <cp:keywords/>
  <dc:description/>
  <cp:lastModifiedBy>Belinda Goddard</cp:lastModifiedBy>
  <cp:revision>2</cp:revision>
  <dcterms:created xsi:type="dcterms:W3CDTF">2023-09-20T00:04:00Z</dcterms:created>
  <dcterms:modified xsi:type="dcterms:W3CDTF">2023-09-20T00:04:00Z</dcterms:modified>
</cp:coreProperties>
</file>