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2E15" w14:textId="77777777" w:rsidR="0058242A" w:rsidRPr="0058242A" w:rsidRDefault="0058242A" w:rsidP="0058242A">
      <w:pPr>
        <w:numPr>
          <w:ilvl w:val="0"/>
          <w:numId w:val="1"/>
        </w:numPr>
        <w:spacing w:before="240" w:after="240" w:line="48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/>
          <w14:ligatures w14:val="none"/>
        </w:rPr>
      </w:pPr>
      <w:r w:rsidRPr="0058242A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/>
          <w14:ligatures w14:val="none"/>
        </w:rPr>
        <w:t>Supplementary Figures: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8242A" w:rsidRPr="0058242A" w14:paraId="0A18ACFF" w14:textId="77777777" w:rsidTr="00CC1D95">
        <w:tc>
          <w:tcPr>
            <w:tcW w:w="9010" w:type="dxa"/>
          </w:tcPr>
          <w:p w14:paraId="3B618596" w14:textId="41BC138B" w:rsidR="005D3676" w:rsidRPr="005D3676" w:rsidRDefault="005D3676" w:rsidP="005D3676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  <w:p w14:paraId="63762ED2" w14:textId="77777777" w:rsidR="00250EC9" w:rsidRDefault="00250EC9" w:rsidP="00250EC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7EF24D3" wp14:editId="481E5B97">
                  <wp:extent cx="5400000" cy="466560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6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CFB13" w14:textId="77777777" w:rsidR="0058242A" w:rsidRPr="0058242A" w:rsidRDefault="0058242A" w:rsidP="0058242A">
            <w:pPr>
              <w:spacing w:before="24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8242A" w:rsidRPr="0058242A" w14:paraId="0325EC68" w14:textId="77777777" w:rsidTr="00CC1D95">
        <w:tc>
          <w:tcPr>
            <w:tcW w:w="9010" w:type="dxa"/>
          </w:tcPr>
          <w:p w14:paraId="6FB162BD" w14:textId="77777777" w:rsidR="0058242A" w:rsidRPr="0058242A" w:rsidRDefault="0058242A" w:rsidP="0058242A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Hlk139876592"/>
            <w:r w:rsidRPr="005824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Supplementary Figure 1. Conditions within sampled research aquariums. 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The acidity (pH; measured in pH units) and concentration of ammonia (NH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+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), nitrite (</w:t>
            </w:r>
            <w:bookmarkStart w:id="1" w:name="OLE_LINK3"/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NH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-</w:t>
            </w:r>
            <w:bookmarkEnd w:id="1"/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 and nitrate (NH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-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 in parts per million (ppm) were measured weekly in both the freshwater and saltwater research aquariums used to simulate environmental samples. The phosphate (PO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4</w:t>
            </w:r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; ppm), general mineral hardness (degrees of general hardness; °</w:t>
            </w:r>
            <w:proofErr w:type="spellStart"/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dkH</w:t>
            </w:r>
            <w:proofErr w:type="spellEnd"/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calcium (Calcium; ppm) and salt (Salinity; ppm) concentrations were recorded weekly for the saltwater research aquarium. </w:t>
            </w:r>
            <w:bookmarkEnd w:id="0"/>
            <w:r w:rsidRPr="00582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Missing data points were typically due to global shortages of reagents</w:t>
            </w:r>
          </w:p>
        </w:tc>
      </w:tr>
    </w:tbl>
    <w:p w14:paraId="60EB10CB" w14:textId="77777777" w:rsidR="0058242A" w:rsidRPr="0058242A" w:rsidRDefault="0058242A" w:rsidP="0058242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58242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0"/>
      </w:tblGrid>
      <w:tr w:rsidR="0058242A" w:rsidRPr="0058242A" w14:paraId="7DD731DB" w14:textId="77777777" w:rsidTr="00CC1D95">
        <w:tc>
          <w:tcPr>
            <w:tcW w:w="9020" w:type="dxa"/>
            <w:shd w:val="clear" w:color="auto" w:fill="auto"/>
          </w:tcPr>
          <w:p w14:paraId="1E5014B6" w14:textId="77777777" w:rsidR="00250EC9" w:rsidRDefault="00250EC9" w:rsidP="00250EC9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013753DA" wp14:editId="28E0836B">
                  <wp:extent cx="5400000" cy="4060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032BC" w14:textId="762C13E3" w:rsidR="0058242A" w:rsidRPr="0058242A" w:rsidRDefault="0058242A" w:rsidP="005D3676">
            <w:pPr>
              <w:tabs>
                <w:tab w:val="left" w:pos="2880"/>
                <w:tab w:val="left" w:pos="5040"/>
              </w:tabs>
              <w:spacing w:before="240" w:after="0" w:line="240" w:lineRule="auto"/>
              <w:ind w:right="-284"/>
              <w:jc w:val="center"/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8242A" w:rsidRPr="0058242A" w14:paraId="03C3B2EB" w14:textId="77777777" w:rsidTr="00CC1D95">
        <w:tc>
          <w:tcPr>
            <w:tcW w:w="9020" w:type="dxa"/>
            <w:shd w:val="clear" w:color="auto" w:fill="auto"/>
          </w:tcPr>
          <w:p w14:paraId="43A09D6A" w14:textId="77777777" w:rsidR="0058242A" w:rsidRPr="0058242A" w:rsidRDefault="0058242A" w:rsidP="0058242A">
            <w:pPr>
              <w:tabs>
                <w:tab w:val="left" w:pos="2880"/>
                <w:tab w:val="left" w:pos="504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bookmarkStart w:id="2" w:name="OLE_LINK2"/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Supplementary Figure 2. Optimization of nucleic acid isolation kit </w:t>
            </w:r>
            <w:r w:rsidRPr="005824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for eDNA and eRNA microorganism detection: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bookmarkEnd w:id="2"/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en-US"/>
                <w14:ligatures w14:val="none"/>
              </w:rPr>
              <w:t>6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S. aureus 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colony forming units (CFU) or 1ng of nucleic acids (NA) were spiked into 500mL of freshwater or salt water, filtered with borosilicate glass filtration (GF/F) filters, and extracted with one of either DNeasy PowerWater kit (white bars), RNeasy PowerWater kit (white/spotted bars), MagMAX™ Total Nucleic Acid Isolation Kit (grey bars) or </w:t>
            </w:r>
            <w:r w:rsidRPr="005824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MagMAX™ </w:t>
            </w:r>
            <w:r w:rsidRPr="005824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mirvanna</w:t>
            </w:r>
            <w:r w:rsidRPr="005824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RNA Isolation Kit (black bars), then 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reverse-transcribed with Superscript IV (Invitrogen) and tested with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16S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species-specific qPCR, alongside a sterile filtered water (MILIQ), and background (H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/>
                <w14:ligatures w14:val="none"/>
              </w:rPr>
              <w:t>2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O) negative controls. Samples were either reverse-transcriptase negative representative of genomic DNA (DNA) or reverse-transcriptase positive representative of genomic DNA and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16S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RNA expression (DNA+RNA). qPCR signal cycle threshold (Ct Value; Log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bscript"/>
                <w:lang w:val="en-US"/>
                <w14:ligatures w14:val="none"/>
              </w:rPr>
              <w:t>2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scale,) shown.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Undefined 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results were given a value of 40. The no-template control (NTC) of the PCR was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undefined. 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Data were compared with a two-way ANOVA with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post-hoc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Bonferroni’s multiple-comparisons test; (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NS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&gt; 0.05; ***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≤ 0.001; **** </w:t>
            </w:r>
            <w:r w:rsidRPr="0058242A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≤ 0.0001)</w:t>
            </w:r>
            <w:r w:rsidRPr="00582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.. Triplicate replicate extractions with single reverse transcription reactions per extraction were performed Mean ± SEM of three technical replicates shown.</w:t>
            </w:r>
          </w:p>
        </w:tc>
      </w:tr>
    </w:tbl>
    <w:p w14:paraId="05B398D2" w14:textId="77777777" w:rsidR="0058242A" w:rsidRPr="0058242A" w:rsidRDefault="0058242A" w:rsidP="0058242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55FA73A6" w14:textId="77777777" w:rsidR="0058242A" w:rsidRPr="0058242A" w:rsidRDefault="0058242A" w:rsidP="0058242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5824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br w:type="page"/>
      </w:r>
    </w:p>
    <w:tbl>
      <w:tblPr>
        <w:tblW w:w="0" w:type="auto"/>
        <w:tblInd w:w="1489" w:type="dxa"/>
        <w:tblLook w:val="04A0" w:firstRow="1" w:lastRow="0" w:firstColumn="1" w:lastColumn="0" w:noHBand="0" w:noVBand="1"/>
      </w:tblPr>
      <w:tblGrid>
        <w:gridCol w:w="7506"/>
      </w:tblGrid>
      <w:tr w:rsidR="0058242A" w:rsidRPr="0058242A" w14:paraId="4795F7F1" w14:textId="77777777" w:rsidTr="00CC1D95">
        <w:tc>
          <w:tcPr>
            <w:tcW w:w="7083" w:type="dxa"/>
            <w:shd w:val="clear" w:color="auto" w:fill="auto"/>
          </w:tcPr>
          <w:p w14:paraId="04338C76" w14:textId="77777777" w:rsidR="0058242A" w:rsidRPr="0058242A" w:rsidRDefault="0058242A" w:rsidP="0058242A">
            <w:pPr>
              <w:tabs>
                <w:tab w:val="left" w:pos="2880"/>
                <w:tab w:val="left" w:pos="5040"/>
              </w:tabs>
              <w:spacing w:before="240"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  <w14:ligatures w14:val="none"/>
              </w:rPr>
            </w:pPr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val="en-US"/>
                <w14:ligatures w14:val="none"/>
              </w:rPr>
              <w:lastRenderedPageBreak/>
              <w:t>A</w:t>
            </w:r>
          </w:p>
          <w:p w14:paraId="47C0B96A" w14:textId="0C73D2A3" w:rsidR="0058242A" w:rsidRPr="0058242A" w:rsidRDefault="005D3676" w:rsidP="005D3676">
            <w:pPr>
              <w:tabs>
                <w:tab w:val="left" w:pos="2880"/>
                <w:tab w:val="left" w:pos="5040"/>
              </w:tabs>
              <w:spacing w:before="240" w:after="0" w:line="240" w:lineRule="auto"/>
              <w:ind w:right="-284"/>
              <w:rPr>
                <w:rFonts w:ascii="Calibri Light" w:eastAsia="Times New Roman" w:hAnsi="Calibri Light" w:cs="Calibri Light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41C42A3" wp14:editId="3307BA29">
                  <wp:extent cx="4623370" cy="3394022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169" cy="341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42A" w:rsidRPr="0058242A" w14:paraId="1B3F0C2F" w14:textId="77777777" w:rsidTr="00CC1D95">
        <w:tc>
          <w:tcPr>
            <w:tcW w:w="7083" w:type="dxa"/>
            <w:shd w:val="clear" w:color="auto" w:fill="auto"/>
          </w:tcPr>
          <w:p w14:paraId="5F55A99F" w14:textId="77777777" w:rsidR="0058242A" w:rsidRPr="0058242A" w:rsidRDefault="0058242A" w:rsidP="0058242A">
            <w:pPr>
              <w:tabs>
                <w:tab w:val="left" w:pos="2880"/>
                <w:tab w:val="left" w:pos="5040"/>
              </w:tabs>
              <w:spacing w:before="240"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val="en-US"/>
                <w14:ligatures w14:val="none"/>
              </w:rPr>
            </w:pPr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:lang w:val="en-US"/>
                <w14:ligatures w14:val="none"/>
              </w:rPr>
              <w:t>B</w:t>
            </w:r>
          </w:p>
          <w:p w14:paraId="74592721" w14:textId="27414A18" w:rsidR="0058242A" w:rsidRPr="0058242A" w:rsidRDefault="005D3676" w:rsidP="005D3676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475BAD4" wp14:editId="04470140">
                  <wp:extent cx="4592548" cy="43300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814" cy="435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42A" w:rsidRPr="0058242A" w14:paraId="470EC02A" w14:textId="77777777" w:rsidTr="00CC1D95">
        <w:tc>
          <w:tcPr>
            <w:tcW w:w="7083" w:type="dxa"/>
            <w:shd w:val="clear" w:color="auto" w:fill="auto"/>
          </w:tcPr>
          <w:p w14:paraId="5CC32FD4" w14:textId="77777777" w:rsidR="0058242A" w:rsidRPr="0058242A" w:rsidRDefault="0058242A" w:rsidP="0058242A">
            <w:pPr>
              <w:tabs>
                <w:tab w:val="left" w:pos="2880"/>
                <w:tab w:val="left" w:pos="5040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Supplementary Figure 3. Gram-</w:t>
            </w:r>
            <w:proofErr w:type="spellStart"/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stain</w:t>
            </w:r>
            <w:proofErr w:type="spellEnd"/>
            <w:r w:rsidRPr="005824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of bacteria from freshwater.</w:t>
            </w:r>
            <w:r w:rsidRPr="005824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Representative images of Gram-stained bacteria isolated from 500 mL of water from sampled freshwater research aquarium. The specimen was concentrated to 100 μL by centrifugation, dried, Gram-stained and visualized by light microscopy.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Gram-negative bacteria are shown in red, while Gram-positive bacteria are shown in purple.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5824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 Representative micrograph displaying abundant Gram-positive bacteria and (</w:t>
            </w:r>
            <w:r w:rsidRPr="005824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5824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 co-localized Gram-positive and Gram-negative bacteria were found in equal abundance.</w:t>
            </w:r>
          </w:p>
        </w:tc>
      </w:tr>
    </w:tbl>
    <w:p w14:paraId="1BEEF788" w14:textId="77777777" w:rsidR="0058242A" w:rsidRPr="0058242A" w:rsidRDefault="0058242A" w:rsidP="0058242A">
      <w:pPr>
        <w:spacing w:before="240" w:after="24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55C040D" w14:textId="77777777" w:rsidR="00F40DEB" w:rsidRDefault="00F40DEB"/>
    <w:sectPr w:rsidR="00F40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23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78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2A"/>
    <w:rsid w:val="00250EC9"/>
    <w:rsid w:val="0058242A"/>
    <w:rsid w:val="005D3676"/>
    <w:rsid w:val="00F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C735"/>
  <w15:chartTrackingRefBased/>
  <w15:docId w15:val="{2A786F8C-2C93-4289-8A3A-09FB20B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2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Browne</dc:creator>
  <cp:keywords/>
  <dc:description/>
  <cp:lastModifiedBy>Daniel Browne</cp:lastModifiedBy>
  <cp:revision>3</cp:revision>
  <dcterms:created xsi:type="dcterms:W3CDTF">2024-07-14T23:43:00Z</dcterms:created>
  <dcterms:modified xsi:type="dcterms:W3CDTF">2024-07-14T23:49:00Z</dcterms:modified>
</cp:coreProperties>
</file>