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9B" w:rsidRPr="007F7249" w:rsidRDefault="00733D9B" w:rsidP="00733D9B">
      <w:pPr>
        <w:jc w:val="center"/>
        <w:rPr>
          <w:b/>
          <w:sz w:val="28"/>
        </w:rPr>
      </w:pPr>
      <w:r>
        <w:rPr>
          <w:b/>
          <w:noProof/>
          <w:sz w:val="28"/>
          <w:lang w:eastAsia="en-AU"/>
        </w:rPr>
        <mc:AlternateContent>
          <mc:Choice Requires="wps">
            <w:drawing>
              <wp:anchor distT="0" distB="0" distL="114300" distR="114300" simplePos="0" relativeHeight="251659264" behindDoc="0" locked="0" layoutInCell="0" allowOverlap="1" wp14:anchorId="1A3C1FAF" wp14:editId="0F983F0A">
                <wp:simplePos x="0" y="0"/>
                <wp:positionH relativeFrom="column">
                  <wp:posOffset>-405765</wp:posOffset>
                </wp:positionH>
                <wp:positionV relativeFrom="paragraph">
                  <wp:posOffset>-182880</wp:posOffset>
                </wp:positionV>
                <wp:extent cx="6029325" cy="9443720"/>
                <wp:effectExtent l="41910" t="45720" r="43815" b="4508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944372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35570" id="Rectangle 2" o:spid="_x0000_s1026" style="position:absolute;margin-left:-31.95pt;margin-top:-14.4pt;width:474.75pt;height:74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" o:allowincell="f" filled="f" strokeweight="6pt">
                <v:stroke linestyle="thickBetweenThin"/>
              </v:rect>
            </w:pict>
          </mc:Fallback>
        </mc:AlternateContent>
      </w:r>
    </w:p>
    <w:p w:rsidR="00733D9B" w:rsidRDefault="00733D9B" w:rsidP="00733D9B">
      <w:pPr>
        <w:jc w:val="center"/>
        <w:rPr>
          <w:b/>
          <w:sz w:val="28"/>
        </w:rPr>
      </w:pPr>
    </w:p>
    <w:p w:rsidR="00733D9B" w:rsidRDefault="00733D9B" w:rsidP="00733D9B">
      <w:pPr>
        <w:jc w:val="center"/>
        <w:rPr>
          <w:b/>
          <w:sz w:val="28"/>
        </w:rPr>
      </w:pPr>
    </w:p>
    <w:p w:rsidR="00733D9B" w:rsidRDefault="00733D9B" w:rsidP="00733D9B">
      <w:pPr>
        <w:jc w:val="center"/>
        <w:rPr>
          <w:b/>
          <w:sz w:val="28"/>
        </w:rPr>
      </w:pPr>
    </w:p>
    <w:p w:rsidR="00733D9B" w:rsidRDefault="00733D9B" w:rsidP="00733D9B">
      <w:pPr>
        <w:jc w:val="center"/>
        <w:rPr>
          <w:b/>
          <w:sz w:val="28"/>
        </w:rPr>
      </w:pPr>
    </w:p>
    <w:p w:rsidR="00733D9B" w:rsidRDefault="00733D9B" w:rsidP="00733D9B">
      <w:pPr>
        <w:jc w:val="center"/>
        <w:rPr>
          <w:b/>
          <w:sz w:val="28"/>
        </w:rPr>
      </w:pPr>
    </w:p>
    <w:p w:rsidR="00733D9B" w:rsidRDefault="00733D9B" w:rsidP="00733D9B">
      <w:pPr>
        <w:jc w:val="center"/>
        <w:rPr>
          <w:b/>
          <w:sz w:val="28"/>
        </w:rPr>
      </w:pPr>
    </w:p>
    <w:p w:rsidR="00733D9B" w:rsidRDefault="00733D9B" w:rsidP="00733D9B">
      <w:pPr>
        <w:jc w:val="center"/>
        <w:rPr>
          <w:b/>
          <w:sz w:val="28"/>
        </w:rPr>
      </w:pPr>
    </w:p>
    <w:p w:rsidR="00733D9B" w:rsidRPr="00500494" w:rsidRDefault="00733D9B" w:rsidP="00733D9B">
      <w:pPr>
        <w:jc w:val="center"/>
        <w:rPr>
          <w:rFonts w:ascii="Arial" w:hAnsi="Arial" w:cs="Arial"/>
          <w:b/>
          <w:sz w:val="28"/>
        </w:rPr>
      </w:pPr>
    </w:p>
    <w:p w:rsidR="00733D9B" w:rsidRPr="00500494" w:rsidRDefault="00733D9B" w:rsidP="00733D9B">
      <w:pPr>
        <w:jc w:val="center"/>
        <w:rPr>
          <w:rFonts w:ascii="Arial" w:hAnsi="Arial" w:cs="Arial"/>
          <w:b/>
          <w:sz w:val="28"/>
        </w:rPr>
      </w:pPr>
    </w:p>
    <w:p w:rsidR="00733D9B" w:rsidRPr="00500494" w:rsidRDefault="00733D9B" w:rsidP="00733D9B">
      <w:pPr>
        <w:jc w:val="center"/>
        <w:rPr>
          <w:rFonts w:ascii="Arial" w:hAnsi="Arial" w:cs="Arial"/>
          <w:b/>
          <w:sz w:val="32"/>
        </w:rPr>
      </w:pPr>
      <w:r w:rsidRPr="00500494">
        <w:rPr>
          <w:rFonts w:ascii="Arial" w:hAnsi="Arial" w:cs="Arial"/>
          <w:b/>
          <w:sz w:val="32"/>
        </w:rPr>
        <w:t>ECONOMIC ASSESSMENT OF</w:t>
      </w:r>
    </w:p>
    <w:p w:rsidR="00733D9B" w:rsidRPr="00500494" w:rsidRDefault="009120E3" w:rsidP="00733D9B">
      <w:pPr>
        <w:jc w:val="center"/>
        <w:rPr>
          <w:rFonts w:ascii="Arial" w:hAnsi="Arial" w:cs="Arial"/>
          <w:b/>
          <w:sz w:val="32"/>
        </w:rPr>
      </w:pPr>
      <w:r>
        <w:rPr>
          <w:rFonts w:ascii="Arial" w:hAnsi="Arial" w:cs="Arial"/>
          <w:b/>
          <w:sz w:val="32"/>
        </w:rPr>
        <w:t>SIX RESEARCH</w:t>
      </w:r>
      <w:r w:rsidR="005E380D">
        <w:rPr>
          <w:rFonts w:ascii="Arial" w:hAnsi="Arial" w:cs="Arial"/>
          <w:b/>
          <w:sz w:val="32"/>
        </w:rPr>
        <w:t xml:space="preserve">, </w:t>
      </w:r>
      <w:r>
        <w:rPr>
          <w:rFonts w:ascii="Arial" w:hAnsi="Arial" w:cs="Arial"/>
          <w:b/>
          <w:sz w:val="32"/>
        </w:rPr>
        <w:t xml:space="preserve">DEVELOPMENT </w:t>
      </w:r>
      <w:r w:rsidR="005E380D">
        <w:rPr>
          <w:rFonts w:ascii="Arial" w:hAnsi="Arial" w:cs="Arial"/>
          <w:b/>
          <w:sz w:val="32"/>
        </w:rPr>
        <w:t xml:space="preserve">AND EXTENSION </w:t>
      </w:r>
      <w:r>
        <w:rPr>
          <w:rFonts w:ascii="Arial" w:hAnsi="Arial" w:cs="Arial"/>
          <w:b/>
          <w:sz w:val="32"/>
        </w:rPr>
        <w:t xml:space="preserve">INVESTMENTS </w:t>
      </w:r>
      <w:r w:rsidR="00B35480">
        <w:rPr>
          <w:rFonts w:ascii="Arial" w:hAnsi="Arial" w:cs="Arial"/>
          <w:b/>
          <w:sz w:val="32"/>
        </w:rPr>
        <w:t>BY THE DEPARTME</w:t>
      </w:r>
      <w:r w:rsidR="00B62465">
        <w:rPr>
          <w:rFonts w:ascii="Arial" w:hAnsi="Arial" w:cs="Arial"/>
          <w:b/>
          <w:sz w:val="32"/>
        </w:rPr>
        <w:t>NT OF AGRICULTURE AND FISHERIES</w:t>
      </w:r>
    </w:p>
    <w:p w:rsidR="009120E3" w:rsidRDefault="009120E3" w:rsidP="00733D9B">
      <w:pPr>
        <w:jc w:val="center"/>
        <w:rPr>
          <w:rFonts w:ascii="Arial" w:hAnsi="Arial" w:cs="Arial"/>
          <w:b/>
          <w:sz w:val="32"/>
        </w:rPr>
      </w:pPr>
    </w:p>
    <w:p w:rsidR="00733D9B" w:rsidRPr="00500494" w:rsidRDefault="00733D9B" w:rsidP="00733D9B">
      <w:pPr>
        <w:jc w:val="center"/>
        <w:rPr>
          <w:rFonts w:ascii="Arial" w:hAnsi="Arial" w:cs="Arial"/>
          <w:b/>
          <w:sz w:val="32"/>
        </w:rPr>
      </w:pPr>
    </w:p>
    <w:p w:rsidR="00733D9B" w:rsidRPr="00500494" w:rsidRDefault="00733D9B" w:rsidP="00733D9B">
      <w:pPr>
        <w:jc w:val="center"/>
        <w:rPr>
          <w:rFonts w:ascii="Arial" w:hAnsi="Arial" w:cs="Arial"/>
          <w:b/>
          <w:sz w:val="32"/>
        </w:rPr>
      </w:pPr>
    </w:p>
    <w:p w:rsidR="00733D9B" w:rsidRPr="00500494" w:rsidRDefault="00A72928" w:rsidP="00B62465">
      <w:pPr>
        <w:jc w:val="center"/>
        <w:rPr>
          <w:rFonts w:ascii="Arial" w:hAnsi="Arial" w:cs="Arial"/>
          <w:b/>
          <w:sz w:val="32"/>
        </w:rPr>
      </w:pPr>
      <w:r>
        <w:rPr>
          <w:rFonts w:ascii="Arial" w:hAnsi="Arial" w:cs="Arial"/>
          <w:b/>
          <w:sz w:val="32"/>
        </w:rPr>
        <w:t>Final</w:t>
      </w:r>
      <w:r w:rsidR="00243F33" w:rsidRPr="00500494">
        <w:rPr>
          <w:rFonts w:ascii="Arial" w:hAnsi="Arial" w:cs="Arial"/>
          <w:b/>
          <w:sz w:val="32"/>
        </w:rPr>
        <w:t xml:space="preserve"> </w:t>
      </w:r>
      <w:r w:rsidR="00972769">
        <w:rPr>
          <w:rFonts w:ascii="Arial" w:hAnsi="Arial" w:cs="Arial"/>
          <w:b/>
          <w:sz w:val="32"/>
        </w:rPr>
        <w:t xml:space="preserve">Summary </w:t>
      </w:r>
      <w:r w:rsidR="007F7249" w:rsidRPr="00500494">
        <w:rPr>
          <w:rFonts w:ascii="Arial" w:hAnsi="Arial" w:cs="Arial"/>
          <w:b/>
          <w:sz w:val="32"/>
        </w:rPr>
        <w:t>Report</w:t>
      </w:r>
    </w:p>
    <w:p w:rsidR="00733D9B" w:rsidRPr="00500494" w:rsidRDefault="009120E3" w:rsidP="00733D9B">
      <w:pPr>
        <w:jc w:val="center"/>
        <w:rPr>
          <w:rFonts w:ascii="Arial" w:hAnsi="Arial" w:cs="Arial"/>
          <w:b/>
          <w:sz w:val="24"/>
        </w:rPr>
      </w:pPr>
      <w:r>
        <w:rPr>
          <w:rFonts w:ascii="Arial" w:hAnsi="Arial" w:cs="Arial"/>
          <w:b/>
          <w:sz w:val="24"/>
        </w:rPr>
        <w:t>t</w:t>
      </w:r>
      <w:r w:rsidR="00733D9B" w:rsidRPr="00500494">
        <w:rPr>
          <w:rFonts w:ascii="Arial" w:hAnsi="Arial" w:cs="Arial"/>
          <w:b/>
          <w:sz w:val="24"/>
        </w:rPr>
        <w:t>o</w:t>
      </w:r>
    </w:p>
    <w:p w:rsidR="00733D9B" w:rsidRPr="00500494" w:rsidRDefault="00243F33" w:rsidP="00733D9B">
      <w:pPr>
        <w:jc w:val="center"/>
        <w:rPr>
          <w:rFonts w:ascii="Arial" w:hAnsi="Arial" w:cs="Arial"/>
          <w:b/>
          <w:sz w:val="24"/>
        </w:rPr>
      </w:pPr>
      <w:r w:rsidRPr="00500494">
        <w:rPr>
          <w:rFonts w:ascii="Arial" w:hAnsi="Arial" w:cs="Arial"/>
          <w:b/>
          <w:sz w:val="24"/>
        </w:rPr>
        <w:t xml:space="preserve">Queensland Department of Agriculture and Fisheries </w:t>
      </w:r>
      <w:r w:rsidR="00733D9B" w:rsidRPr="00500494">
        <w:rPr>
          <w:rFonts w:ascii="Arial" w:hAnsi="Arial" w:cs="Arial"/>
          <w:b/>
          <w:sz w:val="24"/>
        </w:rPr>
        <w:t xml:space="preserve">  </w:t>
      </w:r>
    </w:p>
    <w:p w:rsidR="00733D9B" w:rsidRPr="00500494" w:rsidRDefault="00733D9B" w:rsidP="00733D9B">
      <w:pPr>
        <w:jc w:val="center"/>
        <w:rPr>
          <w:rFonts w:ascii="Arial" w:hAnsi="Arial" w:cs="Arial"/>
          <w:b/>
          <w:sz w:val="28"/>
        </w:rPr>
      </w:pPr>
    </w:p>
    <w:p w:rsidR="00733D9B" w:rsidRPr="00500494" w:rsidRDefault="009E5E68" w:rsidP="00733D9B">
      <w:pPr>
        <w:jc w:val="center"/>
        <w:rPr>
          <w:rFonts w:ascii="Arial" w:hAnsi="Arial" w:cs="Arial"/>
          <w:b/>
          <w:sz w:val="24"/>
        </w:rPr>
      </w:pPr>
      <w:r>
        <w:rPr>
          <w:rFonts w:ascii="Arial" w:hAnsi="Arial" w:cs="Arial"/>
          <w:b/>
          <w:sz w:val="24"/>
        </w:rPr>
        <w:t>9</w:t>
      </w:r>
      <w:r w:rsidR="00A72928">
        <w:rPr>
          <w:rFonts w:ascii="Arial" w:hAnsi="Arial" w:cs="Arial"/>
          <w:b/>
          <w:sz w:val="24"/>
        </w:rPr>
        <w:t xml:space="preserve"> August</w:t>
      </w:r>
      <w:r w:rsidR="00972769">
        <w:rPr>
          <w:rFonts w:ascii="Arial" w:hAnsi="Arial" w:cs="Arial"/>
          <w:b/>
          <w:sz w:val="24"/>
        </w:rPr>
        <w:t xml:space="preserve"> </w:t>
      </w:r>
      <w:r w:rsidR="009120E3">
        <w:rPr>
          <w:rFonts w:ascii="Arial" w:hAnsi="Arial" w:cs="Arial"/>
          <w:b/>
          <w:sz w:val="24"/>
        </w:rPr>
        <w:t>2017</w:t>
      </w:r>
    </w:p>
    <w:p w:rsidR="00733D9B" w:rsidRPr="00500494" w:rsidRDefault="00733D9B" w:rsidP="00733D9B">
      <w:pPr>
        <w:jc w:val="center"/>
        <w:rPr>
          <w:rFonts w:ascii="Arial" w:hAnsi="Arial" w:cs="Arial"/>
          <w:b/>
          <w:sz w:val="28"/>
        </w:rPr>
      </w:pPr>
    </w:p>
    <w:p w:rsidR="00733D9B" w:rsidRPr="00500494" w:rsidRDefault="00733D9B" w:rsidP="00733D9B">
      <w:pPr>
        <w:jc w:val="center"/>
        <w:rPr>
          <w:rFonts w:ascii="Arial" w:hAnsi="Arial" w:cs="Arial"/>
          <w:b/>
          <w:sz w:val="28"/>
        </w:rPr>
      </w:pPr>
    </w:p>
    <w:p w:rsidR="00733D9B" w:rsidRPr="00500494" w:rsidRDefault="00733D9B" w:rsidP="00733D9B">
      <w:pPr>
        <w:jc w:val="center"/>
        <w:rPr>
          <w:rFonts w:ascii="Arial" w:hAnsi="Arial" w:cs="Arial"/>
          <w:b/>
          <w:sz w:val="28"/>
        </w:rPr>
      </w:pPr>
    </w:p>
    <w:p w:rsidR="00733D9B" w:rsidRPr="00500494" w:rsidRDefault="00733D9B" w:rsidP="00733D9B">
      <w:pPr>
        <w:jc w:val="center"/>
        <w:rPr>
          <w:rFonts w:ascii="Arial" w:hAnsi="Arial" w:cs="Arial"/>
          <w:b/>
          <w:sz w:val="28"/>
        </w:rPr>
      </w:pPr>
    </w:p>
    <w:p w:rsidR="00733D9B" w:rsidRPr="00500494" w:rsidRDefault="00733D9B" w:rsidP="00733D9B">
      <w:pPr>
        <w:jc w:val="center"/>
        <w:rPr>
          <w:rFonts w:ascii="Arial" w:hAnsi="Arial" w:cs="Arial"/>
          <w:b/>
          <w:sz w:val="28"/>
        </w:rPr>
      </w:pPr>
    </w:p>
    <w:p w:rsidR="00733D9B" w:rsidRPr="00500494" w:rsidRDefault="00733D9B" w:rsidP="00733D9B">
      <w:pPr>
        <w:jc w:val="center"/>
        <w:rPr>
          <w:rFonts w:ascii="Arial" w:hAnsi="Arial" w:cs="Arial"/>
          <w:b/>
          <w:sz w:val="24"/>
        </w:rPr>
      </w:pPr>
      <w:r w:rsidRPr="00500494">
        <w:rPr>
          <w:rFonts w:ascii="Arial" w:hAnsi="Arial" w:cs="Arial"/>
          <w:b/>
          <w:sz w:val="24"/>
        </w:rPr>
        <w:t>by</w:t>
      </w:r>
    </w:p>
    <w:p w:rsidR="00733D9B" w:rsidRPr="00500494" w:rsidRDefault="00733D9B" w:rsidP="00733D9B">
      <w:pPr>
        <w:jc w:val="center"/>
        <w:rPr>
          <w:rFonts w:ascii="Arial" w:hAnsi="Arial" w:cs="Arial"/>
          <w:b/>
          <w:sz w:val="28"/>
        </w:rPr>
      </w:pPr>
    </w:p>
    <w:p w:rsidR="00733D9B" w:rsidRPr="00500494" w:rsidRDefault="00AD547D" w:rsidP="00733D9B">
      <w:pPr>
        <w:jc w:val="center"/>
        <w:rPr>
          <w:rFonts w:ascii="Arial" w:hAnsi="Arial" w:cs="Arial"/>
          <w:b/>
          <w:sz w:val="24"/>
        </w:rPr>
      </w:pPr>
      <w:r w:rsidRPr="00500494">
        <w:rPr>
          <w:rFonts w:ascii="Arial" w:hAnsi="Arial" w:cs="Arial"/>
          <w:b/>
          <w:sz w:val="24"/>
        </w:rPr>
        <w:t xml:space="preserve">Peter Chudleigh, </w:t>
      </w:r>
      <w:r w:rsidR="00243F33" w:rsidRPr="00500494">
        <w:rPr>
          <w:rFonts w:ascii="Arial" w:hAnsi="Arial" w:cs="Arial"/>
          <w:b/>
          <w:sz w:val="24"/>
        </w:rPr>
        <w:t xml:space="preserve">Talia Hardaker and Joseph Abell </w:t>
      </w:r>
    </w:p>
    <w:p w:rsidR="00AD547D" w:rsidRPr="00500494" w:rsidRDefault="00AD547D" w:rsidP="00733D9B">
      <w:pPr>
        <w:jc w:val="center"/>
        <w:rPr>
          <w:rFonts w:ascii="Arial" w:hAnsi="Arial" w:cs="Arial"/>
          <w:b/>
          <w:sz w:val="24"/>
        </w:rPr>
      </w:pPr>
    </w:p>
    <w:p w:rsidR="00AD547D" w:rsidRPr="00500494" w:rsidRDefault="00AD547D" w:rsidP="00733D9B">
      <w:pPr>
        <w:jc w:val="center"/>
        <w:rPr>
          <w:rFonts w:ascii="Arial" w:hAnsi="Arial" w:cs="Arial"/>
          <w:b/>
          <w:sz w:val="28"/>
        </w:rPr>
      </w:pPr>
      <w:r w:rsidRPr="00500494">
        <w:rPr>
          <w:rFonts w:ascii="Arial" w:hAnsi="Arial" w:cs="Arial"/>
          <w:b/>
          <w:sz w:val="24"/>
        </w:rPr>
        <w:t xml:space="preserve">Agtrans Research </w:t>
      </w:r>
    </w:p>
    <w:p w:rsidR="00733D9B" w:rsidRDefault="00733D9B" w:rsidP="00733D9B">
      <w:pPr>
        <w:jc w:val="center"/>
        <w:rPr>
          <w:rFonts w:ascii="Arial" w:hAnsi="Arial" w:cs="Arial"/>
          <w:b/>
          <w:sz w:val="28"/>
        </w:rPr>
      </w:pPr>
    </w:p>
    <w:p w:rsidR="00B62465" w:rsidRPr="00500494" w:rsidRDefault="00B62465" w:rsidP="00B62465">
      <w:pPr>
        <w:rPr>
          <w:rFonts w:ascii="Arial" w:hAnsi="Arial" w:cs="Arial"/>
          <w:b/>
          <w:sz w:val="28"/>
        </w:rPr>
      </w:pPr>
    </w:p>
    <w:p w:rsidR="00733D9B" w:rsidRPr="00500494" w:rsidRDefault="00733D9B" w:rsidP="00733D9B">
      <w:pPr>
        <w:jc w:val="center"/>
        <w:rPr>
          <w:rFonts w:ascii="Arial" w:hAnsi="Arial" w:cs="Arial"/>
          <w:b/>
          <w:sz w:val="28"/>
        </w:rPr>
        <w:sectPr w:rsidR="00733D9B" w:rsidRPr="00500494">
          <w:footerReference w:type="even" r:id="rId8"/>
          <w:footerReference w:type="default" r:id="rId9"/>
          <w:pgSz w:w="11906" w:h="16838"/>
          <w:pgMar w:top="1440" w:right="1800" w:bottom="1440" w:left="1800" w:header="720" w:footer="720" w:gutter="0"/>
          <w:cols w:space="720"/>
        </w:sectPr>
      </w:pPr>
    </w:p>
    <w:p w:rsidR="00B21607" w:rsidRPr="00E41B9B" w:rsidRDefault="00B21607" w:rsidP="00B21607">
      <w:pPr>
        <w:pStyle w:val="Heading1"/>
      </w:pPr>
      <w:bookmarkStart w:id="0" w:name="_Toc486145207"/>
      <w:bookmarkStart w:id="1" w:name="_Toc489604051"/>
      <w:bookmarkStart w:id="2" w:name="_Toc490036904"/>
      <w:bookmarkStart w:id="3" w:name="_Toc398113662"/>
      <w:bookmarkStart w:id="4" w:name="_Toc486145200"/>
      <w:bookmarkStart w:id="5" w:name="_Toc489604044"/>
      <w:r w:rsidRPr="00E41B9B">
        <w:t>Acknowledgments</w:t>
      </w:r>
      <w:bookmarkEnd w:id="0"/>
      <w:bookmarkEnd w:id="1"/>
      <w:bookmarkEnd w:id="2"/>
    </w:p>
    <w:p w:rsidR="00B21607" w:rsidRDefault="00B21607" w:rsidP="00B21607">
      <w:pPr>
        <w:rPr>
          <w:rFonts w:ascii="Arial" w:hAnsi="Arial" w:cs="Arial"/>
        </w:rPr>
      </w:pPr>
      <w:r w:rsidRPr="00E41B9B">
        <w:rPr>
          <w:rFonts w:ascii="Arial" w:hAnsi="Arial" w:cs="Arial"/>
        </w:rPr>
        <w:t xml:space="preserve">The authors would like to acknowledge the excellent co-operation received from </w:t>
      </w:r>
      <w:r>
        <w:rPr>
          <w:rFonts w:ascii="Arial" w:hAnsi="Arial" w:cs="Arial"/>
        </w:rPr>
        <w:t>Department of Agriculture and Fisheries (Queensland) management personnel a</w:t>
      </w:r>
      <w:r w:rsidRPr="00E41B9B">
        <w:rPr>
          <w:rFonts w:ascii="Arial" w:hAnsi="Arial" w:cs="Arial"/>
        </w:rPr>
        <w:t xml:space="preserve">nd the Principal Investigators </w:t>
      </w:r>
      <w:r>
        <w:rPr>
          <w:rFonts w:ascii="Arial" w:hAnsi="Arial" w:cs="Arial"/>
        </w:rPr>
        <w:t xml:space="preserve">associated with the </w:t>
      </w:r>
      <w:r w:rsidRPr="00E41B9B">
        <w:rPr>
          <w:rFonts w:ascii="Arial" w:hAnsi="Arial" w:cs="Arial"/>
        </w:rPr>
        <w:t xml:space="preserve">individual </w:t>
      </w:r>
      <w:r>
        <w:rPr>
          <w:rFonts w:ascii="Arial" w:hAnsi="Arial" w:cs="Arial"/>
        </w:rPr>
        <w:t xml:space="preserve">investments. </w:t>
      </w:r>
      <w:r w:rsidRPr="00E41B9B">
        <w:rPr>
          <w:rFonts w:ascii="Arial" w:hAnsi="Arial" w:cs="Arial"/>
        </w:rPr>
        <w:t xml:space="preserve"> Specific acknowledgments are mentioned in each of the appendices</w:t>
      </w:r>
      <w:r>
        <w:rPr>
          <w:rFonts w:ascii="Arial" w:hAnsi="Arial" w:cs="Arial"/>
        </w:rPr>
        <w:t>.</w:t>
      </w:r>
    </w:p>
    <w:p w:rsidR="00B21607" w:rsidRDefault="00B21607" w:rsidP="00B21607">
      <w:pPr>
        <w:rPr>
          <w:rFonts w:ascii="Arial" w:hAnsi="Arial" w:cs="Arial"/>
        </w:rPr>
      </w:pPr>
    </w:p>
    <w:p w:rsidR="00B21607" w:rsidRDefault="00B21607" w:rsidP="00B21607">
      <w:pPr>
        <w:spacing w:after="240"/>
        <w:rPr>
          <w:rFonts w:ascii="Arial" w:hAnsi="Arial" w:cs="Arial"/>
        </w:rPr>
      </w:pPr>
    </w:p>
    <w:p w:rsidR="00733D9B" w:rsidRPr="00500494" w:rsidRDefault="00733D9B" w:rsidP="00C66231">
      <w:pPr>
        <w:pStyle w:val="Heading1"/>
      </w:pPr>
      <w:bookmarkStart w:id="6" w:name="_Toc490036905"/>
      <w:r w:rsidRPr="00500494">
        <w:t>Abbreviations</w:t>
      </w:r>
      <w:bookmarkEnd w:id="3"/>
      <w:bookmarkEnd w:id="4"/>
      <w:bookmarkEnd w:id="5"/>
      <w:bookmarkEnd w:id="6"/>
      <w:r w:rsidRPr="00500494">
        <w:t xml:space="preserve"> </w:t>
      </w:r>
    </w:p>
    <w:p w:rsidR="00733D9B" w:rsidRPr="007B1B49" w:rsidRDefault="00733D9B" w:rsidP="00B62465">
      <w:pPr>
        <w:spacing w:line="276" w:lineRule="auto"/>
        <w:rPr>
          <w:rFonts w:ascii="Arial" w:hAnsi="Arial" w:cs="Arial"/>
          <w:color w:val="000000" w:themeColor="text1"/>
          <w:szCs w:val="22"/>
        </w:rPr>
      </w:pPr>
      <w:r w:rsidRPr="007B1B49">
        <w:rPr>
          <w:rFonts w:ascii="Arial" w:hAnsi="Arial" w:cs="Arial"/>
          <w:color w:val="000000" w:themeColor="text1"/>
          <w:szCs w:val="22"/>
        </w:rPr>
        <w:t>BCR</w:t>
      </w:r>
      <w:r w:rsidRPr="007B1B49">
        <w:rPr>
          <w:rFonts w:ascii="Arial" w:hAnsi="Arial" w:cs="Arial"/>
          <w:color w:val="000000" w:themeColor="text1"/>
          <w:szCs w:val="22"/>
        </w:rPr>
        <w:tab/>
      </w:r>
      <w:r w:rsidRPr="007B1B49">
        <w:rPr>
          <w:rFonts w:ascii="Arial" w:hAnsi="Arial" w:cs="Arial"/>
          <w:color w:val="000000" w:themeColor="text1"/>
          <w:szCs w:val="22"/>
        </w:rPr>
        <w:tab/>
        <w:t>Benefit</w:t>
      </w:r>
      <w:r w:rsidR="008570DA" w:rsidRPr="007B1B49">
        <w:rPr>
          <w:rFonts w:ascii="Arial" w:hAnsi="Arial" w:cs="Arial"/>
          <w:color w:val="000000" w:themeColor="text1"/>
          <w:szCs w:val="22"/>
        </w:rPr>
        <w:t>-</w:t>
      </w:r>
      <w:r w:rsidRPr="007B1B49">
        <w:rPr>
          <w:rFonts w:ascii="Arial" w:hAnsi="Arial" w:cs="Arial"/>
          <w:color w:val="000000" w:themeColor="text1"/>
          <w:szCs w:val="22"/>
        </w:rPr>
        <w:t>Cost Ratio</w:t>
      </w:r>
    </w:p>
    <w:p w:rsidR="008E44C8" w:rsidRPr="007B1B49" w:rsidRDefault="008E44C8" w:rsidP="00B62465">
      <w:pPr>
        <w:spacing w:line="276" w:lineRule="auto"/>
        <w:rPr>
          <w:rFonts w:ascii="Arial" w:hAnsi="Arial" w:cs="Arial"/>
          <w:color w:val="000000" w:themeColor="text1"/>
        </w:rPr>
      </w:pPr>
      <w:r w:rsidRPr="007B1B49">
        <w:rPr>
          <w:rFonts w:ascii="Arial" w:hAnsi="Arial" w:cs="Arial"/>
          <w:color w:val="000000" w:themeColor="text1"/>
        </w:rPr>
        <w:t>CBA</w:t>
      </w:r>
      <w:r w:rsidRPr="007B1B49">
        <w:rPr>
          <w:rFonts w:ascii="Arial" w:hAnsi="Arial" w:cs="Arial"/>
          <w:color w:val="000000" w:themeColor="text1"/>
        </w:rPr>
        <w:tab/>
      </w:r>
      <w:r w:rsidRPr="007B1B49">
        <w:rPr>
          <w:rFonts w:ascii="Arial" w:hAnsi="Arial" w:cs="Arial"/>
          <w:color w:val="000000" w:themeColor="text1"/>
        </w:rPr>
        <w:tab/>
        <w:t xml:space="preserve">Cost-Benefit Analysis </w:t>
      </w:r>
    </w:p>
    <w:p w:rsidR="00207CDE" w:rsidRPr="007B1B49" w:rsidRDefault="00207CDE" w:rsidP="00B62465">
      <w:pPr>
        <w:spacing w:line="276" w:lineRule="auto"/>
        <w:rPr>
          <w:rFonts w:ascii="Arial" w:hAnsi="Arial" w:cs="Arial"/>
          <w:color w:val="000000" w:themeColor="text1"/>
        </w:rPr>
      </w:pPr>
      <w:r w:rsidRPr="007B1B49">
        <w:rPr>
          <w:rFonts w:ascii="Arial" w:hAnsi="Arial" w:cs="Arial"/>
          <w:color w:val="000000" w:themeColor="text1"/>
        </w:rPr>
        <w:t>CRC</w:t>
      </w:r>
      <w:r w:rsidRPr="007B1B49">
        <w:rPr>
          <w:rFonts w:ascii="Arial" w:hAnsi="Arial" w:cs="Arial"/>
          <w:color w:val="000000" w:themeColor="text1"/>
        </w:rPr>
        <w:tab/>
      </w:r>
      <w:r w:rsidRPr="007B1B49">
        <w:rPr>
          <w:rFonts w:ascii="Arial" w:hAnsi="Arial" w:cs="Arial"/>
          <w:color w:val="000000" w:themeColor="text1"/>
        </w:rPr>
        <w:tab/>
        <w:t>Cooperative Research Centre</w:t>
      </w:r>
    </w:p>
    <w:p w:rsidR="00733D9B" w:rsidRPr="007B1B49" w:rsidRDefault="00733D9B" w:rsidP="00B62465">
      <w:pPr>
        <w:spacing w:line="276" w:lineRule="auto"/>
        <w:rPr>
          <w:rFonts w:ascii="Arial" w:hAnsi="Arial" w:cs="Arial"/>
          <w:color w:val="000000" w:themeColor="text1"/>
          <w:szCs w:val="22"/>
        </w:rPr>
      </w:pPr>
      <w:r w:rsidRPr="007B1B49">
        <w:rPr>
          <w:rFonts w:ascii="Arial" w:hAnsi="Arial" w:cs="Arial"/>
          <w:color w:val="000000" w:themeColor="text1"/>
          <w:szCs w:val="22"/>
        </w:rPr>
        <w:t>CRRDC</w:t>
      </w:r>
      <w:r w:rsidRPr="007B1B49">
        <w:rPr>
          <w:rFonts w:ascii="Arial" w:hAnsi="Arial" w:cs="Arial"/>
          <w:color w:val="000000" w:themeColor="text1"/>
          <w:szCs w:val="22"/>
        </w:rPr>
        <w:tab/>
        <w:t>Council of Rural Research and Development Corporations</w:t>
      </w:r>
    </w:p>
    <w:p w:rsidR="00A10D36" w:rsidRDefault="00A10D36" w:rsidP="00B62465">
      <w:pPr>
        <w:spacing w:line="276" w:lineRule="auto"/>
        <w:rPr>
          <w:rFonts w:ascii="Arial" w:hAnsi="Arial" w:cs="Arial"/>
          <w:color w:val="000000" w:themeColor="text1"/>
        </w:rPr>
      </w:pPr>
      <w:r>
        <w:rPr>
          <w:rFonts w:ascii="Arial" w:hAnsi="Arial" w:cs="Arial"/>
          <w:color w:val="000000" w:themeColor="text1"/>
        </w:rPr>
        <w:t>DAF</w:t>
      </w:r>
      <w:r>
        <w:rPr>
          <w:rFonts w:ascii="Arial" w:hAnsi="Arial" w:cs="Arial"/>
          <w:color w:val="000000" w:themeColor="text1"/>
        </w:rPr>
        <w:tab/>
      </w:r>
      <w:r>
        <w:rPr>
          <w:rFonts w:ascii="Arial" w:hAnsi="Arial" w:cs="Arial"/>
          <w:color w:val="000000" w:themeColor="text1"/>
        </w:rPr>
        <w:tab/>
        <w:t>Department of Agriculture and Fisheries (Queensland)</w:t>
      </w:r>
    </w:p>
    <w:p w:rsidR="00207CDE" w:rsidRPr="007B1B49" w:rsidRDefault="00207CDE" w:rsidP="00B62465">
      <w:pPr>
        <w:spacing w:line="276" w:lineRule="auto"/>
        <w:rPr>
          <w:rFonts w:ascii="Arial" w:hAnsi="Arial" w:cs="Arial"/>
          <w:color w:val="000000" w:themeColor="text1"/>
        </w:rPr>
      </w:pPr>
      <w:r w:rsidRPr="007B1B49">
        <w:rPr>
          <w:rFonts w:ascii="Arial" w:hAnsi="Arial" w:cs="Arial"/>
          <w:color w:val="000000" w:themeColor="text1"/>
        </w:rPr>
        <w:t>GDP</w:t>
      </w:r>
      <w:r w:rsidRPr="007B1B49">
        <w:rPr>
          <w:rFonts w:ascii="Arial" w:hAnsi="Arial" w:cs="Arial"/>
          <w:color w:val="000000" w:themeColor="text1"/>
        </w:rPr>
        <w:tab/>
      </w:r>
      <w:r w:rsidRPr="007B1B49">
        <w:rPr>
          <w:rFonts w:ascii="Arial" w:hAnsi="Arial" w:cs="Arial"/>
          <w:color w:val="000000" w:themeColor="text1"/>
        </w:rPr>
        <w:tab/>
        <w:t>Gross Domestic Product</w:t>
      </w:r>
    </w:p>
    <w:p w:rsidR="00733D9B" w:rsidRPr="007B1B49" w:rsidRDefault="00733D9B" w:rsidP="00B62465">
      <w:pPr>
        <w:spacing w:line="276" w:lineRule="auto"/>
        <w:rPr>
          <w:rFonts w:ascii="Arial" w:hAnsi="Arial" w:cs="Arial"/>
          <w:color w:val="000000" w:themeColor="text1"/>
          <w:szCs w:val="22"/>
        </w:rPr>
      </w:pPr>
      <w:r w:rsidRPr="007B1B49">
        <w:rPr>
          <w:rFonts w:ascii="Arial" w:hAnsi="Arial" w:cs="Arial"/>
          <w:color w:val="000000" w:themeColor="text1"/>
          <w:szCs w:val="22"/>
        </w:rPr>
        <w:t>IRR</w:t>
      </w:r>
      <w:r w:rsidRPr="007B1B49">
        <w:rPr>
          <w:rFonts w:ascii="Arial" w:hAnsi="Arial" w:cs="Arial"/>
          <w:color w:val="000000" w:themeColor="text1"/>
          <w:szCs w:val="22"/>
        </w:rPr>
        <w:tab/>
      </w:r>
      <w:r w:rsidRPr="007B1B49">
        <w:rPr>
          <w:rFonts w:ascii="Arial" w:hAnsi="Arial" w:cs="Arial"/>
          <w:color w:val="000000" w:themeColor="text1"/>
          <w:szCs w:val="22"/>
        </w:rPr>
        <w:tab/>
        <w:t>Internal Rate of Return</w:t>
      </w:r>
    </w:p>
    <w:p w:rsidR="007B1B49" w:rsidRPr="007B1B49" w:rsidRDefault="007B1B49" w:rsidP="00B62465">
      <w:pPr>
        <w:spacing w:line="276" w:lineRule="auto"/>
        <w:rPr>
          <w:rFonts w:ascii="Arial" w:hAnsi="Arial" w:cs="Arial"/>
          <w:color w:val="000000" w:themeColor="text1"/>
          <w:szCs w:val="22"/>
        </w:rPr>
      </w:pPr>
      <w:r w:rsidRPr="007B1B49">
        <w:rPr>
          <w:rFonts w:ascii="Arial" w:hAnsi="Arial" w:cs="Arial"/>
          <w:color w:val="000000" w:themeColor="text1"/>
          <w:szCs w:val="22"/>
        </w:rPr>
        <w:t>MIRR</w:t>
      </w:r>
      <w:r w:rsidRPr="007B1B49">
        <w:rPr>
          <w:rFonts w:ascii="Arial" w:hAnsi="Arial" w:cs="Arial"/>
          <w:color w:val="000000" w:themeColor="text1"/>
          <w:szCs w:val="22"/>
        </w:rPr>
        <w:tab/>
      </w:r>
      <w:r w:rsidRPr="007B1B49">
        <w:rPr>
          <w:rFonts w:ascii="Arial" w:hAnsi="Arial" w:cs="Arial"/>
          <w:color w:val="000000" w:themeColor="text1"/>
          <w:szCs w:val="22"/>
        </w:rPr>
        <w:tab/>
        <w:t xml:space="preserve">Modified Internal Rate of Return </w:t>
      </w:r>
    </w:p>
    <w:p w:rsidR="00207CDE" w:rsidRPr="007B1B49" w:rsidRDefault="00207CDE" w:rsidP="00B62465">
      <w:pPr>
        <w:spacing w:line="276" w:lineRule="auto"/>
        <w:rPr>
          <w:rFonts w:ascii="Arial" w:hAnsi="Arial" w:cs="Arial"/>
          <w:color w:val="000000" w:themeColor="text1"/>
          <w:szCs w:val="22"/>
        </w:rPr>
      </w:pPr>
      <w:r w:rsidRPr="007B1B49">
        <w:rPr>
          <w:rFonts w:ascii="Arial" w:hAnsi="Arial" w:cs="Arial"/>
          <w:color w:val="000000" w:themeColor="text1"/>
          <w:szCs w:val="22"/>
        </w:rPr>
        <w:t>NPV</w:t>
      </w:r>
      <w:r w:rsidRPr="007B1B49">
        <w:rPr>
          <w:rFonts w:ascii="Arial" w:hAnsi="Arial" w:cs="Arial"/>
          <w:color w:val="000000" w:themeColor="text1"/>
          <w:szCs w:val="22"/>
        </w:rPr>
        <w:tab/>
      </w:r>
      <w:r w:rsidRPr="007B1B49">
        <w:rPr>
          <w:rFonts w:ascii="Arial" w:hAnsi="Arial" w:cs="Arial"/>
          <w:color w:val="000000" w:themeColor="text1"/>
          <w:szCs w:val="22"/>
        </w:rPr>
        <w:tab/>
        <w:t>Net Present Value</w:t>
      </w:r>
    </w:p>
    <w:p w:rsidR="00733D9B" w:rsidRPr="007B1B49" w:rsidRDefault="00733D9B" w:rsidP="00B62465">
      <w:pPr>
        <w:spacing w:line="276" w:lineRule="auto"/>
        <w:rPr>
          <w:rFonts w:ascii="Arial" w:hAnsi="Arial" w:cs="Arial"/>
          <w:color w:val="000000" w:themeColor="text1"/>
          <w:szCs w:val="22"/>
        </w:rPr>
      </w:pPr>
      <w:r w:rsidRPr="007B1B49">
        <w:rPr>
          <w:rFonts w:ascii="Arial" w:hAnsi="Arial" w:cs="Arial"/>
          <w:color w:val="000000" w:themeColor="text1"/>
          <w:szCs w:val="22"/>
        </w:rPr>
        <w:t>PVB</w:t>
      </w:r>
      <w:r w:rsidRPr="007B1B49">
        <w:rPr>
          <w:rFonts w:ascii="Arial" w:hAnsi="Arial" w:cs="Arial"/>
          <w:color w:val="000000" w:themeColor="text1"/>
          <w:szCs w:val="22"/>
        </w:rPr>
        <w:tab/>
      </w:r>
      <w:r w:rsidRPr="007B1B49">
        <w:rPr>
          <w:rFonts w:ascii="Arial" w:hAnsi="Arial" w:cs="Arial"/>
          <w:color w:val="000000" w:themeColor="text1"/>
          <w:szCs w:val="22"/>
        </w:rPr>
        <w:tab/>
        <w:t>Present Value of Benefits</w:t>
      </w:r>
    </w:p>
    <w:p w:rsidR="00733D9B" w:rsidRPr="007B1B49" w:rsidRDefault="00733D9B" w:rsidP="00B62465">
      <w:pPr>
        <w:spacing w:line="276" w:lineRule="auto"/>
        <w:rPr>
          <w:rFonts w:ascii="Arial" w:hAnsi="Arial" w:cs="Arial"/>
          <w:color w:val="000000" w:themeColor="text1"/>
          <w:szCs w:val="22"/>
        </w:rPr>
      </w:pPr>
      <w:r w:rsidRPr="007B1B49">
        <w:rPr>
          <w:rFonts w:ascii="Arial" w:hAnsi="Arial" w:cs="Arial"/>
          <w:color w:val="000000" w:themeColor="text1"/>
          <w:szCs w:val="22"/>
        </w:rPr>
        <w:t>PVC</w:t>
      </w:r>
      <w:r w:rsidRPr="007B1B49">
        <w:rPr>
          <w:rFonts w:ascii="Arial" w:hAnsi="Arial" w:cs="Arial"/>
          <w:color w:val="000000" w:themeColor="text1"/>
          <w:szCs w:val="22"/>
        </w:rPr>
        <w:tab/>
      </w:r>
      <w:r w:rsidRPr="007B1B49">
        <w:rPr>
          <w:rFonts w:ascii="Arial" w:hAnsi="Arial" w:cs="Arial"/>
          <w:color w:val="000000" w:themeColor="text1"/>
          <w:szCs w:val="22"/>
        </w:rPr>
        <w:tab/>
        <w:t xml:space="preserve">Present Value of </w:t>
      </w:r>
      <w:r w:rsidR="00E70B25">
        <w:rPr>
          <w:rFonts w:ascii="Arial" w:hAnsi="Arial" w:cs="Arial"/>
          <w:color w:val="000000" w:themeColor="text1"/>
          <w:szCs w:val="22"/>
        </w:rPr>
        <w:t xml:space="preserve">Investment </w:t>
      </w:r>
      <w:r w:rsidRPr="007B1B49">
        <w:rPr>
          <w:rFonts w:ascii="Arial" w:hAnsi="Arial" w:cs="Arial"/>
          <w:color w:val="000000" w:themeColor="text1"/>
          <w:szCs w:val="22"/>
        </w:rPr>
        <w:t>Costs</w:t>
      </w:r>
    </w:p>
    <w:p w:rsidR="00733D9B" w:rsidRPr="007B1B49" w:rsidRDefault="00733D9B" w:rsidP="00B62465">
      <w:pPr>
        <w:spacing w:line="276" w:lineRule="auto"/>
        <w:rPr>
          <w:rFonts w:ascii="Arial" w:hAnsi="Arial" w:cs="Arial"/>
          <w:color w:val="000000" w:themeColor="text1"/>
        </w:rPr>
      </w:pPr>
      <w:r w:rsidRPr="007B1B49">
        <w:rPr>
          <w:rFonts w:ascii="Arial" w:hAnsi="Arial" w:cs="Arial"/>
          <w:color w:val="000000" w:themeColor="text1"/>
          <w:szCs w:val="22"/>
        </w:rPr>
        <w:t>RDC</w:t>
      </w:r>
      <w:r w:rsidRPr="007B1B49">
        <w:rPr>
          <w:rFonts w:ascii="Arial" w:hAnsi="Arial" w:cs="Arial"/>
          <w:color w:val="000000" w:themeColor="text1"/>
          <w:szCs w:val="22"/>
        </w:rPr>
        <w:tab/>
      </w:r>
      <w:r w:rsidRPr="007B1B49">
        <w:rPr>
          <w:rFonts w:ascii="Arial" w:hAnsi="Arial" w:cs="Arial"/>
          <w:color w:val="000000" w:themeColor="text1"/>
          <w:szCs w:val="22"/>
        </w:rPr>
        <w:tab/>
        <w:t xml:space="preserve">Research and Development Corporation </w:t>
      </w:r>
    </w:p>
    <w:p w:rsidR="00B55E9F" w:rsidRPr="007B1B49" w:rsidRDefault="00B55E9F" w:rsidP="00B62465">
      <w:pPr>
        <w:spacing w:line="276" w:lineRule="auto"/>
        <w:rPr>
          <w:rFonts w:ascii="Arial" w:hAnsi="Arial" w:cs="Arial"/>
          <w:color w:val="000000" w:themeColor="text1"/>
        </w:rPr>
      </w:pPr>
      <w:r w:rsidRPr="007B1B49">
        <w:rPr>
          <w:rFonts w:ascii="Arial" w:hAnsi="Arial" w:cs="Arial"/>
          <w:color w:val="000000" w:themeColor="text1"/>
        </w:rPr>
        <w:t>R&amp;D</w:t>
      </w:r>
      <w:r w:rsidR="00F04322" w:rsidRPr="007B1B49">
        <w:rPr>
          <w:rFonts w:ascii="Arial" w:hAnsi="Arial" w:cs="Arial"/>
          <w:color w:val="000000" w:themeColor="text1"/>
        </w:rPr>
        <w:tab/>
      </w:r>
      <w:r w:rsidR="00F04322" w:rsidRPr="007B1B49">
        <w:rPr>
          <w:rFonts w:ascii="Arial" w:hAnsi="Arial" w:cs="Arial"/>
          <w:color w:val="000000" w:themeColor="text1"/>
        </w:rPr>
        <w:tab/>
        <w:t>Research and Development</w:t>
      </w:r>
    </w:p>
    <w:p w:rsidR="00B55E9F" w:rsidRPr="00500494" w:rsidRDefault="00B21607" w:rsidP="000265CB">
      <w:pPr>
        <w:spacing w:after="240"/>
        <w:rPr>
          <w:rFonts w:ascii="Arial" w:hAnsi="Arial" w:cs="Arial"/>
        </w:rPr>
      </w:pPr>
      <w:r w:rsidRPr="007B1B49">
        <w:rPr>
          <w:rFonts w:ascii="Arial" w:hAnsi="Arial" w:cs="Arial"/>
          <w:color w:val="000000" w:themeColor="text1"/>
        </w:rPr>
        <w:t>RD&amp;E</w:t>
      </w:r>
      <w:r w:rsidRPr="007B1B49">
        <w:rPr>
          <w:rFonts w:ascii="Arial" w:hAnsi="Arial" w:cs="Arial"/>
          <w:color w:val="000000" w:themeColor="text1"/>
        </w:rPr>
        <w:tab/>
      </w:r>
      <w:r w:rsidRPr="007B1B49">
        <w:rPr>
          <w:rFonts w:ascii="Arial" w:hAnsi="Arial" w:cs="Arial"/>
          <w:color w:val="000000" w:themeColor="text1"/>
        </w:rPr>
        <w:tab/>
        <w:t>Research, Development and Extension</w:t>
      </w:r>
    </w:p>
    <w:p w:rsidR="00B21607" w:rsidRDefault="00B21607">
      <w:pPr>
        <w:spacing w:line="276" w:lineRule="auto"/>
        <w:rPr>
          <w:rFonts w:ascii="Arial" w:hAnsi="Arial" w:cs="Arial"/>
          <w:b/>
          <w:sz w:val="40"/>
          <w:szCs w:val="40"/>
        </w:rPr>
      </w:pPr>
      <w:bookmarkStart w:id="7" w:name="_Toc398113663"/>
      <w:bookmarkStart w:id="8" w:name="_Toc486145201"/>
      <w:bookmarkStart w:id="9" w:name="_Toc489604045"/>
      <w:r>
        <w:br w:type="page"/>
      </w:r>
    </w:p>
    <w:p w:rsidR="00733D9B" w:rsidRPr="00500494" w:rsidRDefault="00733D9B" w:rsidP="00C66231">
      <w:pPr>
        <w:pStyle w:val="Heading1"/>
      </w:pPr>
      <w:bookmarkStart w:id="10" w:name="_Toc490036906"/>
      <w:r w:rsidRPr="00500494">
        <w:t>Glossary of Economic Terms</w:t>
      </w:r>
      <w:bookmarkEnd w:id="7"/>
      <w:bookmarkEnd w:id="8"/>
      <w:bookmarkEnd w:id="9"/>
      <w:bookmarkEnd w:id="10"/>
      <w:r w:rsidRPr="00500494">
        <w:t xml:space="preserve"> </w:t>
      </w:r>
    </w:p>
    <w:p w:rsidR="00733D9B" w:rsidRPr="00500494" w:rsidRDefault="00733D9B" w:rsidP="00733D9B">
      <w:pPr>
        <w:rPr>
          <w:rFonts w:ascii="Arial" w:hAnsi="Arial" w:cs="Arial"/>
        </w:rPr>
      </w:pPr>
      <w:r w:rsidRPr="00500494">
        <w:rPr>
          <w:rFonts w:ascii="Arial" w:hAnsi="Arial" w:cs="Arial"/>
        </w:rPr>
        <w:t>Cost</w:t>
      </w:r>
      <w:r w:rsidR="008570DA" w:rsidRPr="00500494">
        <w:rPr>
          <w:rFonts w:ascii="Arial" w:hAnsi="Arial" w:cs="Arial"/>
        </w:rPr>
        <w:t>-</w:t>
      </w:r>
      <w:r w:rsidRPr="00500494">
        <w:rPr>
          <w:rFonts w:ascii="Arial" w:hAnsi="Arial" w:cs="Arial"/>
        </w:rPr>
        <w:t xml:space="preserve">benefit analysis </w:t>
      </w:r>
      <w:r w:rsidR="00F52DA0">
        <w:rPr>
          <w:rFonts w:ascii="Arial" w:hAnsi="Arial" w:cs="Arial"/>
        </w:rPr>
        <w:t>-</w:t>
      </w:r>
      <w:r w:rsidRPr="00500494">
        <w:rPr>
          <w:rFonts w:ascii="Arial" w:hAnsi="Arial" w:cs="Arial"/>
        </w:rPr>
        <w:t xml:space="preserve"> A conceptual framework for the economic evaluation of projects and programs in the public sector.  It differs from a financial appraisal or evaluation in that it considers all gains (benefits) and losses (costs)</w:t>
      </w:r>
      <w:r w:rsidR="00B35480">
        <w:rPr>
          <w:rFonts w:ascii="Arial" w:hAnsi="Arial" w:cs="Arial"/>
        </w:rPr>
        <w:t xml:space="preserve"> to Australia</w:t>
      </w:r>
      <w:r w:rsidRPr="00500494">
        <w:rPr>
          <w:rFonts w:ascii="Arial" w:hAnsi="Arial" w:cs="Arial"/>
        </w:rPr>
        <w:t xml:space="preserve">, regardless of to whom they accrue.  </w:t>
      </w:r>
    </w:p>
    <w:p w:rsidR="00733D9B" w:rsidRDefault="00733D9B" w:rsidP="00733D9B">
      <w:pPr>
        <w:rPr>
          <w:rFonts w:ascii="Arial" w:hAnsi="Arial" w:cs="Arial"/>
        </w:rPr>
      </w:pPr>
    </w:p>
    <w:p w:rsidR="00B35480" w:rsidRPr="00500494" w:rsidRDefault="00B35480" w:rsidP="00B35480">
      <w:pPr>
        <w:rPr>
          <w:rFonts w:ascii="Arial" w:hAnsi="Arial" w:cs="Arial"/>
        </w:rPr>
      </w:pPr>
      <w:r w:rsidRPr="00500494">
        <w:rPr>
          <w:rFonts w:ascii="Arial" w:hAnsi="Arial" w:cs="Arial"/>
        </w:rPr>
        <w:t xml:space="preserve">Investment criteria </w:t>
      </w:r>
      <w:r>
        <w:rPr>
          <w:rFonts w:ascii="Arial" w:hAnsi="Arial" w:cs="Arial"/>
        </w:rPr>
        <w:t>-</w:t>
      </w:r>
      <w:r w:rsidRPr="00500494">
        <w:rPr>
          <w:rFonts w:ascii="Arial" w:hAnsi="Arial" w:cs="Arial"/>
        </w:rPr>
        <w:t xml:space="preserve"> Measures of the economic worth of an investment such as Net Present Value, Benefit Cost Ratio, and Internal Rate of Return.</w:t>
      </w:r>
    </w:p>
    <w:p w:rsidR="00B35480" w:rsidRDefault="00B35480" w:rsidP="00733D9B">
      <w:pPr>
        <w:rPr>
          <w:rFonts w:ascii="Arial" w:hAnsi="Arial" w:cs="Arial"/>
        </w:rPr>
      </w:pPr>
    </w:p>
    <w:p w:rsidR="00B35480" w:rsidRDefault="00B35480" w:rsidP="00733D9B">
      <w:pPr>
        <w:rPr>
          <w:rFonts w:ascii="Arial" w:hAnsi="Arial" w:cs="Arial"/>
        </w:rPr>
      </w:pPr>
      <w:r>
        <w:rPr>
          <w:rFonts w:ascii="Arial" w:hAnsi="Arial" w:cs="Arial"/>
        </w:rPr>
        <w:t xml:space="preserve">Present Value of Costs -The discounted value of R&amp;D investment costs    </w:t>
      </w:r>
    </w:p>
    <w:p w:rsidR="00B35480" w:rsidRDefault="00B35480" w:rsidP="00B35480">
      <w:pPr>
        <w:rPr>
          <w:rFonts w:ascii="Arial" w:hAnsi="Arial" w:cs="Arial"/>
        </w:rPr>
      </w:pPr>
    </w:p>
    <w:p w:rsidR="00B35480" w:rsidRPr="00500494" w:rsidRDefault="00B35480" w:rsidP="00B35480">
      <w:pPr>
        <w:rPr>
          <w:rFonts w:ascii="Arial" w:hAnsi="Arial" w:cs="Arial"/>
        </w:rPr>
      </w:pPr>
      <w:r w:rsidRPr="00500494">
        <w:rPr>
          <w:rFonts w:ascii="Arial" w:hAnsi="Arial" w:cs="Arial"/>
        </w:rPr>
        <w:t>Present Value of Benefits - The discounted value of benefits.</w:t>
      </w:r>
    </w:p>
    <w:p w:rsidR="00B35480" w:rsidRPr="00500494" w:rsidRDefault="00B35480" w:rsidP="00733D9B">
      <w:pPr>
        <w:rPr>
          <w:rFonts w:ascii="Arial" w:hAnsi="Arial" w:cs="Arial"/>
        </w:rPr>
      </w:pPr>
    </w:p>
    <w:p w:rsidR="00B35480" w:rsidRPr="00500494" w:rsidRDefault="00B35480" w:rsidP="00B35480">
      <w:pPr>
        <w:rPr>
          <w:rFonts w:ascii="Arial" w:hAnsi="Arial" w:cs="Arial"/>
        </w:rPr>
      </w:pPr>
      <w:r w:rsidRPr="00500494">
        <w:rPr>
          <w:rFonts w:ascii="Arial" w:hAnsi="Arial" w:cs="Arial"/>
        </w:rPr>
        <w:t xml:space="preserve">Net Present Value </w:t>
      </w:r>
      <w:r>
        <w:rPr>
          <w:rFonts w:ascii="Arial" w:hAnsi="Arial" w:cs="Arial"/>
        </w:rPr>
        <w:t>-</w:t>
      </w:r>
      <w:r w:rsidRPr="00500494">
        <w:rPr>
          <w:rFonts w:ascii="Arial" w:hAnsi="Arial" w:cs="Arial"/>
        </w:rPr>
        <w:t xml:space="preserve"> The discounted value of the bene</w:t>
      </w:r>
      <w:r>
        <w:rPr>
          <w:rFonts w:ascii="Arial" w:hAnsi="Arial" w:cs="Arial"/>
        </w:rPr>
        <w:t>*</w:t>
      </w:r>
      <w:r w:rsidRPr="00500494">
        <w:rPr>
          <w:rFonts w:ascii="Arial" w:hAnsi="Arial" w:cs="Arial"/>
        </w:rPr>
        <w:t>fits of an investment less the discounted value of the costs, i.e. present value of benefits - present value of costs.</w:t>
      </w:r>
    </w:p>
    <w:p w:rsidR="00B35480" w:rsidRDefault="00B35480" w:rsidP="00733D9B">
      <w:pPr>
        <w:rPr>
          <w:rFonts w:ascii="Arial" w:hAnsi="Arial" w:cs="Arial"/>
        </w:rPr>
      </w:pPr>
    </w:p>
    <w:p w:rsidR="00733D9B" w:rsidRPr="00500494" w:rsidRDefault="00733D9B" w:rsidP="00733D9B">
      <w:pPr>
        <w:rPr>
          <w:rFonts w:ascii="Arial" w:hAnsi="Arial" w:cs="Arial"/>
        </w:rPr>
      </w:pPr>
      <w:r w:rsidRPr="00500494">
        <w:rPr>
          <w:rFonts w:ascii="Arial" w:hAnsi="Arial" w:cs="Arial"/>
        </w:rPr>
        <w:t>Benefit</w:t>
      </w:r>
      <w:r w:rsidR="008570DA" w:rsidRPr="00500494">
        <w:rPr>
          <w:rFonts w:ascii="Arial" w:hAnsi="Arial" w:cs="Arial"/>
        </w:rPr>
        <w:t>-</w:t>
      </w:r>
      <w:r w:rsidRPr="00500494">
        <w:rPr>
          <w:rFonts w:ascii="Arial" w:hAnsi="Arial" w:cs="Arial"/>
        </w:rPr>
        <w:t xml:space="preserve">cost ratio </w:t>
      </w:r>
      <w:r w:rsidR="00F52DA0">
        <w:rPr>
          <w:rFonts w:ascii="Arial" w:hAnsi="Arial" w:cs="Arial"/>
        </w:rPr>
        <w:t>-</w:t>
      </w:r>
      <w:r w:rsidRPr="00500494">
        <w:rPr>
          <w:rFonts w:ascii="Arial" w:hAnsi="Arial" w:cs="Arial"/>
        </w:rPr>
        <w:t xml:space="preserve"> The ratio of the present value of investment benefits to the present value of investment costs.</w:t>
      </w:r>
    </w:p>
    <w:p w:rsidR="00733D9B" w:rsidRPr="00500494" w:rsidRDefault="00733D9B" w:rsidP="00733D9B">
      <w:pPr>
        <w:rPr>
          <w:rFonts w:ascii="Arial" w:hAnsi="Arial" w:cs="Arial"/>
        </w:rPr>
      </w:pPr>
    </w:p>
    <w:p w:rsidR="00733D9B" w:rsidRPr="00500494" w:rsidRDefault="00733D9B" w:rsidP="00733D9B">
      <w:pPr>
        <w:rPr>
          <w:rFonts w:ascii="Arial" w:hAnsi="Arial" w:cs="Arial"/>
        </w:rPr>
      </w:pPr>
      <w:r w:rsidRPr="00500494">
        <w:rPr>
          <w:rFonts w:ascii="Arial" w:hAnsi="Arial" w:cs="Arial"/>
        </w:rPr>
        <w:t xml:space="preserve">Internal Rate of Return </w:t>
      </w:r>
      <w:r w:rsidR="00B35480">
        <w:rPr>
          <w:rFonts w:ascii="Arial" w:hAnsi="Arial" w:cs="Arial"/>
        </w:rPr>
        <w:t xml:space="preserve">(IRR) </w:t>
      </w:r>
      <w:r w:rsidR="00F52DA0">
        <w:rPr>
          <w:rFonts w:ascii="Arial" w:hAnsi="Arial" w:cs="Arial"/>
        </w:rPr>
        <w:t>-</w:t>
      </w:r>
      <w:r w:rsidRPr="00500494">
        <w:rPr>
          <w:rFonts w:ascii="Arial" w:hAnsi="Arial" w:cs="Arial"/>
        </w:rPr>
        <w:t xml:space="preserve"> The discount rate at which an investment has a net present value of zero, i.e. where present value of benefits is equal to present value of costs.</w:t>
      </w:r>
    </w:p>
    <w:p w:rsidR="00733D9B" w:rsidRPr="00500494" w:rsidRDefault="00733D9B" w:rsidP="00733D9B">
      <w:pPr>
        <w:rPr>
          <w:rFonts w:ascii="Arial" w:hAnsi="Arial" w:cs="Arial"/>
        </w:rPr>
      </w:pPr>
    </w:p>
    <w:p w:rsidR="00500494" w:rsidRPr="007B1B49" w:rsidRDefault="00500494" w:rsidP="00733D9B">
      <w:pPr>
        <w:rPr>
          <w:rFonts w:ascii="Arial" w:hAnsi="Arial" w:cs="Arial"/>
          <w:color w:val="C00000"/>
        </w:rPr>
      </w:pPr>
      <w:r w:rsidRPr="00F52DA0">
        <w:rPr>
          <w:rFonts w:ascii="Arial" w:hAnsi="Arial" w:cs="Arial"/>
          <w:color w:val="000000" w:themeColor="text1"/>
        </w:rPr>
        <w:t xml:space="preserve">Modified Internal Rate of Return </w:t>
      </w:r>
      <w:r w:rsidR="00F52DA0" w:rsidRPr="00F52DA0">
        <w:rPr>
          <w:rFonts w:ascii="Arial" w:hAnsi="Arial" w:cs="Arial"/>
          <w:color w:val="000000" w:themeColor="text1"/>
        </w:rPr>
        <w:t xml:space="preserve">(MIRR) - The MIRR is a modified IRR estimated so that any cash inflows from an investment are </w:t>
      </w:r>
      <w:r w:rsidR="00B35480">
        <w:rPr>
          <w:rFonts w:ascii="Arial" w:hAnsi="Arial" w:cs="Arial"/>
          <w:color w:val="000000" w:themeColor="text1"/>
        </w:rPr>
        <w:t xml:space="preserve">assumed </w:t>
      </w:r>
      <w:r w:rsidR="00F52DA0" w:rsidRPr="00F52DA0">
        <w:rPr>
          <w:rFonts w:ascii="Arial" w:hAnsi="Arial" w:cs="Arial"/>
          <w:color w:val="000000" w:themeColor="text1"/>
        </w:rPr>
        <w:t>re-invested at the rate of the cost of c</w:t>
      </w:r>
      <w:r w:rsidR="00F52DA0" w:rsidRPr="00992B4E">
        <w:rPr>
          <w:rFonts w:ascii="Arial" w:hAnsi="Arial" w:cs="Arial"/>
        </w:rPr>
        <w:t>apital (</w:t>
      </w:r>
      <w:r w:rsidR="00F52DA0">
        <w:rPr>
          <w:rFonts w:ascii="Arial" w:hAnsi="Arial" w:cs="Arial"/>
        </w:rPr>
        <w:t xml:space="preserve">a designated </w:t>
      </w:r>
      <w:r w:rsidR="00F52DA0" w:rsidRPr="00992B4E">
        <w:rPr>
          <w:rFonts w:ascii="Arial" w:hAnsi="Arial" w:cs="Arial"/>
        </w:rPr>
        <w:t>re-investment rate).</w:t>
      </w:r>
    </w:p>
    <w:p w:rsidR="00500494" w:rsidRPr="00500494" w:rsidRDefault="00500494" w:rsidP="00733D9B">
      <w:pPr>
        <w:rPr>
          <w:rFonts w:ascii="Arial" w:hAnsi="Arial" w:cs="Arial"/>
        </w:rPr>
      </w:pPr>
    </w:p>
    <w:p w:rsidR="00733D9B" w:rsidRPr="00500494" w:rsidRDefault="00733D9B" w:rsidP="00733D9B">
      <w:pPr>
        <w:rPr>
          <w:rFonts w:ascii="Arial" w:hAnsi="Arial" w:cs="Arial"/>
        </w:rPr>
      </w:pPr>
    </w:p>
    <w:p w:rsidR="00733D9B" w:rsidRPr="00500494" w:rsidRDefault="00733D9B" w:rsidP="00733D9B">
      <w:pPr>
        <w:tabs>
          <w:tab w:val="left" w:pos="7404"/>
        </w:tabs>
        <w:rPr>
          <w:rFonts w:ascii="Arial" w:hAnsi="Arial" w:cs="Arial"/>
        </w:rPr>
        <w:sectPr w:rsidR="00733D9B" w:rsidRPr="00500494" w:rsidSect="00DC6764">
          <w:footerReference w:type="default" r:id="rId10"/>
          <w:pgSz w:w="12240" w:h="15840"/>
          <w:pgMar w:top="1440" w:right="1800" w:bottom="1440" w:left="1800" w:header="720" w:footer="720" w:gutter="0"/>
          <w:pgNumType w:start="1"/>
          <w:cols w:space="720"/>
          <w:docGrid w:linePitch="360"/>
        </w:sectPr>
      </w:pPr>
    </w:p>
    <w:bookmarkStart w:id="11" w:name="_Toc490036907" w:displacedByCustomXml="next"/>
    <w:sdt>
      <w:sdtPr>
        <w:rPr>
          <w:rFonts w:ascii="Times New Roman" w:hAnsi="Times New Roman" w:cs="Times New Roman"/>
          <w:b w:val="0"/>
          <w:sz w:val="22"/>
          <w:szCs w:val="24"/>
        </w:rPr>
        <w:id w:val="-520473438"/>
        <w:docPartObj>
          <w:docPartGallery w:val="Table of Contents"/>
          <w:docPartUnique/>
        </w:docPartObj>
      </w:sdtPr>
      <w:sdtEndPr>
        <w:rPr>
          <w:bCs/>
          <w:noProof/>
        </w:rPr>
      </w:sdtEndPr>
      <w:sdtContent>
        <w:p w:rsidR="00B46842" w:rsidRDefault="00B46842" w:rsidP="00B46842">
          <w:pPr>
            <w:pStyle w:val="Heading1"/>
          </w:pPr>
          <w:r>
            <w:t>Contents</w:t>
          </w:r>
          <w:bookmarkEnd w:id="11"/>
        </w:p>
        <w:p w:rsidR="009E5E68" w:rsidRPr="009E5E68" w:rsidRDefault="00B46842">
          <w:pPr>
            <w:pStyle w:val="TOC1"/>
            <w:tabs>
              <w:tab w:val="right" w:leader="dot" w:pos="9016"/>
            </w:tabs>
            <w:rPr>
              <w:rFonts w:eastAsiaTheme="minorEastAsia" w:cstheme="minorBidi"/>
              <w:b w:val="0"/>
              <w:bCs w:val="0"/>
              <w:i w:val="0"/>
              <w:iCs w:val="0"/>
              <w:noProof/>
              <w:sz w:val="22"/>
              <w:szCs w:val="22"/>
              <w:lang w:eastAsia="en-AU"/>
            </w:rPr>
          </w:pPr>
          <w:r w:rsidRPr="009E5E68">
            <w:rPr>
              <w:rFonts w:ascii="Arial" w:hAnsi="Arial" w:cs="Arial"/>
              <w:b w:val="0"/>
              <w:i w:val="0"/>
            </w:rPr>
            <w:fldChar w:fldCharType="begin"/>
          </w:r>
          <w:r w:rsidRPr="009E5E68">
            <w:rPr>
              <w:rFonts w:ascii="Arial" w:hAnsi="Arial" w:cs="Arial"/>
              <w:b w:val="0"/>
              <w:i w:val="0"/>
            </w:rPr>
            <w:instrText xml:space="preserve"> TOC \o "1-3" \h \z \u </w:instrText>
          </w:r>
          <w:r w:rsidRPr="009E5E68">
            <w:rPr>
              <w:rFonts w:ascii="Arial" w:hAnsi="Arial" w:cs="Arial"/>
              <w:b w:val="0"/>
              <w:i w:val="0"/>
            </w:rPr>
            <w:fldChar w:fldCharType="separate"/>
          </w:r>
          <w:hyperlink w:anchor="_Toc490036904" w:history="1">
            <w:r w:rsidR="009E5E68" w:rsidRPr="009E5E68">
              <w:rPr>
                <w:rStyle w:val="Hyperlink"/>
                <w:b w:val="0"/>
                <w:i w:val="0"/>
                <w:noProof/>
              </w:rPr>
              <w:t>Acknowledgments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_Toc490036904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1</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05" w:history="1">
            <w:r w:rsidR="009E5E68" w:rsidRPr="009E5E68">
              <w:rPr>
                <w:rStyle w:val="Hyperlink"/>
                <w:b w:val="0"/>
                <w:i w:val="0"/>
                <w:noProof/>
              </w:rPr>
              <w:t>Abbreviations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_Toc490036905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1</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06" w:history="1">
            <w:r w:rsidR="009E5E68" w:rsidRPr="009E5E68">
              <w:rPr>
                <w:rStyle w:val="Hyperlink"/>
                <w:b w:val="0"/>
                <w:i w:val="0"/>
                <w:noProof/>
              </w:rPr>
              <w:t>Glossary of Economic Terms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_Toc490036906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2</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07" w:history="1">
            <w:r w:rsidR="009E5E68" w:rsidRPr="009E5E68">
              <w:rPr>
                <w:rStyle w:val="Hyperlink"/>
                <w:b w:val="0"/>
                <w:i w:val="0"/>
                <w:noProof/>
              </w:rPr>
              <w:t>Contents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_Toc490036907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3</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08" w:history="1">
            <w:r w:rsidR="009E5E68" w:rsidRPr="009E5E68">
              <w:rPr>
                <w:rStyle w:val="Hyperlink"/>
                <w:b w:val="0"/>
                <w:i w:val="0"/>
                <w:noProof/>
              </w:rPr>
              <w:t>Executive Summary</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_Toc490036908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4</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09" w:history="1">
            <w:r w:rsidR="009E5E68" w:rsidRPr="009E5E68">
              <w:rPr>
                <w:rStyle w:val="Hyperlink"/>
                <w:b w:val="0"/>
                <w:i w:val="0"/>
                <w:noProof/>
              </w:rPr>
              <w:t>1. Introduction</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_Toc490036909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6</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10" w:history="1">
            <w:r w:rsidR="009E5E68" w:rsidRPr="009E5E68">
              <w:rPr>
                <w:rStyle w:val="Hyperlink"/>
                <w:b w:val="0"/>
                <w:i w:val="0"/>
                <w:noProof/>
              </w:rPr>
              <w:t>2. Methods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_Toc490036910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7</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11" w:history="1">
            <w:r w:rsidR="009E5E68" w:rsidRPr="009E5E68">
              <w:rPr>
                <w:rStyle w:val="Hyperlink"/>
                <w:b w:val="0"/>
                <w:i w:val="0"/>
                <w:noProof/>
              </w:rPr>
              <w:t>3. Summary of Results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_Toc490036911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9</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12" w:history="1">
            <w:r w:rsidR="009E5E68" w:rsidRPr="009E5E68">
              <w:rPr>
                <w:rStyle w:val="Hyperlink"/>
                <w:b w:val="0"/>
                <w:i w:val="0"/>
                <w:noProof/>
              </w:rPr>
              <w:t>4. Conclusions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_Toc490036912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10</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13" w:history="1">
            <w:r w:rsidR="009E5E68" w:rsidRPr="009E5E68">
              <w:rPr>
                <w:rStyle w:val="Hyperlink"/>
                <w:b w:val="0"/>
                <w:i w:val="0"/>
                <w:noProof/>
              </w:rPr>
              <w:t>References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_Toc490036913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10</w:t>
            </w:r>
            <w:r w:rsidR="009E5E68" w:rsidRPr="009E5E68">
              <w:rPr>
                <w:b w:val="0"/>
                <w:i w:val="0"/>
                <w:noProof/>
                <w:webHidden/>
              </w:rPr>
              <w:fldChar w:fldCharType="end"/>
            </w:r>
          </w:hyperlink>
        </w:p>
        <w:p w:rsidR="009E5E68" w:rsidRPr="009E5E68" w:rsidRDefault="00402DE3">
          <w:pPr>
            <w:pStyle w:val="TOC1"/>
            <w:tabs>
              <w:tab w:val="right" w:leader="dot" w:pos="9016"/>
            </w:tabs>
            <w:rPr>
              <w:rFonts w:eastAsiaTheme="minorEastAsia" w:cstheme="minorBidi"/>
              <w:b w:val="0"/>
              <w:bCs w:val="0"/>
              <w:i w:val="0"/>
              <w:iCs w:val="0"/>
              <w:noProof/>
              <w:sz w:val="22"/>
              <w:szCs w:val="22"/>
              <w:lang w:eastAsia="en-AU"/>
            </w:rPr>
          </w:pPr>
          <w:hyperlink w:anchor="_Toc490036914" w:history="1">
            <w:r w:rsidR="009E5E68" w:rsidRPr="009E5E68">
              <w:rPr>
                <w:rStyle w:val="Hyperlink"/>
                <w:b w:val="0"/>
                <w:i w:val="0"/>
                <w:noProof/>
              </w:rPr>
              <w:t>Appendices</w:t>
            </w:r>
            <w:r w:rsidR="009E5E68" w:rsidRPr="009E5E68">
              <w:rPr>
                <w:b w:val="0"/>
                <w:i w:val="0"/>
                <w:noProof/>
                <w:webHidden/>
              </w:rPr>
              <w:tab/>
            </w:r>
            <w:r w:rsidR="009E5E68" w:rsidRPr="009E5E68">
              <w:rPr>
                <w:b w:val="0"/>
                <w:i w:val="0"/>
                <w:noProof/>
                <w:webHidden/>
              </w:rPr>
              <w:fldChar w:fldCharType="begin"/>
            </w:r>
            <w:r w:rsidR="009E5E68" w:rsidRPr="009E5E68">
              <w:rPr>
                <w:b w:val="0"/>
                <w:i w:val="0"/>
                <w:noProof/>
                <w:webHidden/>
              </w:rPr>
              <w:instrText xml:space="preserve"> PAGEREF _Toc490036914 \h </w:instrText>
            </w:r>
            <w:r w:rsidR="009E5E68" w:rsidRPr="009E5E68">
              <w:rPr>
                <w:b w:val="0"/>
                <w:i w:val="0"/>
                <w:noProof/>
                <w:webHidden/>
              </w:rPr>
            </w:r>
            <w:r w:rsidR="009E5E68" w:rsidRPr="009E5E68">
              <w:rPr>
                <w:b w:val="0"/>
                <w:i w:val="0"/>
                <w:noProof/>
                <w:webHidden/>
              </w:rPr>
              <w:fldChar w:fldCharType="separate"/>
            </w:r>
            <w:r w:rsidR="009E5E68" w:rsidRPr="009E5E68">
              <w:rPr>
                <w:b w:val="0"/>
                <w:i w:val="0"/>
                <w:noProof/>
                <w:webHidden/>
              </w:rPr>
              <w:t>11</w:t>
            </w:r>
            <w:r w:rsidR="009E5E68" w:rsidRPr="009E5E68">
              <w:rPr>
                <w:b w:val="0"/>
                <w:i w:val="0"/>
                <w:noProof/>
                <w:webHidden/>
              </w:rPr>
              <w:fldChar w:fldCharType="end"/>
            </w:r>
          </w:hyperlink>
        </w:p>
        <w:p w:rsidR="009E5E68" w:rsidRPr="009E5E68" w:rsidRDefault="00402DE3">
          <w:pPr>
            <w:pStyle w:val="TOC2"/>
            <w:tabs>
              <w:tab w:val="right" w:leader="dot" w:pos="9016"/>
            </w:tabs>
            <w:rPr>
              <w:rFonts w:eastAsiaTheme="minorEastAsia" w:cstheme="minorBidi"/>
              <w:b w:val="0"/>
              <w:bCs w:val="0"/>
              <w:noProof/>
              <w:lang w:eastAsia="en-AU"/>
            </w:rPr>
          </w:pPr>
          <w:hyperlink w:anchor="_Toc490036915" w:history="1">
            <w:r w:rsidR="009E5E68" w:rsidRPr="009E5E68">
              <w:rPr>
                <w:rStyle w:val="Hyperlink"/>
                <w:b w:val="0"/>
                <w:noProof/>
              </w:rPr>
              <w:t>Appendix 1: An Impact Assessment of DAF Investment into the Australian Industry Live Mud Crab Grading Scheme (AILMCGS) through Addressing Grading and Regional Anomalies, 2014-2016: FRDC Project 2014/218</w:t>
            </w:r>
            <w:r w:rsidR="009E5E68" w:rsidRPr="009E5E68">
              <w:rPr>
                <w:b w:val="0"/>
                <w:noProof/>
                <w:webHidden/>
              </w:rPr>
              <w:tab/>
            </w:r>
            <w:r w:rsidR="009E5E68" w:rsidRPr="009E5E68">
              <w:rPr>
                <w:b w:val="0"/>
                <w:noProof/>
                <w:webHidden/>
              </w:rPr>
              <w:fldChar w:fldCharType="begin"/>
            </w:r>
            <w:r w:rsidR="009E5E68" w:rsidRPr="009E5E68">
              <w:rPr>
                <w:b w:val="0"/>
                <w:noProof/>
                <w:webHidden/>
              </w:rPr>
              <w:instrText xml:space="preserve"> PAGEREF _Toc490036915 \h </w:instrText>
            </w:r>
            <w:r w:rsidR="009E5E68" w:rsidRPr="009E5E68">
              <w:rPr>
                <w:b w:val="0"/>
                <w:noProof/>
                <w:webHidden/>
              </w:rPr>
            </w:r>
            <w:r w:rsidR="009E5E68" w:rsidRPr="009E5E68">
              <w:rPr>
                <w:b w:val="0"/>
                <w:noProof/>
                <w:webHidden/>
              </w:rPr>
              <w:fldChar w:fldCharType="separate"/>
            </w:r>
            <w:r w:rsidR="009E5E68" w:rsidRPr="009E5E68">
              <w:rPr>
                <w:b w:val="0"/>
                <w:noProof/>
                <w:webHidden/>
              </w:rPr>
              <w:t>11</w:t>
            </w:r>
            <w:r w:rsidR="009E5E68" w:rsidRPr="009E5E68">
              <w:rPr>
                <w:b w:val="0"/>
                <w:noProof/>
                <w:webHidden/>
              </w:rPr>
              <w:fldChar w:fldCharType="end"/>
            </w:r>
          </w:hyperlink>
        </w:p>
        <w:p w:rsidR="009E5E68" w:rsidRPr="009E5E68" w:rsidRDefault="00402DE3">
          <w:pPr>
            <w:pStyle w:val="TOC2"/>
            <w:tabs>
              <w:tab w:val="right" w:leader="dot" w:pos="9016"/>
            </w:tabs>
            <w:rPr>
              <w:rFonts w:eastAsiaTheme="minorEastAsia" w:cstheme="minorBidi"/>
              <w:b w:val="0"/>
              <w:bCs w:val="0"/>
              <w:noProof/>
              <w:lang w:eastAsia="en-AU"/>
            </w:rPr>
          </w:pPr>
          <w:hyperlink w:anchor="_Toc490036916" w:history="1">
            <w:r w:rsidR="009E5E68" w:rsidRPr="009E5E68">
              <w:rPr>
                <w:rStyle w:val="Hyperlink"/>
                <w:b w:val="0"/>
                <w:noProof/>
              </w:rPr>
              <w:t>Appendix 2: An Impact Assessment of DAF Investment in Low Dose Methyl Bromide against Fruit Flies to Improve Summer-fruit Market Access, 2013-2016: HIA Project SF12016</w:t>
            </w:r>
            <w:r w:rsidR="009E5E68" w:rsidRPr="009E5E68">
              <w:rPr>
                <w:b w:val="0"/>
                <w:noProof/>
                <w:webHidden/>
              </w:rPr>
              <w:tab/>
            </w:r>
            <w:r w:rsidR="009E5E68" w:rsidRPr="009E5E68">
              <w:rPr>
                <w:b w:val="0"/>
                <w:noProof/>
                <w:webHidden/>
              </w:rPr>
              <w:fldChar w:fldCharType="begin"/>
            </w:r>
            <w:r w:rsidR="009E5E68" w:rsidRPr="009E5E68">
              <w:rPr>
                <w:b w:val="0"/>
                <w:noProof/>
                <w:webHidden/>
              </w:rPr>
              <w:instrText xml:space="preserve"> PAGEREF _Toc490036916 \h </w:instrText>
            </w:r>
            <w:r w:rsidR="009E5E68" w:rsidRPr="009E5E68">
              <w:rPr>
                <w:b w:val="0"/>
                <w:noProof/>
                <w:webHidden/>
              </w:rPr>
            </w:r>
            <w:r w:rsidR="009E5E68" w:rsidRPr="009E5E68">
              <w:rPr>
                <w:b w:val="0"/>
                <w:noProof/>
                <w:webHidden/>
              </w:rPr>
              <w:fldChar w:fldCharType="separate"/>
            </w:r>
            <w:r w:rsidR="009E5E68" w:rsidRPr="009E5E68">
              <w:rPr>
                <w:b w:val="0"/>
                <w:noProof/>
                <w:webHidden/>
              </w:rPr>
              <w:t>31</w:t>
            </w:r>
            <w:r w:rsidR="009E5E68" w:rsidRPr="009E5E68">
              <w:rPr>
                <w:b w:val="0"/>
                <w:noProof/>
                <w:webHidden/>
              </w:rPr>
              <w:fldChar w:fldCharType="end"/>
            </w:r>
          </w:hyperlink>
        </w:p>
        <w:p w:rsidR="009E5E68" w:rsidRPr="009E5E68" w:rsidRDefault="00402DE3">
          <w:pPr>
            <w:pStyle w:val="TOC2"/>
            <w:tabs>
              <w:tab w:val="right" w:leader="dot" w:pos="9016"/>
            </w:tabs>
            <w:rPr>
              <w:rFonts w:eastAsiaTheme="minorEastAsia" w:cstheme="minorBidi"/>
              <w:b w:val="0"/>
              <w:bCs w:val="0"/>
              <w:noProof/>
              <w:lang w:eastAsia="en-AU"/>
            </w:rPr>
          </w:pPr>
          <w:hyperlink w:anchor="_Toc490036917" w:history="1">
            <w:r w:rsidR="009E5E68" w:rsidRPr="009E5E68">
              <w:rPr>
                <w:rStyle w:val="Hyperlink"/>
                <w:b w:val="0"/>
                <w:noProof/>
              </w:rPr>
              <w:t>Appendix 3: An Impact Assessment of DAF Investment into CRDC project DAQ1401: Strengthening the Central Highlands Cotton Production System</w:t>
            </w:r>
            <w:r w:rsidR="009E5E68" w:rsidRPr="009E5E68">
              <w:rPr>
                <w:b w:val="0"/>
                <w:noProof/>
                <w:webHidden/>
              </w:rPr>
              <w:tab/>
            </w:r>
            <w:r w:rsidR="009E5E68" w:rsidRPr="009E5E68">
              <w:rPr>
                <w:b w:val="0"/>
                <w:noProof/>
                <w:webHidden/>
              </w:rPr>
              <w:fldChar w:fldCharType="begin"/>
            </w:r>
            <w:r w:rsidR="009E5E68" w:rsidRPr="009E5E68">
              <w:rPr>
                <w:b w:val="0"/>
                <w:noProof/>
                <w:webHidden/>
              </w:rPr>
              <w:instrText xml:space="preserve"> PAGEREF _Toc490036917 \h </w:instrText>
            </w:r>
            <w:r w:rsidR="009E5E68" w:rsidRPr="009E5E68">
              <w:rPr>
                <w:b w:val="0"/>
                <w:noProof/>
                <w:webHidden/>
              </w:rPr>
            </w:r>
            <w:r w:rsidR="009E5E68" w:rsidRPr="009E5E68">
              <w:rPr>
                <w:b w:val="0"/>
                <w:noProof/>
                <w:webHidden/>
              </w:rPr>
              <w:fldChar w:fldCharType="separate"/>
            </w:r>
            <w:r w:rsidR="009E5E68" w:rsidRPr="009E5E68">
              <w:rPr>
                <w:b w:val="0"/>
                <w:noProof/>
                <w:webHidden/>
              </w:rPr>
              <w:t>47</w:t>
            </w:r>
            <w:r w:rsidR="009E5E68" w:rsidRPr="009E5E68">
              <w:rPr>
                <w:b w:val="0"/>
                <w:noProof/>
                <w:webHidden/>
              </w:rPr>
              <w:fldChar w:fldCharType="end"/>
            </w:r>
          </w:hyperlink>
        </w:p>
        <w:p w:rsidR="009E5E68" w:rsidRPr="009E5E68" w:rsidRDefault="00402DE3">
          <w:pPr>
            <w:pStyle w:val="TOC2"/>
            <w:tabs>
              <w:tab w:val="right" w:leader="dot" w:pos="9016"/>
            </w:tabs>
            <w:rPr>
              <w:rFonts w:eastAsiaTheme="minorEastAsia" w:cstheme="minorBidi"/>
              <w:b w:val="0"/>
              <w:bCs w:val="0"/>
              <w:noProof/>
              <w:lang w:eastAsia="en-AU"/>
            </w:rPr>
          </w:pPr>
          <w:hyperlink w:anchor="_Toc490036918" w:history="1">
            <w:r w:rsidR="009E5E68" w:rsidRPr="009E5E68">
              <w:rPr>
                <w:rStyle w:val="Hyperlink"/>
                <w:b w:val="0"/>
                <w:noProof/>
              </w:rPr>
              <w:t>Appendix 4: An Impact Assessment of DAF Investment in C4Milk: Developing and managing a profitable high milk from forage system in the sub-tropics</w:t>
            </w:r>
            <w:r w:rsidR="009E5E68" w:rsidRPr="009E5E68">
              <w:rPr>
                <w:b w:val="0"/>
                <w:noProof/>
                <w:webHidden/>
              </w:rPr>
              <w:tab/>
            </w:r>
            <w:r w:rsidR="009E5E68" w:rsidRPr="009E5E68">
              <w:rPr>
                <w:b w:val="0"/>
                <w:noProof/>
                <w:webHidden/>
              </w:rPr>
              <w:fldChar w:fldCharType="begin"/>
            </w:r>
            <w:r w:rsidR="009E5E68" w:rsidRPr="009E5E68">
              <w:rPr>
                <w:b w:val="0"/>
                <w:noProof/>
                <w:webHidden/>
              </w:rPr>
              <w:instrText xml:space="preserve"> PAGEREF _Toc490036918 \h </w:instrText>
            </w:r>
            <w:r w:rsidR="009E5E68" w:rsidRPr="009E5E68">
              <w:rPr>
                <w:b w:val="0"/>
                <w:noProof/>
                <w:webHidden/>
              </w:rPr>
            </w:r>
            <w:r w:rsidR="009E5E68" w:rsidRPr="009E5E68">
              <w:rPr>
                <w:b w:val="0"/>
                <w:noProof/>
                <w:webHidden/>
              </w:rPr>
              <w:fldChar w:fldCharType="separate"/>
            </w:r>
            <w:r w:rsidR="009E5E68" w:rsidRPr="009E5E68">
              <w:rPr>
                <w:b w:val="0"/>
                <w:noProof/>
                <w:webHidden/>
              </w:rPr>
              <w:t>72</w:t>
            </w:r>
            <w:r w:rsidR="009E5E68" w:rsidRPr="009E5E68">
              <w:rPr>
                <w:b w:val="0"/>
                <w:noProof/>
                <w:webHidden/>
              </w:rPr>
              <w:fldChar w:fldCharType="end"/>
            </w:r>
          </w:hyperlink>
        </w:p>
        <w:p w:rsidR="009E5E68" w:rsidRPr="009E5E68" w:rsidRDefault="00402DE3">
          <w:pPr>
            <w:pStyle w:val="TOC2"/>
            <w:tabs>
              <w:tab w:val="right" w:leader="dot" w:pos="9016"/>
            </w:tabs>
            <w:rPr>
              <w:rFonts w:eastAsiaTheme="minorEastAsia" w:cstheme="minorBidi"/>
              <w:b w:val="0"/>
              <w:bCs w:val="0"/>
              <w:noProof/>
              <w:lang w:eastAsia="en-AU"/>
            </w:rPr>
          </w:pPr>
          <w:hyperlink w:anchor="_Toc490036919" w:history="1">
            <w:r w:rsidR="009E5E68" w:rsidRPr="009E5E68">
              <w:rPr>
                <w:rStyle w:val="Hyperlink"/>
                <w:b w:val="0"/>
                <w:noProof/>
              </w:rPr>
              <w:t>Appendix 5: An Impact Assessment of DAF Investment in Sweetpotato Projects between 1998 and 2018 that address Pests, Diseases, Agronomy and New Varieties</w:t>
            </w:r>
            <w:r w:rsidR="009E5E68" w:rsidRPr="009E5E68">
              <w:rPr>
                <w:b w:val="0"/>
                <w:noProof/>
                <w:webHidden/>
              </w:rPr>
              <w:tab/>
            </w:r>
            <w:r w:rsidR="009E5E68" w:rsidRPr="009E5E68">
              <w:rPr>
                <w:b w:val="0"/>
                <w:noProof/>
                <w:webHidden/>
              </w:rPr>
              <w:fldChar w:fldCharType="begin"/>
            </w:r>
            <w:r w:rsidR="009E5E68" w:rsidRPr="009E5E68">
              <w:rPr>
                <w:b w:val="0"/>
                <w:noProof/>
                <w:webHidden/>
              </w:rPr>
              <w:instrText xml:space="preserve"> PAGEREF _Toc490036919 \h </w:instrText>
            </w:r>
            <w:r w:rsidR="009E5E68" w:rsidRPr="009E5E68">
              <w:rPr>
                <w:b w:val="0"/>
                <w:noProof/>
                <w:webHidden/>
              </w:rPr>
            </w:r>
            <w:r w:rsidR="009E5E68" w:rsidRPr="009E5E68">
              <w:rPr>
                <w:b w:val="0"/>
                <w:noProof/>
                <w:webHidden/>
              </w:rPr>
              <w:fldChar w:fldCharType="separate"/>
            </w:r>
            <w:r w:rsidR="009E5E68" w:rsidRPr="009E5E68">
              <w:rPr>
                <w:b w:val="0"/>
                <w:noProof/>
                <w:webHidden/>
              </w:rPr>
              <w:t>94</w:t>
            </w:r>
            <w:r w:rsidR="009E5E68" w:rsidRPr="009E5E68">
              <w:rPr>
                <w:b w:val="0"/>
                <w:noProof/>
                <w:webHidden/>
              </w:rPr>
              <w:fldChar w:fldCharType="end"/>
            </w:r>
          </w:hyperlink>
        </w:p>
        <w:p w:rsidR="009E5E68" w:rsidRPr="009E5E68" w:rsidRDefault="00402DE3">
          <w:pPr>
            <w:pStyle w:val="TOC2"/>
            <w:tabs>
              <w:tab w:val="right" w:leader="dot" w:pos="9016"/>
            </w:tabs>
            <w:rPr>
              <w:rFonts w:eastAsiaTheme="minorEastAsia" w:cstheme="minorBidi"/>
              <w:b w:val="0"/>
              <w:bCs w:val="0"/>
              <w:noProof/>
              <w:lang w:eastAsia="en-AU"/>
            </w:rPr>
          </w:pPr>
          <w:hyperlink w:anchor="_Toc490036920" w:history="1">
            <w:r w:rsidR="009E5E68" w:rsidRPr="009E5E68">
              <w:rPr>
                <w:rStyle w:val="Hyperlink"/>
                <w:b w:val="0"/>
                <w:noProof/>
              </w:rPr>
              <w:t>Appendix 6: An Impact Assessment of DAF Investment in Plum Breeding 1981-2007</w:t>
            </w:r>
            <w:r w:rsidR="009E5E68" w:rsidRPr="009E5E68">
              <w:rPr>
                <w:b w:val="0"/>
                <w:noProof/>
                <w:webHidden/>
              </w:rPr>
              <w:tab/>
            </w:r>
            <w:r w:rsidR="009E5E68" w:rsidRPr="009E5E68">
              <w:rPr>
                <w:b w:val="0"/>
                <w:noProof/>
                <w:webHidden/>
              </w:rPr>
              <w:fldChar w:fldCharType="begin"/>
            </w:r>
            <w:r w:rsidR="009E5E68" w:rsidRPr="009E5E68">
              <w:rPr>
                <w:b w:val="0"/>
                <w:noProof/>
                <w:webHidden/>
              </w:rPr>
              <w:instrText xml:space="preserve"> PAGEREF _Toc490036920 \h </w:instrText>
            </w:r>
            <w:r w:rsidR="009E5E68" w:rsidRPr="009E5E68">
              <w:rPr>
                <w:b w:val="0"/>
                <w:noProof/>
                <w:webHidden/>
              </w:rPr>
            </w:r>
            <w:r w:rsidR="009E5E68" w:rsidRPr="009E5E68">
              <w:rPr>
                <w:b w:val="0"/>
                <w:noProof/>
                <w:webHidden/>
              </w:rPr>
              <w:fldChar w:fldCharType="separate"/>
            </w:r>
            <w:r w:rsidR="009E5E68" w:rsidRPr="009E5E68">
              <w:rPr>
                <w:b w:val="0"/>
                <w:noProof/>
                <w:webHidden/>
              </w:rPr>
              <w:t>124</w:t>
            </w:r>
            <w:r w:rsidR="009E5E68" w:rsidRPr="009E5E68">
              <w:rPr>
                <w:b w:val="0"/>
                <w:noProof/>
                <w:webHidden/>
              </w:rPr>
              <w:fldChar w:fldCharType="end"/>
            </w:r>
          </w:hyperlink>
        </w:p>
        <w:p w:rsidR="00B46842" w:rsidRPr="005173A2" w:rsidRDefault="00B46842">
          <w:pPr>
            <w:rPr>
              <w:rFonts w:ascii="Arial" w:hAnsi="Arial" w:cs="Arial"/>
            </w:rPr>
          </w:pPr>
          <w:r w:rsidRPr="009E5E68">
            <w:rPr>
              <w:rFonts w:ascii="Arial" w:hAnsi="Arial" w:cs="Arial"/>
              <w:bCs/>
              <w:noProof/>
            </w:rPr>
            <w:fldChar w:fldCharType="end"/>
          </w:r>
        </w:p>
      </w:sdtContent>
    </w:sdt>
    <w:p w:rsidR="00733D9B" w:rsidRPr="00B46842" w:rsidRDefault="00733D9B" w:rsidP="00A72928"/>
    <w:p w:rsidR="00733D9B" w:rsidRPr="008244A4" w:rsidRDefault="00733D9B" w:rsidP="00C66231">
      <w:pPr>
        <w:pStyle w:val="Heading1"/>
        <w:rPr>
          <w:szCs w:val="20"/>
        </w:rPr>
      </w:pPr>
      <w:r w:rsidRPr="00E0561F">
        <w:rPr>
          <w:color w:val="1F497D" w:themeColor="text2"/>
          <w:szCs w:val="32"/>
        </w:rPr>
        <w:br w:type="page"/>
      </w:r>
      <w:bookmarkStart w:id="12" w:name="_Toc352859703"/>
      <w:bookmarkStart w:id="13" w:name="_Toc398113665"/>
      <w:bookmarkStart w:id="14" w:name="_Toc486145202"/>
      <w:bookmarkStart w:id="15" w:name="_Toc489604046"/>
      <w:bookmarkStart w:id="16" w:name="_Toc490036908"/>
      <w:r w:rsidRPr="00500494">
        <w:t>Executive Summary</w:t>
      </w:r>
      <w:bookmarkEnd w:id="12"/>
      <w:bookmarkEnd w:id="13"/>
      <w:bookmarkEnd w:id="14"/>
      <w:bookmarkEnd w:id="15"/>
      <w:bookmarkEnd w:id="16"/>
    </w:p>
    <w:p w:rsidR="00733D9B" w:rsidRPr="00500494" w:rsidRDefault="00733D9B" w:rsidP="005173A2">
      <w:pPr>
        <w:spacing w:after="240"/>
        <w:rPr>
          <w:rFonts w:ascii="Arial" w:hAnsi="Arial" w:cs="Arial"/>
        </w:rPr>
      </w:pPr>
      <w:r w:rsidRPr="00500494">
        <w:rPr>
          <w:rFonts w:ascii="Arial" w:hAnsi="Arial" w:cs="Arial"/>
        </w:rPr>
        <w:t xml:space="preserve">This report presents the results of </w:t>
      </w:r>
      <w:r w:rsidR="008570DA" w:rsidRPr="00500494">
        <w:rPr>
          <w:rFonts w:ascii="Arial" w:hAnsi="Arial" w:cs="Arial"/>
        </w:rPr>
        <w:t xml:space="preserve">a series of </w:t>
      </w:r>
      <w:r w:rsidRPr="00500494">
        <w:rPr>
          <w:rFonts w:ascii="Arial" w:hAnsi="Arial" w:cs="Arial"/>
        </w:rPr>
        <w:t>cost</w:t>
      </w:r>
      <w:r w:rsidR="008570DA" w:rsidRPr="00500494">
        <w:rPr>
          <w:rFonts w:ascii="Arial" w:hAnsi="Arial" w:cs="Arial"/>
        </w:rPr>
        <w:t>-</w:t>
      </w:r>
      <w:r w:rsidRPr="00500494">
        <w:rPr>
          <w:rFonts w:ascii="Arial" w:hAnsi="Arial" w:cs="Arial"/>
        </w:rPr>
        <w:t>benefit analys</w:t>
      </w:r>
      <w:r w:rsidR="008570DA" w:rsidRPr="00500494">
        <w:rPr>
          <w:rFonts w:ascii="Arial" w:hAnsi="Arial" w:cs="Arial"/>
        </w:rPr>
        <w:t>e</w:t>
      </w:r>
      <w:r w:rsidRPr="00500494">
        <w:rPr>
          <w:rFonts w:ascii="Arial" w:hAnsi="Arial" w:cs="Arial"/>
        </w:rPr>
        <w:t>s</w:t>
      </w:r>
      <w:r w:rsidR="006C7F87">
        <w:rPr>
          <w:rFonts w:ascii="Arial" w:hAnsi="Arial" w:cs="Arial"/>
        </w:rPr>
        <w:t xml:space="preserve"> (CBA)</w:t>
      </w:r>
      <w:r w:rsidRPr="00500494">
        <w:rPr>
          <w:rFonts w:ascii="Arial" w:hAnsi="Arial" w:cs="Arial"/>
        </w:rPr>
        <w:t xml:space="preserve"> of </w:t>
      </w:r>
      <w:r w:rsidR="005E380D">
        <w:rPr>
          <w:rFonts w:ascii="Arial" w:hAnsi="Arial" w:cs="Arial"/>
        </w:rPr>
        <w:t xml:space="preserve">completed </w:t>
      </w:r>
      <w:r w:rsidRPr="00500494">
        <w:rPr>
          <w:rFonts w:ascii="Arial" w:hAnsi="Arial" w:cs="Arial"/>
        </w:rPr>
        <w:t xml:space="preserve">research, development and extension (RD&amp;E) investments made by </w:t>
      </w:r>
      <w:r w:rsidR="00500494">
        <w:rPr>
          <w:rFonts w:ascii="Arial" w:hAnsi="Arial" w:cs="Arial"/>
        </w:rPr>
        <w:t>th</w:t>
      </w:r>
      <w:r w:rsidR="000D1D4E" w:rsidRPr="00500494">
        <w:rPr>
          <w:rFonts w:ascii="Arial" w:hAnsi="Arial" w:cs="Arial"/>
        </w:rPr>
        <w:t xml:space="preserve">e Department of </w:t>
      </w:r>
      <w:r w:rsidR="00A61B5A" w:rsidRPr="00500494">
        <w:rPr>
          <w:rFonts w:ascii="Arial" w:hAnsi="Arial" w:cs="Arial"/>
        </w:rPr>
        <w:t xml:space="preserve">Agriculture and </w:t>
      </w:r>
      <w:r w:rsidR="000D1D4E" w:rsidRPr="00500494">
        <w:rPr>
          <w:rFonts w:ascii="Arial" w:hAnsi="Arial" w:cs="Arial"/>
        </w:rPr>
        <w:t>Fisheries</w:t>
      </w:r>
      <w:r w:rsidR="00B21607">
        <w:rPr>
          <w:rFonts w:ascii="Arial" w:hAnsi="Arial" w:cs="Arial"/>
        </w:rPr>
        <w:t>, Queensland</w:t>
      </w:r>
      <w:r w:rsidR="00A61B5A" w:rsidRPr="00500494">
        <w:rPr>
          <w:rFonts w:ascii="Arial" w:hAnsi="Arial" w:cs="Arial"/>
        </w:rPr>
        <w:t xml:space="preserve"> (DAF)</w:t>
      </w:r>
      <w:r w:rsidR="005E380D">
        <w:rPr>
          <w:rFonts w:ascii="Arial" w:hAnsi="Arial" w:cs="Arial"/>
        </w:rPr>
        <w:t>.</w:t>
      </w:r>
      <w:r w:rsidR="000D1D4E" w:rsidRPr="00500494">
        <w:rPr>
          <w:rFonts w:ascii="Arial" w:hAnsi="Arial" w:cs="Arial"/>
        </w:rPr>
        <w:t xml:space="preserve"> </w:t>
      </w:r>
      <w:r w:rsidRPr="00500494">
        <w:rPr>
          <w:rFonts w:ascii="Arial" w:hAnsi="Arial" w:cs="Arial"/>
        </w:rPr>
        <w:t xml:space="preserve">  </w:t>
      </w:r>
    </w:p>
    <w:p w:rsidR="00733D9B" w:rsidRPr="00500494" w:rsidRDefault="00500494" w:rsidP="005173A2">
      <w:pPr>
        <w:spacing w:after="240"/>
        <w:rPr>
          <w:rFonts w:ascii="Arial" w:hAnsi="Arial" w:cs="Arial"/>
          <w:color w:val="FF0000"/>
        </w:rPr>
      </w:pPr>
      <w:r>
        <w:rPr>
          <w:rFonts w:ascii="Arial" w:hAnsi="Arial" w:cs="Arial"/>
        </w:rPr>
        <w:t xml:space="preserve">DAF </w:t>
      </w:r>
      <w:r w:rsidR="00733D9B" w:rsidRPr="00500494">
        <w:rPr>
          <w:rFonts w:ascii="Arial" w:hAnsi="Arial" w:cs="Arial"/>
        </w:rPr>
        <w:t xml:space="preserve">required an analysis of </w:t>
      </w:r>
      <w:r w:rsidR="005E380D">
        <w:rPr>
          <w:rFonts w:ascii="Arial" w:hAnsi="Arial" w:cs="Arial"/>
        </w:rPr>
        <w:t xml:space="preserve">six </w:t>
      </w:r>
      <w:r>
        <w:rPr>
          <w:rFonts w:ascii="Arial" w:hAnsi="Arial" w:cs="Arial"/>
        </w:rPr>
        <w:t xml:space="preserve">project </w:t>
      </w:r>
      <w:r w:rsidR="005E380D">
        <w:rPr>
          <w:rFonts w:ascii="Arial" w:hAnsi="Arial" w:cs="Arial"/>
        </w:rPr>
        <w:t xml:space="preserve">and project cluster </w:t>
      </w:r>
      <w:r w:rsidR="00733D9B" w:rsidRPr="00500494">
        <w:rPr>
          <w:rFonts w:ascii="Arial" w:hAnsi="Arial" w:cs="Arial"/>
        </w:rPr>
        <w:t xml:space="preserve">investments. </w:t>
      </w:r>
      <w:r w:rsidR="00DA4089" w:rsidRPr="00500494">
        <w:rPr>
          <w:rFonts w:ascii="Arial" w:hAnsi="Arial" w:cs="Arial"/>
        </w:rPr>
        <w:t xml:space="preserve">The </w:t>
      </w:r>
      <w:r w:rsidR="005E380D">
        <w:rPr>
          <w:rFonts w:ascii="Arial" w:hAnsi="Arial" w:cs="Arial"/>
        </w:rPr>
        <w:t xml:space="preserve">project and project cluster investments </w:t>
      </w:r>
      <w:r w:rsidR="00DA4089" w:rsidRPr="00500494">
        <w:rPr>
          <w:rFonts w:ascii="Arial" w:hAnsi="Arial" w:cs="Arial"/>
        </w:rPr>
        <w:t>were</w:t>
      </w:r>
      <w:r w:rsidR="00E04CC3" w:rsidRPr="00500494">
        <w:rPr>
          <w:rFonts w:ascii="Arial" w:hAnsi="Arial" w:cs="Arial"/>
        </w:rPr>
        <w:t>:</w:t>
      </w:r>
      <w:r w:rsidR="00DA4089" w:rsidRPr="00500494">
        <w:rPr>
          <w:rFonts w:ascii="Arial" w:hAnsi="Arial" w:cs="Arial"/>
        </w:rPr>
        <w:t xml:space="preserve"> </w:t>
      </w:r>
    </w:p>
    <w:p w:rsidR="005E380D" w:rsidRDefault="005E380D" w:rsidP="00D002FC">
      <w:pPr>
        <w:pStyle w:val="ListParagraph"/>
        <w:numPr>
          <w:ilvl w:val="0"/>
          <w:numId w:val="2"/>
        </w:numPr>
        <w:rPr>
          <w:rFonts w:ascii="Arial" w:hAnsi="Arial" w:cs="Arial"/>
        </w:rPr>
      </w:pPr>
      <w:r w:rsidRPr="005E380D">
        <w:rPr>
          <w:rFonts w:ascii="Arial" w:hAnsi="Arial" w:cs="Arial"/>
        </w:rPr>
        <w:t xml:space="preserve">Investment 1: Mud Crabs </w:t>
      </w:r>
      <w:r w:rsidR="00DE0683" w:rsidRPr="005E380D">
        <w:rPr>
          <w:rFonts w:ascii="Arial" w:hAnsi="Arial" w:cs="Arial"/>
        </w:rPr>
        <w:t xml:space="preserve"> </w:t>
      </w:r>
    </w:p>
    <w:p w:rsidR="005E380D" w:rsidRDefault="005E380D" w:rsidP="00D002FC">
      <w:pPr>
        <w:pStyle w:val="ListParagraph"/>
        <w:numPr>
          <w:ilvl w:val="0"/>
          <w:numId w:val="2"/>
        </w:numPr>
        <w:rPr>
          <w:rFonts w:ascii="Arial" w:hAnsi="Arial" w:cs="Arial"/>
        </w:rPr>
      </w:pPr>
      <w:r>
        <w:rPr>
          <w:rFonts w:ascii="Arial" w:hAnsi="Arial" w:cs="Arial"/>
        </w:rPr>
        <w:t xml:space="preserve">Investment 2: Methyl Bromide  </w:t>
      </w:r>
    </w:p>
    <w:p w:rsidR="00DA4089" w:rsidRDefault="005E380D" w:rsidP="00D002FC">
      <w:pPr>
        <w:pStyle w:val="ListParagraph"/>
        <w:numPr>
          <w:ilvl w:val="0"/>
          <w:numId w:val="2"/>
        </w:numPr>
        <w:rPr>
          <w:rFonts w:ascii="Arial" w:hAnsi="Arial" w:cs="Arial"/>
        </w:rPr>
      </w:pPr>
      <w:r>
        <w:rPr>
          <w:rFonts w:ascii="Arial" w:hAnsi="Arial" w:cs="Arial"/>
        </w:rPr>
        <w:t xml:space="preserve">Investment 3: Central Qld </w:t>
      </w:r>
      <w:r w:rsidR="003C73AF">
        <w:rPr>
          <w:rFonts w:ascii="Arial" w:hAnsi="Arial" w:cs="Arial"/>
        </w:rPr>
        <w:t>C</w:t>
      </w:r>
      <w:r>
        <w:rPr>
          <w:rFonts w:ascii="Arial" w:hAnsi="Arial" w:cs="Arial"/>
        </w:rPr>
        <w:t xml:space="preserve">otton </w:t>
      </w:r>
    </w:p>
    <w:p w:rsidR="005E380D" w:rsidRPr="005E380D" w:rsidRDefault="005E380D" w:rsidP="00D002FC">
      <w:pPr>
        <w:pStyle w:val="ListParagraph"/>
        <w:numPr>
          <w:ilvl w:val="0"/>
          <w:numId w:val="2"/>
        </w:numPr>
        <w:rPr>
          <w:rFonts w:ascii="Arial" w:hAnsi="Arial" w:cs="Arial"/>
        </w:rPr>
      </w:pPr>
      <w:r>
        <w:rPr>
          <w:rFonts w:ascii="Arial" w:hAnsi="Arial" w:cs="Arial"/>
        </w:rPr>
        <w:t>Investment 4: C4 Milk</w:t>
      </w:r>
    </w:p>
    <w:p w:rsidR="0020436A" w:rsidRPr="004846F7" w:rsidRDefault="005E380D" w:rsidP="00660E81">
      <w:pPr>
        <w:pStyle w:val="ListParagraph"/>
        <w:numPr>
          <w:ilvl w:val="0"/>
          <w:numId w:val="2"/>
        </w:numPr>
        <w:rPr>
          <w:rFonts w:ascii="Arial" w:hAnsi="Arial" w:cs="Arial"/>
        </w:rPr>
      </w:pPr>
      <w:r>
        <w:rPr>
          <w:rFonts w:ascii="Arial" w:hAnsi="Arial" w:cs="Arial"/>
        </w:rPr>
        <w:t>Investment 5: Sweet Potato</w:t>
      </w:r>
      <w:r w:rsidR="003C73AF">
        <w:rPr>
          <w:rFonts w:ascii="Arial" w:hAnsi="Arial" w:cs="Arial"/>
        </w:rPr>
        <w:t>es (Cluster)</w:t>
      </w:r>
      <w:r>
        <w:rPr>
          <w:rFonts w:ascii="Arial" w:hAnsi="Arial" w:cs="Arial"/>
        </w:rPr>
        <w:t xml:space="preserve">  </w:t>
      </w:r>
    </w:p>
    <w:p w:rsidR="005E380D" w:rsidRPr="005E380D" w:rsidRDefault="005E380D" w:rsidP="005173A2">
      <w:pPr>
        <w:pStyle w:val="ListParagraph"/>
        <w:numPr>
          <w:ilvl w:val="0"/>
          <w:numId w:val="2"/>
        </w:numPr>
        <w:spacing w:after="240"/>
        <w:rPr>
          <w:rFonts w:ascii="Arial" w:hAnsi="Arial" w:cs="Arial"/>
        </w:rPr>
      </w:pPr>
      <w:r w:rsidRPr="005E380D">
        <w:rPr>
          <w:rFonts w:ascii="Arial" w:hAnsi="Arial" w:cs="Arial"/>
        </w:rPr>
        <w:t xml:space="preserve">Investment 6: Plum Breeding </w:t>
      </w:r>
      <w:r w:rsidR="003C73AF">
        <w:rPr>
          <w:rFonts w:ascii="Arial" w:hAnsi="Arial" w:cs="Arial"/>
        </w:rPr>
        <w:t>(Cluster)</w:t>
      </w:r>
      <w:r w:rsidRPr="005E380D">
        <w:rPr>
          <w:rFonts w:ascii="Arial" w:hAnsi="Arial" w:cs="Arial"/>
        </w:rPr>
        <w:t xml:space="preserve"> </w:t>
      </w:r>
    </w:p>
    <w:p w:rsidR="00294A31" w:rsidRPr="00500494" w:rsidRDefault="008570DA" w:rsidP="005173A2">
      <w:pPr>
        <w:spacing w:after="240"/>
        <w:rPr>
          <w:rFonts w:ascii="Arial" w:hAnsi="Arial" w:cs="Arial"/>
          <w:lang w:val="en-US"/>
        </w:rPr>
      </w:pPr>
      <w:r w:rsidRPr="00500494">
        <w:rPr>
          <w:rFonts w:ascii="Arial" w:hAnsi="Arial" w:cs="Arial"/>
          <w:lang w:val="en-US"/>
        </w:rPr>
        <w:t xml:space="preserve">The analyses were carried out </w:t>
      </w:r>
      <w:r w:rsidR="00660E81">
        <w:rPr>
          <w:rFonts w:ascii="Arial" w:hAnsi="Arial" w:cs="Arial"/>
          <w:lang w:val="en-US"/>
        </w:rPr>
        <w:t xml:space="preserve">to </w:t>
      </w:r>
      <w:r w:rsidRPr="00500494">
        <w:rPr>
          <w:rFonts w:ascii="Arial" w:hAnsi="Arial" w:cs="Arial"/>
          <w:lang w:val="en-US"/>
        </w:rPr>
        <w:t xml:space="preserve">demonstrate accountability </w:t>
      </w:r>
      <w:r w:rsidR="00660E81">
        <w:rPr>
          <w:rFonts w:ascii="Arial" w:hAnsi="Arial" w:cs="Arial"/>
          <w:lang w:val="en-US"/>
        </w:rPr>
        <w:t xml:space="preserve">and </w:t>
      </w:r>
      <w:r w:rsidR="00EA39B5">
        <w:rPr>
          <w:rFonts w:ascii="Arial" w:hAnsi="Arial" w:cs="Arial"/>
          <w:lang w:val="en-US"/>
        </w:rPr>
        <w:t xml:space="preserve">the </w:t>
      </w:r>
      <w:r w:rsidR="00660E81">
        <w:rPr>
          <w:rFonts w:ascii="Arial" w:hAnsi="Arial" w:cs="Arial"/>
          <w:lang w:val="en-US"/>
        </w:rPr>
        <w:t xml:space="preserve">value of the Queensland Government’s contribution to RD&amp;E investment </w:t>
      </w:r>
      <w:r w:rsidR="005B0370">
        <w:rPr>
          <w:rFonts w:ascii="Arial" w:hAnsi="Arial" w:cs="Arial"/>
          <w:lang w:val="en-US"/>
        </w:rPr>
        <w:t xml:space="preserve">across a range of industries and </w:t>
      </w:r>
      <w:r w:rsidR="005B0370" w:rsidRPr="005173A2">
        <w:rPr>
          <w:rFonts w:ascii="Arial" w:hAnsi="Arial" w:cs="Arial"/>
        </w:rPr>
        <w:t>disciplines</w:t>
      </w:r>
      <w:r w:rsidR="00660E81">
        <w:rPr>
          <w:rFonts w:ascii="Arial" w:hAnsi="Arial" w:cs="Arial"/>
          <w:lang w:val="en-US"/>
        </w:rPr>
        <w:t xml:space="preserve">. The </w:t>
      </w:r>
      <w:r w:rsidR="005B0370">
        <w:rPr>
          <w:rFonts w:ascii="Arial" w:hAnsi="Arial" w:cs="Arial"/>
          <w:lang w:val="en-US"/>
        </w:rPr>
        <w:t xml:space="preserve">six investments </w:t>
      </w:r>
      <w:r w:rsidR="00660E81">
        <w:rPr>
          <w:rFonts w:ascii="Arial" w:hAnsi="Arial" w:cs="Arial"/>
          <w:lang w:val="en-US"/>
        </w:rPr>
        <w:t xml:space="preserve">were </w:t>
      </w:r>
      <w:r w:rsidR="005B0370">
        <w:rPr>
          <w:rFonts w:ascii="Arial" w:hAnsi="Arial" w:cs="Arial"/>
          <w:lang w:val="en-US"/>
        </w:rPr>
        <w:t>all supported b</w:t>
      </w:r>
      <w:r w:rsidR="00660E81">
        <w:rPr>
          <w:rFonts w:ascii="Arial" w:hAnsi="Arial" w:cs="Arial"/>
          <w:lang w:val="en-US"/>
        </w:rPr>
        <w:t xml:space="preserve">y DAF resources, as well as by </w:t>
      </w:r>
      <w:r w:rsidR="005B0370">
        <w:rPr>
          <w:rFonts w:ascii="Arial" w:hAnsi="Arial" w:cs="Arial"/>
          <w:lang w:val="en-US"/>
        </w:rPr>
        <w:t xml:space="preserve">Research and Development Corporations (RDCs) including those representing fisheries (1), horticulture (3), dairy (1), and grains (1). As each of the six investments were all partly funded by DAF, this report </w:t>
      </w:r>
      <w:r w:rsidR="00294A31" w:rsidRPr="00500494">
        <w:rPr>
          <w:rFonts w:ascii="Arial" w:hAnsi="Arial" w:cs="Arial"/>
          <w:lang w:val="en-US"/>
        </w:rPr>
        <w:t>addresses the i</w:t>
      </w:r>
      <w:r w:rsidR="005173A2">
        <w:rPr>
          <w:rFonts w:ascii="Arial" w:hAnsi="Arial" w:cs="Arial"/>
          <w:lang w:val="en-US"/>
        </w:rPr>
        <w:t>ndividual return to:</w:t>
      </w:r>
    </w:p>
    <w:p w:rsidR="00294A31" w:rsidRPr="00500494" w:rsidRDefault="00294A31" w:rsidP="000F22FE">
      <w:pPr>
        <w:pStyle w:val="ListParagraph"/>
        <w:numPr>
          <w:ilvl w:val="0"/>
          <w:numId w:val="7"/>
        </w:numPr>
        <w:rPr>
          <w:rFonts w:ascii="Arial" w:hAnsi="Arial" w:cs="Arial"/>
          <w:lang w:val="en-US"/>
        </w:rPr>
      </w:pPr>
      <w:r w:rsidRPr="00500494">
        <w:rPr>
          <w:rFonts w:ascii="Arial" w:hAnsi="Arial" w:cs="Arial"/>
          <w:lang w:val="en-US"/>
        </w:rPr>
        <w:t>The total investment in each project</w:t>
      </w:r>
      <w:r w:rsidR="005B0370">
        <w:rPr>
          <w:rFonts w:ascii="Arial" w:hAnsi="Arial" w:cs="Arial"/>
          <w:lang w:val="en-US"/>
        </w:rPr>
        <w:t xml:space="preserve"> including funding by the funding agencies, as well as a</w:t>
      </w:r>
      <w:r w:rsidR="00365442" w:rsidRPr="00500494">
        <w:rPr>
          <w:rFonts w:ascii="Arial" w:hAnsi="Arial" w:cs="Arial"/>
          <w:lang w:val="en-US"/>
        </w:rPr>
        <w:t>ny investment provided by researchers and other</w:t>
      </w:r>
      <w:r w:rsidR="000D1D4E" w:rsidRPr="00500494">
        <w:rPr>
          <w:rFonts w:ascii="Arial" w:hAnsi="Arial" w:cs="Arial"/>
          <w:lang w:val="en-US"/>
        </w:rPr>
        <w:t xml:space="preserve"> parties</w:t>
      </w:r>
      <w:r w:rsidR="00365442" w:rsidRPr="00500494">
        <w:rPr>
          <w:rFonts w:ascii="Arial" w:hAnsi="Arial" w:cs="Arial"/>
          <w:lang w:val="en-US"/>
        </w:rPr>
        <w:t xml:space="preserve"> (e.g. CSIRO).</w:t>
      </w:r>
    </w:p>
    <w:p w:rsidR="00B158DE" w:rsidRDefault="00365442" w:rsidP="005173A2">
      <w:pPr>
        <w:pStyle w:val="ListParagraph"/>
        <w:numPr>
          <w:ilvl w:val="0"/>
          <w:numId w:val="7"/>
        </w:numPr>
        <w:spacing w:after="240"/>
        <w:rPr>
          <w:rFonts w:ascii="Arial" w:hAnsi="Arial" w:cs="Arial"/>
          <w:lang w:val="en-US"/>
        </w:rPr>
      </w:pPr>
      <w:r w:rsidRPr="00500494">
        <w:rPr>
          <w:rFonts w:ascii="Arial" w:hAnsi="Arial" w:cs="Arial"/>
          <w:lang w:val="en-US"/>
        </w:rPr>
        <w:t xml:space="preserve">The specific </w:t>
      </w:r>
      <w:r w:rsidR="005B0370">
        <w:rPr>
          <w:rFonts w:ascii="Arial" w:hAnsi="Arial" w:cs="Arial"/>
          <w:lang w:val="en-US"/>
        </w:rPr>
        <w:t xml:space="preserve">resource </w:t>
      </w:r>
      <w:r w:rsidRPr="00500494">
        <w:rPr>
          <w:rFonts w:ascii="Arial" w:hAnsi="Arial" w:cs="Arial"/>
          <w:lang w:val="en-US"/>
        </w:rPr>
        <w:t xml:space="preserve">investment provided by DAF. </w:t>
      </w:r>
    </w:p>
    <w:p w:rsidR="00733D9B" w:rsidRPr="00500494" w:rsidRDefault="00733D9B" w:rsidP="005173A2">
      <w:pPr>
        <w:spacing w:after="240"/>
        <w:rPr>
          <w:rFonts w:ascii="Arial" w:hAnsi="Arial" w:cs="Arial"/>
        </w:rPr>
      </w:pPr>
      <w:r w:rsidRPr="00500494">
        <w:rPr>
          <w:rFonts w:ascii="Arial" w:hAnsi="Arial" w:cs="Arial"/>
        </w:rPr>
        <w:t xml:space="preserve">Available documentation was assembled on each project with assistance from </w:t>
      </w:r>
      <w:r w:rsidR="00294A31" w:rsidRPr="00500494">
        <w:rPr>
          <w:rFonts w:ascii="Arial" w:hAnsi="Arial" w:cs="Arial"/>
        </w:rPr>
        <w:t>DAF</w:t>
      </w:r>
      <w:r w:rsidRPr="00500494">
        <w:rPr>
          <w:rFonts w:ascii="Arial" w:hAnsi="Arial" w:cs="Arial"/>
        </w:rPr>
        <w:t xml:space="preserve"> personnel</w:t>
      </w:r>
      <w:r w:rsidR="007A0671">
        <w:rPr>
          <w:rFonts w:ascii="Arial" w:hAnsi="Arial" w:cs="Arial"/>
        </w:rPr>
        <w:t xml:space="preserve"> and others involved with the investment and associated industry</w:t>
      </w:r>
      <w:r w:rsidRPr="00500494">
        <w:rPr>
          <w:rFonts w:ascii="Arial" w:hAnsi="Arial" w:cs="Arial"/>
        </w:rPr>
        <w:t xml:space="preserve">. Documentation included </w:t>
      </w:r>
      <w:r w:rsidR="00B158DE">
        <w:rPr>
          <w:rFonts w:ascii="Arial" w:hAnsi="Arial" w:cs="Arial"/>
        </w:rPr>
        <w:t xml:space="preserve">the </w:t>
      </w:r>
      <w:r w:rsidRPr="00500494">
        <w:rPr>
          <w:rFonts w:ascii="Arial" w:hAnsi="Arial" w:cs="Arial"/>
        </w:rPr>
        <w:t>original project proposals, milestone reports</w:t>
      </w:r>
      <w:r w:rsidR="00294A31" w:rsidRPr="00500494">
        <w:rPr>
          <w:rFonts w:ascii="Arial" w:hAnsi="Arial" w:cs="Arial"/>
        </w:rPr>
        <w:t>, budget</w:t>
      </w:r>
      <w:r w:rsidR="007A0671">
        <w:rPr>
          <w:rFonts w:ascii="Arial" w:hAnsi="Arial" w:cs="Arial"/>
        </w:rPr>
        <w:t>ary information</w:t>
      </w:r>
      <w:r w:rsidR="00294A31" w:rsidRPr="00500494">
        <w:rPr>
          <w:rFonts w:ascii="Arial" w:hAnsi="Arial" w:cs="Arial"/>
        </w:rPr>
        <w:t xml:space="preserve"> for each </w:t>
      </w:r>
      <w:r w:rsidR="007A0671">
        <w:rPr>
          <w:rFonts w:ascii="Arial" w:hAnsi="Arial" w:cs="Arial"/>
        </w:rPr>
        <w:t>investment inclu</w:t>
      </w:r>
      <w:r w:rsidR="00B158DE">
        <w:rPr>
          <w:rFonts w:ascii="Arial" w:hAnsi="Arial" w:cs="Arial"/>
        </w:rPr>
        <w:t xml:space="preserve">ding variations, </w:t>
      </w:r>
      <w:r w:rsidRPr="00500494">
        <w:rPr>
          <w:rFonts w:ascii="Arial" w:hAnsi="Arial" w:cs="Arial"/>
        </w:rPr>
        <w:t xml:space="preserve">and other relevant reports. </w:t>
      </w:r>
    </w:p>
    <w:p w:rsidR="00733D9B" w:rsidRPr="00500494" w:rsidRDefault="00733D9B" w:rsidP="005173A2">
      <w:pPr>
        <w:spacing w:after="240"/>
        <w:rPr>
          <w:rFonts w:ascii="Arial" w:hAnsi="Arial" w:cs="Arial"/>
        </w:rPr>
      </w:pPr>
      <w:r w:rsidRPr="00500494">
        <w:rPr>
          <w:rFonts w:ascii="Arial" w:hAnsi="Arial" w:cs="Arial"/>
        </w:rPr>
        <w:t xml:space="preserve">Each of the </w:t>
      </w:r>
      <w:r w:rsidR="007A0671">
        <w:rPr>
          <w:rFonts w:ascii="Arial" w:hAnsi="Arial" w:cs="Arial"/>
        </w:rPr>
        <w:t xml:space="preserve">six </w:t>
      </w:r>
      <w:r w:rsidRPr="00500494">
        <w:rPr>
          <w:rFonts w:ascii="Arial" w:hAnsi="Arial" w:cs="Arial"/>
        </w:rPr>
        <w:t xml:space="preserve">analyses provides a description of the individual project </w:t>
      </w:r>
      <w:r w:rsidR="007A0671">
        <w:rPr>
          <w:rFonts w:ascii="Arial" w:hAnsi="Arial" w:cs="Arial"/>
        </w:rPr>
        <w:t xml:space="preserve">or </w:t>
      </w:r>
      <w:r w:rsidR="00070EEB">
        <w:rPr>
          <w:rFonts w:ascii="Arial" w:hAnsi="Arial" w:cs="Arial"/>
        </w:rPr>
        <w:t>cluster</w:t>
      </w:r>
      <w:r w:rsidR="007A0671">
        <w:rPr>
          <w:rFonts w:ascii="Arial" w:hAnsi="Arial" w:cs="Arial"/>
        </w:rPr>
        <w:t xml:space="preserve"> </w:t>
      </w:r>
      <w:r w:rsidRPr="00500494">
        <w:rPr>
          <w:rFonts w:ascii="Arial" w:hAnsi="Arial" w:cs="Arial"/>
        </w:rPr>
        <w:t>including objectives,</w:t>
      </w:r>
      <w:r w:rsidR="00E04CC3" w:rsidRPr="00500494">
        <w:rPr>
          <w:rFonts w:ascii="Arial" w:hAnsi="Arial" w:cs="Arial"/>
        </w:rPr>
        <w:t xml:space="preserve"> costs, </w:t>
      </w:r>
      <w:r w:rsidRPr="00500494">
        <w:rPr>
          <w:rFonts w:ascii="Arial" w:hAnsi="Arial" w:cs="Arial"/>
        </w:rPr>
        <w:t xml:space="preserve">outputs, activities, outcomes, and </w:t>
      </w:r>
      <w:r w:rsidR="00EA39B5">
        <w:rPr>
          <w:rFonts w:ascii="Arial" w:hAnsi="Arial" w:cs="Arial"/>
        </w:rPr>
        <w:t xml:space="preserve">potential and/or actual </w:t>
      </w:r>
      <w:r w:rsidR="005561DA" w:rsidRPr="00500494">
        <w:rPr>
          <w:rFonts w:ascii="Arial" w:hAnsi="Arial" w:cs="Arial"/>
        </w:rPr>
        <w:t>impacts</w:t>
      </w:r>
      <w:r w:rsidRPr="00500494">
        <w:rPr>
          <w:rFonts w:ascii="Arial" w:hAnsi="Arial" w:cs="Arial"/>
        </w:rPr>
        <w:t xml:space="preserve">. </w:t>
      </w:r>
      <w:r w:rsidR="005561DA" w:rsidRPr="00500494">
        <w:rPr>
          <w:rFonts w:ascii="Arial" w:hAnsi="Arial" w:cs="Arial"/>
        </w:rPr>
        <w:t xml:space="preserve">Impacts </w:t>
      </w:r>
      <w:r w:rsidRPr="00500494">
        <w:rPr>
          <w:rFonts w:ascii="Arial" w:hAnsi="Arial" w:cs="Arial"/>
        </w:rPr>
        <w:t xml:space="preserve">are </w:t>
      </w:r>
      <w:r w:rsidR="007A0671">
        <w:rPr>
          <w:rFonts w:ascii="Arial" w:hAnsi="Arial" w:cs="Arial"/>
        </w:rPr>
        <w:t xml:space="preserve">first </w:t>
      </w:r>
      <w:r w:rsidRPr="00500494">
        <w:rPr>
          <w:rFonts w:ascii="Arial" w:hAnsi="Arial" w:cs="Arial"/>
        </w:rPr>
        <w:t xml:space="preserve">described qualitatively according to their contribution to the triple bottom line of economic, environmental and social </w:t>
      </w:r>
      <w:r w:rsidR="00AB5FDA" w:rsidRPr="00500494">
        <w:rPr>
          <w:rFonts w:ascii="Arial" w:hAnsi="Arial" w:cs="Arial"/>
        </w:rPr>
        <w:t>impacts</w:t>
      </w:r>
      <w:r w:rsidRPr="00500494">
        <w:rPr>
          <w:rFonts w:ascii="Arial" w:hAnsi="Arial" w:cs="Arial"/>
        </w:rPr>
        <w:t>.</w:t>
      </w:r>
      <w:r w:rsidR="00792A77">
        <w:rPr>
          <w:rFonts w:ascii="Arial" w:hAnsi="Arial" w:cs="Arial"/>
        </w:rPr>
        <w:t xml:space="preserve"> Some of the identified impacts were then valued. </w:t>
      </w:r>
      <w:r w:rsidRPr="00500494">
        <w:rPr>
          <w:rFonts w:ascii="Arial" w:hAnsi="Arial" w:cs="Arial"/>
        </w:rPr>
        <w:t xml:space="preserve"> </w:t>
      </w:r>
    </w:p>
    <w:p w:rsidR="00733D9B" w:rsidRPr="00F80A22" w:rsidRDefault="00733D9B" w:rsidP="005173A2">
      <w:pPr>
        <w:spacing w:after="240"/>
        <w:rPr>
          <w:rFonts w:ascii="Arial" w:hAnsi="Arial" w:cs="Arial"/>
          <w:color w:val="000000" w:themeColor="text1"/>
        </w:rPr>
      </w:pPr>
      <w:r w:rsidRPr="00500494">
        <w:rPr>
          <w:rFonts w:ascii="Arial" w:hAnsi="Arial" w:cs="Arial"/>
        </w:rPr>
        <w:t xml:space="preserve">The </w:t>
      </w:r>
      <w:r w:rsidR="00792A77">
        <w:rPr>
          <w:rFonts w:ascii="Arial" w:hAnsi="Arial" w:cs="Arial"/>
        </w:rPr>
        <w:t xml:space="preserve">economic </w:t>
      </w:r>
      <w:r w:rsidRPr="00500494">
        <w:rPr>
          <w:rFonts w:ascii="Arial" w:hAnsi="Arial" w:cs="Arial"/>
        </w:rPr>
        <w:t>analyses were carried out using the current guidelines of the Council of Rural Research and Development Corporations</w:t>
      </w:r>
      <w:r w:rsidR="00287947" w:rsidRPr="00500494">
        <w:rPr>
          <w:rFonts w:ascii="Arial" w:hAnsi="Arial" w:cs="Arial"/>
        </w:rPr>
        <w:t xml:space="preserve"> (CRRDC)</w:t>
      </w:r>
      <w:r w:rsidRPr="00500494">
        <w:rPr>
          <w:rFonts w:ascii="Arial" w:hAnsi="Arial" w:cs="Arial"/>
        </w:rPr>
        <w:t xml:space="preserve">. </w:t>
      </w:r>
      <w:r w:rsidR="005238D0" w:rsidRPr="00500494">
        <w:rPr>
          <w:rFonts w:ascii="Arial" w:hAnsi="Arial" w:cs="Arial"/>
        </w:rPr>
        <w:t>I</w:t>
      </w:r>
      <w:r w:rsidR="003D543C" w:rsidRPr="00500494">
        <w:rPr>
          <w:rFonts w:ascii="Arial" w:hAnsi="Arial" w:cs="Arial"/>
        </w:rPr>
        <w:t xml:space="preserve">mpacts </w:t>
      </w:r>
      <w:r w:rsidR="005238D0" w:rsidRPr="00500494">
        <w:rPr>
          <w:rFonts w:ascii="Arial" w:hAnsi="Arial" w:cs="Arial"/>
        </w:rPr>
        <w:t xml:space="preserve">were </w:t>
      </w:r>
      <w:r w:rsidRPr="00500494">
        <w:rPr>
          <w:rFonts w:ascii="Arial" w:hAnsi="Arial" w:cs="Arial"/>
        </w:rPr>
        <w:t xml:space="preserve">estimated for </w:t>
      </w:r>
      <w:r w:rsidR="000D1D4E" w:rsidRPr="00500494">
        <w:rPr>
          <w:rFonts w:ascii="Arial" w:hAnsi="Arial" w:cs="Arial"/>
        </w:rPr>
        <w:t xml:space="preserve">up to </w:t>
      </w:r>
      <w:r w:rsidRPr="00500494">
        <w:rPr>
          <w:rFonts w:ascii="Arial" w:hAnsi="Arial" w:cs="Arial"/>
        </w:rPr>
        <w:t xml:space="preserve">30 years from the year of last investment in each project. </w:t>
      </w:r>
      <w:r w:rsidR="00294A31" w:rsidRPr="00500494">
        <w:rPr>
          <w:rFonts w:ascii="Arial" w:hAnsi="Arial" w:cs="Arial"/>
        </w:rPr>
        <w:t>Total c</w:t>
      </w:r>
      <w:r w:rsidRPr="00500494">
        <w:rPr>
          <w:rFonts w:ascii="Arial" w:hAnsi="Arial" w:cs="Arial"/>
        </w:rPr>
        <w:t xml:space="preserve">osts for each project included the expenditure on the project by </w:t>
      </w:r>
      <w:r w:rsidR="00B158DE">
        <w:rPr>
          <w:rFonts w:ascii="Arial" w:hAnsi="Arial" w:cs="Arial"/>
        </w:rPr>
        <w:t xml:space="preserve">DAF and </w:t>
      </w:r>
      <w:r w:rsidR="00792A77">
        <w:rPr>
          <w:rFonts w:ascii="Arial" w:hAnsi="Arial" w:cs="Arial"/>
        </w:rPr>
        <w:t>the RDC</w:t>
      </w:r>
      <w:r w:rsidRPr="00500494">
        <w:rPr>
          <w:rFonts w:ascii="Arial" w:hAnsi="Arial" w:cs="Arial"/>
        </w:rPr>
        <w:t xml:space="preserve">, as well as any other resources contributed by third parties (e.g. researchers). </w:t>
      </w:r>
      <w:r w:rsidR="00365442" w:rsidRPr="00500494">
        <w:rPr>
          <w:rFonts w:ascii="Arial" w:hAnsi="Arial" w:cs="Arial"/>
        </w:rPr>
        <w:t xml:space="preserve">DAF </w:t>
      </w:r>
      <w:r w:rsidR="000936F3" w:rsidRPr="00500494">
        <w:rPr>
          <w:rFonts w:ascii="Arial" w:hAnsi="Arial" w:cs="Arial"/>
        </w:rPr>
        <w:t xml:space="preserve">contributions to the </w:t>
      </w:r>
      <w:r w:rsidR="005B64B5" w:rsidRPr="00500494">
        <w:rPr>
          <w:rFonts w:ascii="Arial" w:hAnsi="Arial" w:cs="Arial"/>
        </w:rPr>
        <w:t xml:space="preserve">total </w:t>
      </w:r>
      <w:r w:rsidR="000936F3" w:rsidRPr="00500494">
        <w:rPr>
          <w:rFonts w:ascii="Arial" w:hAnsi="Arial" w:cs="Arial"/>
        </w:rPr>
        <w:t xml:space="preserve">investment made </w:t>
      </w:r>
      <w:r w:rsidR="005B64B5" w:rsidRPr="00500494">
        <w:rPr>
          <w:rFonts w:ascii="Arial" w:hAnsi="Arial" w:cs="Arial"/>
        </w:rPr>
        <w:t xml:space="preserve">in each </w:t>
      </w:r>
      <w:r w:rsidR="00485E0F">
        <w:rPr>
          <w:rFonts w:ascii="Arial" w:hAnsi="Arial" w:cs="Arial"/>
        </w:rPr>
        <w:t xml:space="preserve">of the </w:t>
      </w:r>
      <w:r w:rsidR="00792A77">
        <w:rPr>
          <w:rFonts w:ascii="Arial" w:hAnsi="Arial" w:cs="Arial"/>
        </w:rPr>
        <w:t>six</w:t>
      </w:r>
      <w:r w:rsidR="00485E0F" w:rsidRPr="00485E0F">
        <w:rPr>
          <w:rFonts w:ascii="Arial" w:hAnsi="Arial" w:cs="Arial"/>
          <w:color w:val="000000" w:themeColor="text1"/>
        </w:rPr>
        <w:t xml:space="preserve"> </w:t>
      </w:r>
      <w:r w:rsidR="005B64B5" w:rsidRPr="00485E0F">
        <w:rPr>
          <w:rFonts w:ascii="Arial" w:hAnsi="Arial" w:cs="Arial"/>
          <w:color w:val="000000" w:themeColor="text1"/>
        </w:rPr>
        <w:t>project</w:t>
      </w:r>
      <w:r w:rsidR="00485E0F" w:rsidRPr="00485E0F">
        <w:rPr>
          <w:rFonts w:ascii="Arial" w:hAnsi="Arial" w:cs="Arial"/>
          <w:color w:val="000000" w:themeColor="text1"/>
        </w:rPr>
        <w:t>s</w:t>
      </w:r>
      <w:r w:rsidR="00792A77">
        <w:rPr>
          <w:rFonts w:ascii="Arial" w:hAnsi="Arial" w:cs="Arial"/>
          <w:color w:val="000000" w:themeColor="text1"/>
        </w:rPr>
        <w:t xml:space="preserve">/clusters </w:t>
      </w:r>
      <w:r w:rsidR="005B64B5" w:rsidRPr="00F80A22">
        <w:rPr>
          <w:rFonts w:ascii="Arial" w:hAnsi="Arial" w:cs="Arial"/>
          <w:color w:val="000000" w:themeColor="text1"/>
        </w:rPr>
        <w:t xml:space="preserve">varied from </w:t>
      </w:r>
      <w:r w:rsidR="00070EEB" w:rsidRPr="00F80A22">
        <w:rPr>
          <w:rFonts w:ascii="Arial" w:hAnsi="Arial" w:cs="Arial"/>
          <w:color w:val="000000" w:themeColor="text1"/>
        </w:rPr>
        <w:t xml:space="preserve">38% </w:t>
      </w:r>
      <w:r w:rsidR="005B64B5" w:rsidRPr="00F80A22">
        <w:rPr>
          <w:rFonts w:ascii="Arial" w:hAnsi="Arial" w:cs="Arial"/>
          <w:color w:val="000000" w:themeColor="text1"/>
        </w:rPr>
        <w:t xml:space="preserve">to </w:t>
      </w:r>
      <w:r w:rsidR="00070EEB" w:rsidRPr="00F80A22">
        <w:rPr>
          <w:rFonts w:ascii="Arial" w:hAnsi="Arial" w:cs="Arial"/>
          <w:color w:val="000000" w:themeColor="text1"/>
        </w:rPr>
        <w:t>80%</w:t>
      </w:r>
      <w:r w:rsidR="000D1D4E" w:rsidRPr="00F80A22">
        <w:rPr>
          <w:rFonts w:ascii="Arial" w:hAnsi="Arial" w:cs="Arial"/>
          <w:color w:val="000000" w:themeColor="text1"/>
        </w:rPr>
        <w:t>.</w:t>
      </w:r>
      <w:r w:rsidR="00B158DE" w:rsidRPr="00F80A22">
        <w:rPr>
          <w:rFonts w:ascii="Arial" w:hAnsi="Arial" w:cs="Arial"/>
          <w:color w:val="000000" w:themeColor="text1"/>
        </w:rPr>
        <w:t xml:space="preserve"> </w:t>
      </w:r>
      <w:r w:rsidRPr="00F80A22">
        <w:rPr>
          <w:rFonts w:ascii="Arial" w:hAnsi="Arial" w:cs="Arial"/>
          <w:color w:val="000000" w:themeColor="text1"/>
        </w:rPr>
        <w:t xml:space="preserve"> </w:t>
      </w:r>
    </w:p>
    <w:p w:rsidR="00733D9B" w:rsidRPr="00500494" w:rsidRDefault="00733D9B" w:rsidP="005173A2">
      <w:pPr>
        <w:spacing w:after="240"/>
        <w:rPr>
          <w:rFonts w:ascii="Arial" w:hAnsi="Arial" w:cs="Arial"/>
        </w:rPr>
      </w:pPr>
      <w:r w:rsidRPr="00500494">
        <w:rPr>
          <w:rFonts w:ascii="Arial" w:hAnsi="Arial" w:cs="Arial"/>
        </w:rPr>
        <w:t xml:space="preserve">The analyses produced investment criteria by project for the total investment as well as </w:t>
      </w:r>
      <w:r w:rsidR="000D1D4E" w:rsidRPr="00500494">
        <w:rPr>
          <w:rFonts w:ascii="Arial" w:hAnsi="Arial" w:cs="Arial"/>
        </w:rPr>
        <w:t xml:space="preserve">separate </w:t>
      </w:r>
      <w:r w:rsidRPr="00500494">
        <w:rPr>
          <w:rFonts w:ascii="Arial" w:hAnsi="Arial" w:cs="Arial"/>
        </w:rPr>
        <w:t xml:space="preserve">investment criteria for </w:t>
      </w:r>
      <w:r w:rsidR="00A94705">
        <w:rPr>
          <w:rFonts w:ascii="Arial" w:hAnsi="Arial" w:cs="Arial"/>
        </w:rPr>
        <w:t xml:space="preserve">DAF and </w:t>
      </w:r>
      <w:r w:rsidRPr="00500494">
        <w:rPr>
          <w:rFonts w:ascii="Arial" w:hAnsi="Arial" w:cs="Arial"/>
        </w:rPr>
        <w:t xml:space="preserve">the </w:t>
      </w:r>
      <w:r w:rsidR="00792A77">
        <w:rPr>
          <w:rFonts w:ascii="Arial" w:hAnsi="Arial" w:cs="Arial"/>
        </w:rPr>
        <w:t>RDC</w:t>
      </w:r>
      <w:r w:rsidR="00365442" w:rsidRPr="00500494">
        <w:rPr>
          <w:rFonts w:ascii="Arial" w:hAnsi="Arial" w:cs="Arial"/>
        </w:rPr>
        <w:t xml:space="preserve"> </w:t>
      </w:r>
      <w:r w:rsidRPr="00500494">
        <w:rPr>
          <w:rFonts w:ascii="Arial" w:hAnsi="Arial" w:cs="Arial"/>
        </w:rPr>
        <w:t>investment</w:t>
      </w:r>
      <w:r w:rsidR="00A94705">
        <w:rPr>
          <w:rFonts w:ascii="Arial" w:hAnsi="Arial" w:cs="Arial"/>
        </w:rPr>
        <w:t>.</w:t>
      </w:r>
      <w:r w:rsidRPr="00500494">
        <w:rPr>
          <w:rFonts w:ascii="Arial" w:hAnsi="Arial" w:cs="Arial"/>
        </w:rPr>
        <w:t xml:space="preserve"> A degree of conservatism was used when finalising assumptions. Sensitivity </w:t>
      </w:r>
      <w:r w:rsidR="00EA39B5" w:rsidRPr="00500494">
        <w:rPr>
          <w:rFonts w:ascii="Arial" w:hAnsi="Arial" w:cs="Arial"/>
        </w:rPr>
        <w:t>analys</w:t>
      </w:r>
      <w:r w:rsidR="00EA39B5">
        <w:rPr>
          <w:rFonts w:ascii="Arial" w:hAnsi="Arial" w:cs="Arial"/>
        </w:rPr>
        <w:t>e</w:t>
      </w:r>
      <w:r w:rsidR="00EA39B5" w:rsidRPr="00500494">
        <w:rPr>
          <w:rFonts w:ascii="Arial" w:hAnsi="Arial" w:cs="Arial"/>
        </w:rPr>
        <w:t>s w</w:t>
      </w:r>
      <w:r w:rsidR="00EA39B5">
        <w:rPr>
          <w:rFonts w:ascii="Arial" w:hAnsi="Arial" w:cs="Arial"/>
        </w:rPr>
        <w:t>ere</w:t>
      </w:r>
      <w:r w:rsidR="00EA39B5" w:rsidRPr="00500494">
        <w:rPr>
          <w:rFonts w:ascii="Arial" w:hAnsi="Arial" w:cs="Arial"/>
        </w:rPr>
        <w:t xml:space="preserve"> </w:t>
      </w:r>
      <w:r w:rsidRPr="00500494">
        <w:rPr>
          <w:rFonts w:ascii="Arial" w:hAnsi="Arial" w:cs="Arial"/>
        </w:rPr>
        <w:t xml:space="preserve">undertaken for several assumptions that had the greatest degree of uncertainty or for those that were seen to be key drivers of the investment criteria. </w:t>
      </w:r>
    </w:p>
    <w:p w:rsidR="005173A2" w:rsidRDefault="005173A2" w:rsidP="00733D9B">
      <w:pPr>
        <w:rPr>
          <w:rFonts w:ascii="Arial" w:hAnsi="Arial" w:cs="Arial"/>
        </w:rPr>
      </w:pPr>
    </w:p>
    <w:p w:rsidR="005173A2" w:rsidRDefault="005173A2" w:rsidP="00733D9B">
      <w:pPr>
        <w:rPr>
          <w:rFonts w:ascii="Arial" w:hAnsi="Arial" w:cs="Arial"/>
        </w:rPr>
      </w:pPr>
    </w:p>
    <w:p w:rsidR="005173A2" w:rsidRDefault="005173A2" w:rsidP="00733D9B">
      <w:pPr>
        <w:rPr>
          <w:rFonts w:ascii="Arial" w:hAnsi="Arial" w:cs="Arial"/>
        </w:rPr>
      </w:pPr>
    </w:p>
    <w:p w:rsidR="00733D9B" w:rsidRPr="00500494" w:rsidRDefault="00733D9B" w:rsidP="00733D9B">
      <w:pPr>
        <w:rPr>
          <w:rFonts w:ascii="Arial" w:hAnsi="Arial" w:cs="Arial"/>
        </w:rPr>
      </w:pPr>
      <w:r w:rsidRPr="00500494">
        <w:rPr>
          <w:rFonts w:ascii="Arial" w:hAnsi="Arial" w:cs="Arial"/>
        </w:rPr>
        <w:t xml:space="preserve">Some identified </w:t>
      </w:r>
      <w:r w:rsidR="00AB5FDA" w:rsidRPr="00500494">
        <w:rPr>
          <w:rFonts w:ascii="Arial" w:hAnsi="Arial" w:cs="Arial"/>
        </w:rPr>
        <w:t xml:space="preserve">impacts </w:t>
      </w:r>
      <w:r w:rsidRPr="00500494">
        <w:rPr>
          <w:rFonts w:ascii="Arial" w:hAnsi="Arial" w:cs="Arial"/>
        </w:rPr>
        <w:t>were not quantified mainly due to:</w:t>
      </w:r>
    </w:p>
    <w:p w:rsidR="00733D9B" w:rsidRPr="00500494" w:rsidRDefault="00733D9B" w:rsidP="00733D9B">
      <w:pPr>
        <w:pStyle w:val="BodyText"/>
        <w:numPr>
          <w:ilvl w:val="0"/>
          <w:numId w:val="1"/>
        </w:numPr>
        <w:spacing w:after="0"/>
        <w:rPr>
          <w:rFonts w:ascii="Arial" w:hAnsi="Arial" w:cs="Arial"/>
        </w:rPr>
      </w:pPr>
      <w:r w:rsidRPr="00500494">
        <w:rPr>
          <w:rFonts w:ascii="Arial" w:hAnsi="Arial" w:cs="Arial"/>
        </w:rPr>
        <w:t xml:space="preserve">A suspected weak or uncertain scientific or causal relationship between the research investment and the actual </w:t>
      </w:r>
      <w:r w:rsidR="006C7F87">
        <w:rPr>
          <w:rFonts w:ascii="Arial" w:hAnsi="Arial" w:cs="Arial"/>
        </w:rPr>
        <w:t>research and development (</w:t>
      </w:r>
      <w:r w:rsidRPr="00500494">
        <w:rPr>
          <w:rFonts w:ascii="Arial" w:hAnsi="Arial" w:cs="Arial"/>
        </w:rPr>
        <w:t>R&amp;D</w:t>
      </w:r>
      <w:r w:rsidR="006C7F87">
        <w:rPr>
          <w:rFonts w:ascii="Arial" w:hAnsi="Arial" w:cs="Arial"/>
        </w:rPr>
        <w:t>)</w:t>
      </w:r>
      <w:r w:rsidRPr="00500494">
        <w:rPr>
          <w:rFonts w:ascii="Arial" w:hAnsi="Arial" w:cs="Arial"/>
        </w:rPr>
        <w:t xml:space="preserve"> outcomes and associated </w:t>
      </w:r>
      <w:r w:rsidR="00AB5FDA" w:rsidRPr="00500494">
        <w:rPr>
          <w:rFonts w:ascii="Arial" w:hAnsi="Arial" w:cs="Arial"/>
        </w:rPr>
        <w:t>impacts</w:t>
      </w:r>
      <w:r w:rsidR="00CF0702" w:rsidRPr="00500494">
        <w:rPr>
          <w:rFonts w:ascii="Arial" w:hAnsi="Arial" w:cs="Arial"/>
        </w:rPr>
        <w:t>.</w:t>
      </w:r>
      <w:r w:rsidRPr="00500494">
        <w:rPr>
          <w:rFonts w:ascii="Arial" w:hAnsi="Arial" w:cs="Arial"/>
        </w:rPr>
        <w:t xml:space="preserve"> </w:t>
      </w:r>
    </w:p>
    <w:p w:rsidR="00733D9B" w:rsidRPr="00500494" w:rsidRDefault="00733D9B" w:rsidP="00733D9B">
      <w:pPr>
        <w:pStyle w:val="BodyText"/>
        <w:numPr>
          <w:ilvl w:val="0"/>
          <w:numId w:val="1"/>
        </w:numPr>
        <w:spacing w:after="0"/>
        <w:rPr>
          <w:rFonts w:ascii="Arial" w:hAnsi="Arial" w:cs="Arial"/>
        </w:rPr>
      </w:pPr>
      <w:r w:rsidRPr="00500494">
        <w:rPr>
          <w:rFonts w:ascii="Arial" w:hAnsi="Arial" w:cs="Arial"/>
        </w:rPr>
        <w:t xml:space="preserve">The magnitude of the value of the </w:t>
      </w:r>
      <w:r w:rsidR="00AB5FDA" w:rsidRPr="00500494">
        <w:rPr>
          <w:rFonts w:ascii="Arial" w:hAnsi="Arial" w:cs="Arial"/>
        </w:rPr>
        <w:t xml:space="preserve">impact </w:t>
      </w:r>
      <w:r w:rsidRPr="00500494">
        <w:rPr>
          <w:rFonts w:ascii="Arial" w:hAnsi="Arial" w:cs="Arial"/>
        </w:rPr>
        <w:t>was thought to be only minor</w:t>
      </w:r>
      <w:r w:rsidR="00CF0702" w:rsidRPr="00500494">
        <w:rPr>
          <w:rFonts w:ascii="Arial" w:hAnsi="Arial" w:cs="Arial"/>
        </w:rPr>
        <w:t>.</w:t>
      </w:r>
    </w:p>
    <w:p w:rsidR="00733D9B" w:rsidRPr="00500494" w:rsidRDefault="00733D9B" w:rsidP="005173A2">
      <w:pPr>
        <w:pStyle w:val="BodyText"/>
        <w:numPr>
          <w:ilvl w:val="0"/>
          <w:numId w:val="1"/>
        </w:numPr>
        <w:rPr>
          <w:rFonts w:ascii="Arial" w:hAnsi="Arial" w:cs="Arial"/>
        </w:rPr>
      </w:pPr>
      <w:r w:rsidRPr="00500494">
        <w:rPr>
          <w:rFonts w:ascii="Arial" w:hAnsi="Arial" w:cs="Arial"/>
        </w:rPr>
        <w:t>A lack of data on which to base assumptions</w:t>
      </w:r>
      <w:r w:rsidR="00CF0702" w:rsidRPr="00500494">
        <w:rPr>
          <w:rFonts w:ascii="Arial" w:hAnsi="Arial" w:cs="Arial"/>
        </w:rPr>
        <w:t>.</w:t>
      </w:r>
    </w:p>
    <w:p w:rsidR="00733D9B" w:rsidRPr="00500494" w:rsidRDefault="00733D9B" w:rsidP="005173A2">
      <w:pPr>
        <w:spacing w:after="240"/>
        <w:rPr>
          <w:rFonts w:ascii="Arial" w:hAnsi="Arial" w:cs="Arial"/>
        </w:rPr>
      </w:pPr>
      <w:r w:rsidRPr="00500494">
        <w:rPr>
          <w:rFonts w:ascii="Arial" w:hAnsi="Arial" w:cs="Arial"/>
        </w:rPr>
        <w:t xml:space="preserve">Once each of the </w:t>
      </w:r>
      <w:r w:rsidR="00792A77">
        <w:rPr>
          <w:rFonts w:ascii="Arial" w:hAnsi="Arial" w:cs="Arial"/>
        </w:rPr>
        <w:t>six</w:t>
      </w:r>
      <w:r w:rsidR="00B158DE">
        <w:rPr>
          <w:rFonts w:ascii="Arial" w:hAnsi="Arial" w:cs="Arial"/>
        </w:rPr>
        <w:t xml:space="preserve"> </w:t>
      </w:r>
      <w:r w:rsidRPr="00500494">
        <w:rPr>
          <w:rFonts w:ascii="Arial" w:hAnsi="Arial" w:cs="Arial"/>
        </w:rPr>
        <w:t xml:space="preserve">individual analyses were completed, individual undiscounted cash flows (benefits and costs) were </w:t>
      </w:r>
      <w:r w:rsidR="00F7610C" w:rsidRPr="00500494">
        <w:rPr>
          <w:rFonts w:ascii="Arial" w:hAnsi="Arial" w:cs="Arial"/>
        </w:rPr>
        <w:t xml:space="preserve">combined to </w:t>
      </w:r>
      <w:r w:rsidRPr="00500494">
        <w:rPr>
          <w:rFonts w:ascii="Arial" w:hAnsi="Arial" w:cs="Arial"/>
        </w:rPr>
        <w:t>generat</w:t>
      </w:r>
      <w:r w:rsidR="00CF0702" w:rsidRPr="00500494">
        <w:rPr>
          <w:rFonts w:ascii="Arial" w:hAnsi="Arial" w:cs="Arial"/>
        </w:rPr>
        <w:t>e</w:t>
      </w:r>
      <w:r w:rsidRPr="00500494">
        <w:rPr>
          <w:rFonts w:ascii="Arial" w:hAnsi="Arial" w:cs="Arial"/>
        </w:rPr>
        <w:t xml:space="preserve"> </w:t>
      </w:r>
      <w:r w:rsidR="00F7610C" w:rsidRPr="00500494">
        <w:rPr>
          <w:rFonts w:ascii="Arial" w:hAnsi="Arial" w:cs="Arial"/>
        </w:rPr>
        <w:t xml:space="preserve">a set of aggregate </w:t>
      </w:r>
      <w:r w:rsidRPr="00500494">
        <w:rPr>
          <w:rFonts w:ascii="Arial" w:hAnsi="Arial" w:cs="Arial"/>
        </w:rPr>
        <w:t xml:space="preserve">investment criteria. </w:t>
      </w:r>
    </w:p>
    <w:p w:rsidR="00733D9B" w:rsidRPr="00500494" w:rsidRDefault="00733D9B" w:rsidP="005173A2">
      <w:pPr>
        <w:spacing w:after="240"/>
        <w:rPr>
          <w:rFonts w:ascii="Arial" w:hAnsi="Arial" w:cs="Arial"/>
        </w:rPr>
      </w:pPr>
      <w:r w:rsidRPr="00500494">
        <w:rPr>
          <w:rFonts w:ascii="Arial" w:hAnsi="Arial" w:cs="Arial"/>
        </w:rPr>
        <w:t>The table</w:t>
      </w:r>
      <w:r w:rsidR="00365442" w:rsidRPr="00500494">
        <w:rPr>
          <w:rFonts w:ascii="Arial" w:hAnsi="Arial" w:cs="Arial"/>
        </w:rPr>
        <w:t>s</w:t>
      </w:r>
      <w:r w:rsidRPr="00500494">
        <w:rPr>
          <w:rFonts w:ascii="Arial" w:hAnsi="Arial" w:cs="Arial"/>
        </w:rPr>
        <w:t xml:space="preserve"> below present the investment criteria for the total investment</w:t>
      </w:r>
      <w:r w:rsidR="00792A77">
        <w:rPr>
          <w:rFonts w:ascii="Arial" w:hAnsi="Arial" w:cs="Arial"/>
        </w:rPr>
        <w:t xml:space="preserve"> and the </w:t>
      </w:r>
      <w:r w:rsidR="00B158DE">
        <w:rPr>
          <w:rFonts w:ascii="Arial" w:hAnsi="Arial" w:cs="Arial"/>
        </w:rPr>
        <w:t>DAF</w:t>
      </w:r>
      <w:r w:rsidR="008D7515" w:rsidRPr="00500494">
        <w:rPr>
          <w:rFonts w:ascii="Arial" w:hAnsi="Arial" w:cs="Arial"/>
        </w:rPr>
        <w:t xml:space="preserve"> investment</w:t>
      </w:r>
      <w:r w:rsidR="00792A77">
        <w:rPr>
          <w:rFonts w:ascii="Arial" w:hAnsi="Arial" w:cs="Arial"/>
        </w:rPr>
        <w:t xml:space="preserve"> in each of the six investments</w:t>
      </w:r>
      <w:r w:rsidRPr="00500494">
        <w:rPr>
          <w:rFonts w:ascii="Arial" w:hAnsi="Arial" w:cs="Arial"/>
        </w:rPr>
        <w:t xml:space="preserve"> </w:t>
      </w:r>
      <w:r w:rsidR="00792A77">
        <w:rPr>
          <w:rFonts w:ascii="Arial" w:hAnsi="Arial" w:cs="Arial"/>
        </w:rPr>
        <w:t xml:space="preserve">evaluated </w:t>
      </w:r>
      <w:r w:rsidRPr="00500494">
        <w:rPr>
          <w:rFonts w:ascii="Arial" w:hAnsi="Arial" w:cs="Arial"/>
        </w:rPr>
        <w:t>using a 5% discount rate, with benefits valued over 30 years from the last year of investment and all costs and benefits expressed in 201</w:t>
      </w:r>
      <w:r w:rsidR="00B158DE">
        <w:rPr>
          <w:rFonts w:ascii="Arial" w:hAnsi="Arial" w:cs="Arial"/>
        </w:rPr>
        <w:t>6</w:t>
      </w:r>
      <w:r w:rsidRPr="00500494">
        <w:rPr>
          <w:rFonts w:ascii="Arial" w:hAnsi="Arial" w:cs="Arial"/>
        </w:rPr>
        <w:t>/1</w:t>
      </w:r>
      <w:r w:rsidR="00B158DE">
        <w:rPr>
          <w:rFonts w:ascii="Arial" w:hAnsi="Arial" w:cs="Arial"/>
        </w:rPr>
        <w:t>7</w:t>
      </w:r>
      <w:r w:rsidRPr="00500494">
        <w:rPr>
          <w:rFonts w:ascii="Arial" w:hAnsi="Arial" w:cs="Arial"/>
        </w:rPr>
        <w:t xml:space="preserve"> dollar terms. </w:t>
      </w:r>
      <w:r w:rsidR="00EB6A65">
        <w:rPr>
          <w:rFonts w:ascii="Arial" w:hAnsi="Arial" w:cs="Arial"/>
        </w:rPr>
        <w:t>In addition, t</w:t>
      </w:r>
      <w:r w:rsidRPr="00500494">
        <w:rPr>
          <w:rFonts w:ascii="Arial" w:hAnsi="Arial" w:cs="Arial"/>
        </w:rPr>
        <w:t xml:space="preserve">he </w:t>
      </w:r>
      <w:r w:rsidR="00F80A22">
        <w:rPr>
          <w:rFonts w:ascii="Arial" w:hAnsi="Arial" w:cs="Arial"/>
        </w:rPr>
        <w:t xml:space="preserve">bottom line in each </w:t>
      </w:r>
      <w:r w:rsidRPr="00500494">
        <w:rPr>
          <w:rFonts w:ascii="Arial" w:hAnsi="Arial" w:cs="Arial"/>
        </w:rPr>
        <w:t xml:space="preserve">table includes investment criteria for the aggregate investment </w:t>
      </w:r>
      <w:r w:rsidR="00EB6A65">
        <w:rPr>
          <w:rFonts w:ascii="Arial" w:hAnsi="Arial" w:cs="Arial"/>
        </w:rPr>
        <w:t xml:space="preserve">across </w:t>
      </w:r>
      <w:r w:rsidR="00792A77">
        <w:rPr>
          <w:rFonts w:ascii="Arial" w:hAnsi="Arial" w:cs="Arial"/>
        </w:rPr>
        <w:t>all six individual investments</w:t>
      </w:r>
      <w:r w:rsidRPr="00500494">
        <w:rPr>
          <w:rFonts w:ascii="Arial" w:hAnsi="Arial" w:cs="Arial"/>
        </w:rPr>
        <w:t>.</w:t>
      </w:r>
    </w:p>
    <w:p w:rsidR="00AD547D" w:rsidRPr="00500494" w:rsidRDefault="00AD547D" w:rsidP="005173A2">
      <w:pPr>
        <w:spacing w:after="240"/>
        <w:jc w:val="center"/>
        <w:rPr>
          <w:rFonts w:ascii="Arial" w:hAnsi="Arial" w:cs="Arial"/>
        </w:rPr>
      </w:pPr>
      <w:r w:rsidRPr="00500494">
        <w:rPr>
          <w:rFonts w:ascii="Arial" w:hAnsi="Arial" w:cs="Arial"/>
        </w:rPr>
        <w:t>Investment Criteria for Total Investment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989"/>
        <w:gridCol w:w="989"/>
        <w:gridCol w:w="990"/>
        <w:gridCol w:w="989"/>
        <w:gridCol w:w="989"/>
        <w:gridCol w:w="990"/>
      </w:tblGrid>
      <w:tr w:rsidR="00F80A22" w:rsidRPr="00A93D3C" w:rsidTr="00090754">
        <w:trPr>
          <w:trHeight w:val="342"/>
          <w:jc w:val="center"/>
        </w:trPr>
        <w:tc>
          <w:tcPr>
            <w:tcW w:w="3964" w:type="dxa"/>
          </w:tcPr>
          <w:p w:rsidR="00F80A22" w:rsidRPr="00A93D3C" w:rsidRDefault="00F80A22" w:rsidP="005173A2">
            <w:pPr>
              <w:rPr>
                <w:rFonts w:ascii="Arial" w:hAnsi="Arial" w:cs="Arial"/>
                <w:b/>
              </w:rPr>
            </w:pPr>
            <w:r>
              <w:rPr>
                <w:rFonts w:ascii="Arial" w:hAnsi="Arial" w:cs="Arial"/>
                <w:b/>
              </w:rPr>
              <w:t xml:space="preserve">Project/Cluster Investment </w:t>
            </w:r>
            <w:r w:rsidRPr="00A93D3C">
              <w:rPr>
                <w:rFonts w:ascii="Arial" w:hAnsi="Arial" w:cs="Arial"/>
                <w:b/>
              </w:rPr>
              <w:t xml:space="preserve"> </w:t>
            </w:r>
          </w:p>
        </w:tc>
        <w:tc>
          <w:tcPr>
            <w:tcW w:w="989" w:type="dxa"/>
          </w:tcPr>
          <w:p w:rsidR="00F80A22" w:rsidRPr="00A93D3C" w:rsidRDefault="00F80A22" w:rsidP="00090754">
            <w:pPr>
              <w:jc w:val="center"/>
              <w:rPr>
                <w:rFonts w:ascii="Arial" w:hAnsi="Arial" w:cs="Arial"/>
                <w:b/>
              </w:rPr>
            </w:pPr>
            <w:r w:rsidRPr="00A93D3C">
              <w:rPr>
                <w:rFonts w:ascii="Arial" w:hAnsi="Arial" w:cs="Arial"/>
                <w:b/>
              </w:rPr>
              <w:t>PVB ($m)</w:t>
            </w:r>
          </w:p>
        </w:tc>
        <w:tc>
          <w:tcPr>
            <w:tcW w:w="989" w:type="dxa"/>
          </w:tcPr>
          <w:p w:rsidR="00F80A22" w:rsidRPr="00A93D3C" w:rsidRDefault="00F80A22" w:rsidP="00090754">
            <w:pPr>
              <w:jc w:val="center"/>
              <w:rPr>
                <w:rFonts w:ascii="Arial" w:hAnsi="Arial" w:cs="Arial"/>
                <w:b/>
              </w:rPr>
            </w:pPr>
            <w:r w:rsidRPr="00A93D3C">
              <w:rPr>
                <w:rFonts w:ascii="Arial" w:hAnsi="Arial" w:cs="Arial"/>
                <w:b/>
              </w:rPr>
              <w:t>PVC ($m)</w:t>
            </w:r>
          </w:p>
        </w:tc>
        <w:tc>
          <w:tcPr>
            <w:tcW w:w="990" w:type="dxa"/>
          </w:tcPr>
          <w:p w:rsidR="00F80A22" w:rsidRPr="00A93D3C" w:rsidRDefault="00F80A22" w:rsidP="00090754">
            <w:pPr>
              <w:jc w:val="center"/>
              <w:rPr>
                <w:rFonts w:ascii="Arial" w:hAnsi="Arial" w:cs="Arial"/>
                <w:b/>
              </w:rPr>
            </w:pPr>
            <w:r w:rsidRPr="00A93D3C">
              <w:rPr>
                <w:rFonts w:ascii="Arial" w:hAnsi="Arial" w:cs="Arial"/>
                <w:b/>
              </w:rPr>
              <w:t>NPV ($m)</w:t>
            </w:r>
          </w:p>
        </w:tc>
        <w:tc>
          <w:tcPr>
            <w:tcW w:w="989" w:type="dxa"/>
          </w:tcPr>
          <w:p w:rsidR="00F80A22" w:rsidRPr="00A93D3C" w:rsidRDefault="00F80A22" w:rsidP="00090754">
            <w:pPr>
              <w:jc w:val="center"/>
              <w:rPr>
                <w:rFonts w:ascii="Arial" w:hAnsi="Arial" w:cs="Arial"/>
                <w:b/>
              </w:rPr>
            </w:pPr>
            <w:r w:rsidRPr="00A93D3C">
              <w:rPr>
                <w:rFonts w:ascii="Arial" w:hAnsi="Arial" w:cs="Arial"/>
                <w:b/>
              </w:rPr>
              <w:t>BCR</w:t>
            </w:r>
          </w:p>
        </w:tc>
        <w:tc>
          <w:tcPr>
            <w:tcW w:w="989" w:type="dxa"/>
          </w:tcPr>
          <w:p w:rsidR="00F80A22" w:rsidRPr="00A93D3C" w:rsidRDefault="00F80A22" w:rsidP="00090754">
            <w:pPr>
              <w:jc w:val="center"/>
              <w:rPr>
                <w:rFonts w:ascii="Arial" w:hAnsi="Arial" w:cs="Arial"/>
                <w:b/>
              </w:rPr>
            </w:pPr>
            <w:r w:rsidRPr="00A93D3C">
              <w:rPr>
                <w:rFonts w:ascii="Arial" w:hAnsi="Arial" w:cs="Arial"/>
                <w:b/>
              </w:rPr>
              <w:t>IRR (%)</w:t>
            </w:r>
          </w:p>
        </w:tc>
        <w:tc>
          <w:tcPr>
            <w:tcW w:w="990" w:type="dxa"/>
          </w:tcPr>
          <w:p w:rsidR="00F80A22" w:rsidRDefault="00F80A22" w:rsidP="00090754">
            <w:pPr>
              <w:jc w:val="center"/>
              <w:rPr>
                <w:rFonts w:ascii="Arial" w:hAnsi="Arial" w:cs="Arial"/>
                <w:b/>
              </w:rPr>
            </w:pPr>
            <w:r>
              <w:rPr>
                <w:rFonts w:ascii="Arial" w:hAnsi="Arial" w:cs="Arial"/>
                <w:b/>
              </w:rPr>
              <w:t>MIRR</w:t>
            </w:r>
          </w:p>
          <w:p w:rsidR="00F80A22" w:rsidRPr="00A93D3C" w:rsidRDefault="00F80A22" w:rsidP="00090754">
            <w:pPr>
              <w:jc w:val="center"/>
              <w:rPr>
                <w:rFonts w:ascii="Arial" w:hAnsi="Arial" w:cs="Arial"/>
                <w:b/>
              </w:rPr>
            </w:pPr>
            <w:r>
              <w:rPr>
                <w:rFonts w:ascii="Arial" w:hAnsi="Arial" w:cs="Arial"/>
                <w:b/>
              </w:rPr>
              <w:t>(%)</w:t>
            </w:r>
          </w:p>
        </w:tc>
      </w:tr>
      <w:tr w:rsidR="00F80A22" w:rsidTr="00090754">
        <w:trPr>
          <w:jc w:val="center"/>
        </w:trPr>
        <w:tc>
          <w:tcPr>
            <w:tcW w:w="3964" w:type="dxa"/>
          </w:tcPr>
          <w:p w:rsidR="00F80A22" w:rsidRPr="003C73AF" w:rsidRDefault="00F80A22" w:rsidP="00090754">
            <w:pPr>
              <w:rPr>
                <w:rFonts w:ascii="Arial" w:hAnsi="Arial" w:cs="Arial"/>
              </w:rPr>
            </w:pPr>
            <w:r w:rsidRPr="003C73AF">
              <w:rPr>
                <w:rFonts w:ascii="Arial" w:hAnsi="Arial" w:cs="Arial"/>
              </w:rPr>
              <w:t>Mud Crabs</w:t>
            </w:r>
          </w:p>
        </w:tc>
        <w:tc>
          <w:tcPr>
            <w:tcW w:w="989" w:type="dxa"/>
            <w:shd w:val="clear" w:color="auto" w:fill="auto"/>
          </w:tcPr>
          <w:p w:rsidR="00F80A22" w:rsidRDefault="00F80A22" w:rsidP="00090754">
            <w:pPr>
              <w:jc w:val="right"/>
              <w:rPr>
                <w:rFonts w:ascii="Arial" w:hAnsi="Arial" w:cs="Arial"/>
              </w:rPr>
            </w:pPr>
            <w:r>
              <w:rPr>
                <w:rFonts w:ascii="Arial" w:hAnsi="Arial" w:cs="Arial"/>
              </w:rPr>
              <w:t>20.65</w:t>
            </w:r>
          </w:p>
        </w:tc>
        <w:tc>
          <w:tcPr>
            <w:tcW w:w="989" w:type="dxa"/>
            <w:shd w:val="clear" w:color="auto" w:fill="auto"/>
          </w:tcPr>
          <w:p w:rsidR="00F80A22" w:rsidRPr="00C1669B" w:rsidRDefault="00F80A22" w:rsidP="00090754">
            <w:pPr>
              <w:jc w:val="right"/>
              <w:rPr>
                <w:rFonts w:ascii="Arial" w:hAnsi="Arial" w:cs="Arial"/>
              </w:rPr>
            </w:pPr>
            <w:r>
              <w:rPr>
                <w:rFonts w:ascii="Arial" w:hAnsi="Arial" w:cs="Arial"/>
              </w:rPr>
              <w:t>0.63</w:t>
            </w:r>
          </w:p>
        </w:tc>
        <w:tc>
          <w:tcPr>
            <w:tcW w:w="990" w:type="dxa"/>
            <w:shd w:val="clear" w:color="auto" w:fill="auto"/>
          </w:tcPr>
          <w:p w:rsidR="00F80A22" w:rsidRDefault="00F80A22" w:rsidP="00090754">
            <w:pPr>
              <w:jc w:val="right"/>
              <w:rPr>
                <w:rFonts w:ascii="Arial" w:hAnsi="Arial" w:cs="Arial"/>
              </w:rPr>
            </w:pPr>
            <w:r>
              <w:rPr>
                <w:rFonts w:ascii="Arial" w:hAnsi="Arial" w:cs="Arial"/>
              </w:rPr>
              <w:t>20.02</w:t>
            </w:r>
          </w:p>
        </w:tc>
        <w:tc>
          <w:tcPr>
            <w:tcW w:w="989" w:type="dxa"/>
            <w:shd w:val="clear" w:color="auto" w:fill="auto"/>
          </w:tcPr>
          <w:p w:rsidR="00F80A22" w:rsidRDefault="00F80A22" w:rsidP="00090754">
            <w:pPr>
              <w:jc w:val="right"/>
              <w:rPr>
                <w:rFonts w:ascii="Arial" w:hAnsi="Arial" w:cs="Arial"/>
              </w:rPr>
            </w:pPr>
            <w:r>
              <w:rPr>
                <w:rFonts w:ascii="Arial" w:hAnsi="Arial" w:cs="Arial"/>
              </w:rPr>
              <w:t>32.98</w:t>
            </w:r>
          </w:p>
        </w:tc>
        <w:tc>
          <w:tcPr>
            <w:tcW w:w="989" w:type="dxa"/>
            <w:shd w:val="clear" w:color="auto" w:fill="auto"/>
          </w:tcPr>
          <w:p w:rsidR="00F80A22" w:rsidRDefault="00F80A22" w:rsidP="00090754">
            <w:pPr>
              <w:jc w:val="right"/>
              <w:rPr>
                <w:rFonts w:ascii="Arial" w:hAnsi="Arial" w:cs="Arial"/>
              </w:rPr>
            </w:pPr>
            <w:r>
              <w:rPr>
                <w:rFonts w:ascii="Arial" w:hAnsi="Arial" w:cs="Arial"/>
              </w:rPr>
              <w:t>132.4</w:t>
            </w:r>
          </w:p>
        </w:tc>
        <w:tc>
          <w:tcPr>
            <w:tcW w:w="990" w:type="dxa"/>
          </w:tcPr>
          <w:p w:rsidR="00F80A22" w:rsidRDefault="00F80A22" w:rsidP="00090754">
            <w:pPr>
              <w:jc w:val="right"/>
              <w:rPr>
                <w:rFonts w:ascii="Arial" w:hAnsi="Arial" w:cs="Arial"/>
              </w:rPr>
            </w:pPr>
            <w:r>
              <w:rPr>
                <w:rFonts w:ascii="Arial" w:hAnsi="Arial" w:cs="Arial"/>
              </w:rPr>
              <w:t>18.0</w:t>
            </w:r>
          </w:p>
        </w:tc>
      </w:tr>
      <w:tr w:rsidR="00F80A22" w:rsidRPr="00470D95" w:rsidTr="00090754">
        <w:trPr>
          <w:jc w:val="center"/>
        </w:trPr>
        <w:tc>
          <w:tcPr>
            <w:tcW w:w="3964" w:type="dxa"/>
          </w:tcPr>
          <w:p w:rsidR="00F80A22" w:rsidRPr="003C73AF" w:rsidRDefault="00F80A22" w:rsidP="00090754">
            <w:pPr>
              <w:rPr>
                <w:rFonts w:ascii="Arial" w:hAnsi="Arial" w:cs="Arial"/>
              </w:rPr>
            </w:pPr>
            <w:r w:rsidRPr="003C73AF">
              <w:rPr>
                <w:rFonts w:ascii="Arial" w:hAnsi="Arial" w:cs="Arial"/>
              </w:rPr>
              <w:t xml:space="preserve">Fruit Flies </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4.15</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0.89</w:t>
            </w:r>
          </w:p>
        </w:tc>
        <w:tc>
          <w:tcPr>
            <w:tcW w:w="990"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3.26</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4.64</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23.7</w:t>
            </w:r>
          </w:p>
        </w:tc>
        <w:tc>
          <w:tcPr>
            <w:tcW w:w="990" w:type="dxa"/>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10.8</w:t>
            </w:r>
          </w:p>
        </w:tc>
      </w:tr>
      <w:tr w:rsidR="00F80A22" w:rsidRPr="00470D95" w:rsidTr="00090754">
        <w:trPr>
          <w:jc w:val="center"/>
        </w:trPr>
        <w:tc>
          <w:tcPr>
            <w:tcW w:w="3964" w:type="dxa"/>
          </w:tcPr>
          <w:p w:rsidR="00F80A22" w:rsidRPr="003C73AF" w:rsidRDefault="00F80A22" w:rsidP="00090754">
            <w:pPr>
              <w:rPr>
                <w:rFonts w:ascii="Arial" w:hAnsi="Arial" w:cs="Arial"/>
              </w:rPr>
            </w:pPr>
            <w:r w:rsidRPr="003C73AF">
              <w:rPr>
                <w:rFonts w:ascii="Arial" w:hAnsi="Arial" w:cs="Arial"/>
              </w:rPr>
              <w:t xml:space="preserve">Central Qld Cotton </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20.24</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1.18</w:t>
            </w:r>
          </w:p>
        </w:tc>
        <w:tc>
          <w:tcPr>
            <w:tcW w:w="990"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19.06</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17.13</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69.0</w:t>
            </w:r>
          </w:p>
        </w:tc>
        <w:tc>
          <w:tcPr>
            <w:tcW w:w="990" w:type="dxa"/>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15.4</w:t>
            </w:r>
          </w:p>
        </w:tc>
      </w:tr>
      <w:tr w:rsidR="00F80A22" w:rsidRPr="00470D95" w:rsidTr="00090754">
        <w:trPr>
          <w:jc w:val="center"/>
        </w:trPr>
        <w:tc>
          <w:tcPr>
            <w:tcW w:w="3964" w:type="dxa"/>
          </w:tcPr>
          <w:p w:rsidR="00F80A22" w:rsidRPr="003C73AF" w:rsidRDefault="00F80A22" w:rsidP="00090754">
            <w:pPr>
              <w:rPr>
                <w:rFonts w:ascii="Arial" w:hAnsi="Arial" w:cs="Arial"/>
              </w:rPr>
            </w:pPr>
            <w:r w:rsidRPr="003C73AF">
              <w:rPr>
                <w:rFonts w:ascii="Arial" w:hAnsi="Arial" w:cs="Arial"/>
              </w:rPr>
              <w:t>C4 Milk</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29.90</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5.78</w:t>
            </w:r>
          </w:p>
        </w:tc>
        <w:tc>
          <w:tcPr>
            <w:tcW w:w="990"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24.11</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5.17</w:t>
            </w:r>
          </w:p>
        </w:tc>
        <w:tc>
          <w:tcPr>
            <w:tcW w:w="989" w:type="dxa"/>
            <w:shd w:val="clear" w:color="auto" w:fill="auto"/>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25.9</w:t>
            </w:r>
          </w:p>
        </w:tc>
        <w:tc>
          <w:tcPr>
            <w:tcW w:w="990" w:type="dxa"/>
          </w:tcPr>
          <w:p w:rsidR="00F80A22" w:rsidRPr="00470D95" w:rsidRDefault="00F80A22" w:rsidP="00090754">
            <w:pPr>
              <w:jc w:val="right"/>
              <w:rPr>
                <w:rFonts w:ascii="Arial" w:hAnsi="Arial" w:cs="Arial"/>
                <w:color w:val="000000" w:themeColor="text1"/>
              </w:rPr>
            </w:pPr>
            <w:r w:rsidRPr="00470D95">
              <w:rPr>
                <w:rFonts w:ascii="Arial" w:hAnsi="Arial" w:cs="Arial"/>
                <w:color w:val="000000" w:themeColor="text1"/>
              </w:rPr>
              <w:t>11.4</w:t>
            </w:r>
          </w:p>
        </w:tc>
      </w:tr>
      <w:tr w:rsidR="00F80A22" w:rsidRPr="00C1669B" w:rsidTr="00090754">
        <w:trPr>
          <w:jc w:val="center"/>
        </w:trPr>
        <w:tc>
          <w:tcPr>
            <w:tcW w:w="3964" w:type="dxa"/>
          </w:tcPr>
          <w:p w:rsidR="00F80A22" w:rsidRPr="003C73AF" w:rsidRDefault="00F80A22" w:rsidP="00090754">
            <w:pPr>
              <w:rPr>
                <w:rFonts w:ascii="Arial" w:hAnsi="Arial" w:cs="Arial"/>
              </w:rPr>
            </w:pPr>
            <w:r w:rsidRPr="003C73AF">
              <w:rPr>
                <w:rFonts w:ascii="Arial" w:hAnsi="Arial" w:cs="Arial"/>
              </w:rPr>
              <w:t>Sweet</w:t>
            </w:r>
            <w:r>
              <w:rPr>
                <w:rFonts w:ascii="Arial" w:hAnsi="Arial" w:cs="Arial"/>
              </w:rPr>
              <w:t>p</w:t>
            </w:r>
            <w:r w:rsidRPr="003C73AF">
              <w:rPr>
                <w:rFonts w:ascii="Arial" w:hAnsi="Arial" w:cs="Arial"/>
              </w:rPr>
              <w:t xml:space="preserve">otato  </w:t>
            </w:r>
          </w:p>
        </w:tc>
        <w:tc>
          <w:tcPr>
            <w:tcW w:w="989" w:type="dxa"/>
            <w:shd w:val="clear" w:color="auto" w:fill="auto"/>
          </w:tcPr>
          <w:p w:rsidR="00F80A22" w:rsidRPr="00C1669B" w:rsidRDefault="00F80A22" w:rsidP="00090754">
            <w:pPr>
              <w:jc w:val="right"/>
              <w:rPr>
                <w:rFonts w:ascii="Arial" w:hAnsi="Arial" w:cs="Arial"/>
              </w:rPr>
            </w:pPr>
            <w:r>
              <w:rPr>
                <w:rFonts w:ascii="Arial" w:hAnsi="Arial" w:cs="Arial"/>
              </w:rPr>
              <w:t>133.08</w:t>
            </w:r>
          </w:p>
        </w:tc>
        <w:tc>
          <w:tcPr>
            <w:tcW w:w="989" w:type="dxa"/>
            <w:shd w:val="clear" w:color="auto" w:fill="auto"/>
          </w:tcPr>
          <w:p w:rsidR="00F80A22" w:rsidRPr="00C1669B" w:rsidRDefault="00F80A22" w:rsidP="00090754">
            <w:pPr>
              <w:jc w:val="right"/>
              <w:rPr>
                <w:rFonts w:ascii="Arial" w:hAnsi="Arial" w:cs="Arial"/>
              </w:rPr>
            </w:pPr>
            <w:r>
              <w:rPr>
                <w:rFonts w:ascii="Arial" w:hAnsi="Arial" w:cs="Arial"/>
              </w:rPr>
              <w:t>15.25</w:t>
            </w:r>
          </w:p>
        </w:tc>
        <w:tc>
          <w:tcPr>
            <w:tcW w:w="990" w:type="dxa"/>
            <w:shd w:val="clear" w:color="auto" w:fill="auto"/>
          </w:tcPr>
          <w:p w:rsidR="00F80A22" w:rsidRPr="00C1669B" w:rsidRDefault="00F80A22" w:rsidP="00090754">
            <w:pPr>
              <w:jc w:val="right"/>
              <w:rPr>
                <w:rFonts w:ascii="Arial" w:hAnsi="Arial" w:cs="Arial"/>
              </w:rPr>
            </w:pPr>
            <w:r>
              <w:rPr>
                <w:rFonts w:ascii="Arial" w:hAnsi="Arial" w:cs="Arial"/>
              </w:rPr>
              <w:t>117.83</w:t>
            </w:r>
          </w:p>
        </w:tc>
        <w:tc>
          <w:tcPr>
            <w:tcW w:w="989" w:type="dxa"/>
            <w:shd w:val="clear" w:color="auto" w:fill="auto"/>
          </w:tcPr>
          <w:p w:rsidR="00F80A22" w:rsidRPr="00C1669B" w:rsidRDefault="00F80A22" w:rsidP="00090754">
            <w:pPr>
              <w:jc w:val="right"/>
              <w:rPr>
                <w:rFonts w:ascii="Arial" w:hAnsi="Arial" w:cs="Arial"/>
              </w:rPr>
            </w:pPr>
            <w:r>
              <w:rPr>
                <w:rFonts w:ascii="Arial" w:hAnsi="Arial" w:cs="Arial"/>
              </w:rPr>
              <w:t>8.73</w:t>
            </w:r>
          </w:p>
        </w:tc>
        <w:tc>
          <w:tcPr>
            <w:tcW w:w="989" w:type="dxa"/>
            <w:shd w:val="clear" w:color="auto" w:fill="auto"/>
          </w:tcPr>
          <w:p w:rsidR="00F80A22" w:rsidRPr="00C1669B" w:rsidRDefault="00F80A22" w:rsidP="00090754">
            <w:pPr>
              <w:jc w:val="right"/>
              <w:rPr>
                <w:rFonts w:ascii="Arial" w:hAnsi="Arial" w:cs="Arial"/>
              </w:rPr>
            </w:pPr>
            <w:r>
              <w:rPr>
                <w:rFonts w:ascii="Arial" w:hAnsi="Arial" w:cs="Arial"/>
              </w:rPr>
              <w:t>nc</w:t>
            </w:r>
          </w:p>
        </w:tc>
        <w:tc>
          <w:tcPr>
            <w:tcW w:w="990" w:type="dxa"/>
          </w:tcPr>
          <w:p w:rsidR="00F80A22" w:rsidRPr="00C1669B" w:rsidRDefault="00F80A22" w:rsidP="00090754">
            <w:pPr>
              <w:jc w:val="right"/>
              <w:rPr>
                <w:rFonts w:ascii="Arial" w:hAnsi="Arial" w:cs="Arial"/>
              </w:rPr>
            </w:pPr>
            <w:r>
              <w:rPr>
                <w:rFonts w:ascii="Arial" w:hAnsi="Arial" w:cs="Arial"/>
              </w:rPr>
              <w:t>23.6</w:t>
            </w:r>
          </w:p>
        </w:tc>
      </w:tr>
      <w:tr w:rsidR="00F80A22" w:rsidRPr="00C1669B" w:rsidTr="00090754">
        <w:trPr>
          <w:jc w:val="center"/>
        </w:trPr>
        <w:tc>
          <w:tcPr>
            <w:tcW w:w="3964" w:type="dxa"/>
            <w:tcBorders>
              <w:bottom w:val="double" w:sz="4" w:space="0" w:color="auto"/>
            </w:tcBorders>
          </w:tcPr>
          <w:p w:rsidR="00F80A22" w:rsidRPr="003C73AF" w:rsidRDefault="00F80A22" w:rsidP="00090754">
            <w:pPr>
              <w:rPr>
                <w:rFonts w:ascii="Arial" w:hAnsi="Arial" w:cs="Arial"/>
              </w:rPr>
            </w:pPr>
            <w:r w:rsidRPr="003C73AF">
              <w:rPr>
                <w:rFonts w:ascii="Arial" w:hAnsi="Arial" w:cs="Arial"/>
              </w:rPr>
              <w:t xml:space="preserve">Plum Breeding  </w:t>
            </w:r>
          </w:p>
        </w:tc>
        <w:tc>
          <w:tcPr>
            <w:tcW w:w="989" w:type="dxa"/>
            <w:tcBorders>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255.71</w:t>
            </w:r>
          </w:p>
        </w:tc>
        <w:tc>
          <w:tcPr>
            <w:tcW w:w="989" w:type="dxa"/>
            <w:tcBorders>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19.71</w:t>
            </w:r>
          </w:p>
        </w:tc>
        <w:tc>
          <w:tcPr>
            <w:tcW w:w="990" w:type="dxa"/>
            <w:tcBorders>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236.00</w:t>
            </w:r>
          </w:p>
        </w:tc>
        <w:tc>
          <w:tcPr>
            <w:tcW w:w="989" w:type="dxa"/>
            <w:tcBorders>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12.97</w:t>
            </w:r>
          </w:p>
        </w:tc>
        <w:tc>
          <w:tcPr>
            <w:tcW w:w="989" w:type="dxa"/>
            <w:tcBorders>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12.4</w:t>
            </w:r>
          </w:p>
        </w:tc>
        <w:tc>
          <w:tcPr>
            <w:tcW w:w="990" w:type="dxa"/>
            <w:tcBorders>
              <w:bottom w:val="double" w:sz="4" w:space="0" w:color="auto"/>
            </w:tcBorders>
          </w:tcPr>
          <w:p w:rsidR="00F80A22" w:rsidRPr="00C1669B" w:rsidRDefault="00F80A22" w:rsidP="00090754">
            <w:pPr>
              <w:jc w:val="right"/>
              <w:rPr>
                <w:rFonts w:ascii="Arial" w:hAnsi="Arial" w:cs="Arial"/>
              </w:rPr>
            </w:pPr>
            <w:r>
              <w:rPr>
                <w:rFonts w:ascii="Arial" w:hAnsi="Arial" w:cs="Arial"/>
              </w:rPr>
              <w:t>14.7</w:t>
            </w:r>
          </w:p>
        </w:tc>
      </w:tr>
      <w:tr w:rsidR="00F80A22" w:rsidRPr="00C1669B" w:rsidTr="00090754">
        <w:trPr>
          <w:jc w:val="center"/>
        </w:trPr>
        <w:tc>
          <w:tcPr>
            <w:tcW w:w="3964" w:type="dxa"/>
            <w:tcBorders>
              <w:top w:val="double" w:sz="4" w:space="0" w:color="auto"/>
              <w:left w:val="double" w:sz="4" w:space="0" w:color="auto"/>
              <w:bottom w:val="double" w:sz="4" w:space="0" w:color="auto"/>
            </w:tcBorders>
          </w:tcPr>
          <w:p w:rsidR="00F80A22" w:rsidRPr="00A93D3C" w:rsidRDefault="00F80A22" w:rsidP="00090754">
            <w:pPr>
              <w:rPr>
                <w:rFonts w:ascii="Arial" w:hAnsi="Arial" w:cs="Arial"/>
                <w:b/>
              </w:rPr>
            </w:pPr>
            <w:r w:rsidRPr="00A93D3C">
              <w:rPr>
                <w:rFonts w:ascii="Arial" w:hAnsi="Arial" w:cs="Arial"/>
                <w:b/>
              </w:rPr>
              <w:t xml:space="preserve">Aggregate (Total investment in all </w:t>
            </w:r>
            <w:r>
              <w:rPr>
                <w:rFonts w:ascii="Arial" w:hAnsi="Arial" w:cs="Arial"/>
                <w:b/>
              </w:rPr>
              <w:t>Project/Cluster Investments</w:t>
            </w:r>
            <w:r w:rsidRPr="00A93D3C">
              <w:rPr>
                <w:rFonts w:ascii="Arial" w:hAnsi="Arial" w:cs="Arial"/>
                <w:b/>
              </w:rPr>
              <w:t xml:space="preserve">) </w:t>
            </w:r>
          </w:p>
        </w:tc>
        <w:tc>
          <w:tcPr>
            <w:tcW w:w="989" w:type="dxa"/>
            <w:tcBorders>
              <w:top w:val="double" w:sz="4" w:space="0" w:color="auto"/>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463.73</w:t>
            </w:r>
          </w:p>
        </w:tc>
        <w:tc>
          <w:tcPr>
            <w:tcW w:w="989" w:type="dxa"/>
            <w:tcBorders>
              <w:top w:val="double" w:sz="4" w:space="0" w:color="auto"/>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43.44</w:t>
            </w:r>
          </w:p>
        </w:tc>
        <w:tc>
          <w:tcPr>
            <w:tcW w:w="990" w:type="dxa"/>
            <w:tcBorders>
              <w:top w:val="double" w:sz="4" w:space="0" w:color="auto"/>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420.2</w:t>
            </w:r>
            <w:r w:rsidR="008244A4">
              <w:rPr>
                <w:rFonts w:ascii="Arial" w:hAnsi="Arial" w:cs="Arial"/>
              </w:rPr>
              <w:t>9</w:t>
            </w:r>
          </w:p>
        </w:tc>
        <w:tc>
          <w:tcPr>
            <w:tcW w:w="989" w:type="dxa"/>
            <w:tcBorders>
              <w:top w:val="double" w:sz="4" w:space="0" w:color="auto"/>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10.68</w:t>
            </w:r>
          </w:p>
        </w:tc>
        <w:tc>
          <w:tcPr>
            <w:tcW w:w="989" w:type="dxa"/>
            <w:tcBorders>
              <w:top w:val="double" w:sz="4" w:space="0" w:color="auto"/>
              <w:bottom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14.7</w:t>
            </w:r>
          </w:p>
        </w:tc>
        <w:tc>
          <w:tcPr>
            <w:tcW w:w="990" w:type="dxa"/>
            <w:tcBorders>
              <w:top w:val="double" w:sz="4" w:space="0" w:color="auto"/>
              <w:bottom w:val="double" w:sz="4" w:space="0" w:color="auto"/>
              <w:right w:val="double" w:sz="4" w:space="0" w:color="auto"/>
            </w:tcBorders>
            <w:shd w:val="clear" w:color="auto" w:fill="auto"/>
          </w:tcPr>
          <w:p w:rsidR="00F80A22" w:rsidRPr="00C1669B" w:rsidRDefault="00F80A22" w:rsidP="00090754">
            <w:pPr>
              <w:jc w:val="right"/>
              <w:rPr>
                <w:rFonts w:ascii="Arial" w:hAnsi="Arial" w:cs="Arial"/>
              </w:rPr>
            </w:pPr>
            <w:r>
              <w:rPr>
                <w:rFonts w:ascii="Arial" w:hAnsi="Arial" w:cs="Arial"/>
              </w:rPr>
              <w:t>14.4</w:t>
            </w:r>
          </w:p>
        </w:tc>
      </w:tr>
    </w:tbl>
    <w:p w:rsidR="00F80A22" w:rsidRPr="002B1931" w:rsidRDefault="00F80A22" w:rsidP="00F80A22">
      <w:pPr>
        <w:jc w:val="center"/>
        <w:rPr>
          <w:rFonts w:ascii="Arial" w:hAnsi="Arial" w:cs="Arial"/>
          <w:sz w:val="20"/>
          <w:szCs w:val="20"/>
        </w:rPr>
      </w:pPr>
      <w:r w:rsidRPr="002B1931">
        <w:rPr>
          <w:rFonts w:ascii="Arial" w:hAnsi="Arial" w:cs="Arial"/>
          <w:sz w:val="20"/>
          <w:szCs w:val="20"/>
        </w:rPr>
        <w:t xml:space="preserve">nc.  not calculable </w:t>
      </w:r>
    </w:p>
    <w:p w:rsidR="00F80A22" w:rsidRPr="008244A4" w:rsidRDefault="00F80A22" w:rsidP="00AD547D">
      <w:pPr>
        <w:jc w:val="center"/>
        <w:rPr>
          <w:rFonts w:ascii="Arial" w:hAnsi="Arial" w:cs="Arial"/>
        </w:rPr>
      </w:pPr>
    </w:p>
    <w:p w:rsidR="00F80A22" w:rsidRPr="008244A4" w:rsidRDefault="00F80A22" w:rsidP="00AD547D">
      <w:pPr>
        <w:jc w:val="center"/>
        <w:rPr>
          <w:rFonts w:ascii="Arial" w:hAnsi="Arial" w:cs="Arial"/>
        </w:rPr>
      </w:pPr>
    </w:p>
    <w:p w:rsidR="00AD547D" w:rsidRPr="008244A4" w:rsidRDefault="00AD547D" w:rsidP="005173A2">
      <w:pPr>
        <w:spacing w:after="240"/>
        <w:jc w:val="center"/>
        <w:rPr>
          <w:rFonts w:ascii="Arial" w:hAnsi="Arial" w:cs="Arial"/>
        </w:rPr>
      </w:pPr>
      <w:r w:rsidRPr="008244A4">
        <w:rPr>
          <w:rFonts w:ascii="Arial" w:hAnsi="Arial" w:cs="Arial"/>
        </w:rPr>
        <w:t xml:space="preserve">Investment Criteria for </w:t>
      </w:r>
      <w:r w:rsidR="00B158DE" w:rsidRPr="008244A4">
        <w:rPr>
          <w:rFonts w:ascii="Arial" w:hAnsi="Arial" w:cs="Arial"/>
        </w:rPr>
        <w:t>DAF</w:t>
      </w:r>
      <w:r w:rsidRPr="008244A4">
        <w:rPr>
          <w:rFonts w:ascii="Arial" w:hAnsi="Arial" w:cs="Arial"/>
        </w:rPr>
        <w:t xml:space="preserve"> Investment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968"/>
        <w:gridCol w:w="969"/>
        <w:gridCol w:w="968"/>
        <w:gridCol w:w="969"/>
        <w:gridCol w:w="968"/>
        <w:gridCol w:w="969"/>
      </w:tblGrid>
      <w:tr w:rsidR="00F80A22" w:rsidRPr="008244A4" w:rsidTr="00090754">
        <w:trPr>
          <w:jc w:val="center"/>
        </w:trPr>
        <w:tc>
          <w:tcPr>
            <w:tcW w:w="3823" w:type="dxa"/>
          </w:tcPr>
          <w:p w:rsidR="00F80A22" w:rsidRPr="008244A4" w:rsidRDefault="00F80A22" w:rsidP="005173A2">
            <w:pPr>
              <w:rPr>
                <w:rFonts w:ascii="Arial" w:hAnsi="Arial" w:cs="Arial"/>
                <w:b/>
              </w:rPr>
            </w:pPr>
            <w:r w:rsidRPr="008244A4">
              <w:rPr>
                <w:rFonts w:ascii="Arial" w:hAnsi="Arial" w:cs="Arial"/>
                <w:b/>
              </w:rPr>
              <w:t xml:space="preserve">Investment Project </w:t>
            </w:r>
          </w:p>
        </w:tc>
        <w:tc>
          <w:tcPr>
            <w:tcW w:w="968" w:type="dxa"/>
          </w:tcPr>
          <w:p w:rsidR="00F80A22" w:rsidRPr="008244A4" w:rsidRDefault="00F80A22" w:rsidP="00090754">
            <w:pPr>
              <w:jc w:val="center"/>
              <w:rPr>
                <w:rFonts w:ascii="Arial" w:hAnsi="Arial" w:cs="Arial"/>
                <w:b/>
              </w:rPr>
            </w:pPr>
            <w:r w:rsidRPr="008244A4">
              <w:rPr>
                <w:rFonts w:ascii="Arial" w:hAnsi="Arial" w:cs="Arial"/>
                <w:b/>
              </w:rPr>
              <w:t>PVB ($m)</w:t>
            </w:r>
          </w:p>
        </w:tc>
        <w:tc>
          <w:tcPr>
            <w:tcW w:w="969" w:type="dxa"/>
          </w:tcPr>
          <w:p w:rsidR="00F80A22" w:rsidRPr="008244A4" w:rsidRDefault="00F80A22" w:rsidP="00090754">
            <w:pPr>
              <w:jc w:val="center"/>
              <w:rPr>
                <w:rFonts w:ascii="Arial" w:hAnsi="Arial" w:cs="Arial"/>
                <w:b/>
              </w:rPr>
            </w:pPr>
            <w:r w:rsidRPr="008244A4">
              <w:rPr>
                <w:rFonts w:ascii="Arial" w:hAnsi="Arial" w:cs="Arial"/>
                <w:b/>
              </w:rPr>
              <w:t>PVC ($m)</w:t>
            </w:r>
          </w:p>
        </w:tc>
        <w:tc>
          <w:tcPr>
            <w:tcW w:w="968" w:type="dxa"/>
          </w:tcPr>
          <w:p w:rsidR="00F80A22" w:rsidRPr="008244A4" w:rsidRDefault="00F80A22" w:rsidP="00090754">
            <w:pPr>
              <w:jc w:val="center"/>
              <w:rPr>
                <w:rFonts w:ascii="Arial" w:hAnsi="Arial" w:cs="Arial"/>
                <w:b/>
              </w:rPr>
            </w:pPr>
            <w:r w:rsidRPr="008244A4">
              <w:rPr>
                <w:rFonts w:ascii="Arial" w:hAnsi="Arial" w:cs="Arial"/>
                <w:b/>
              </w:rPr>
              <w:t>NPV ($m)</w:t>
            </w:r>
          </w:p>
        </w:tc>
        <w:tc>
          <w:tcPr>
            <w:tcW w:w="969" w:type="dxa"/>
          </w:tcPr>
          <w:p w:rsidR="00F80A22" w:rsidRPr="008244A4" w:rsidRDefault="00F80A22" w:rsidP="00090754">
            <w:pPr>
              <w:jc w:val="center"/>
              <w:rPr>
                <w:rFonts w:ascii="Arial" w:hAnsi="Arial" w:cs="Arial"/>
                <w:b/>
              </w:rPr>
            </w:pPr>
            <w:r w:rsidRPr="008244A4">
              <w:rPr>
                <w:rFonts w:ascii="Arial" w:hAnsi="Arial" w:cs="Arial"/>
                <w:b/>
              </w:rPr>
              <w:t>BCR</w:t>
            </w:r>
          </w:p>
        </w:tc>
        <w:tc>
          <w:tcPr>
            <w:tcW w:w="968" w:type="dxa"/>
          </w:tcPr>
          <w:p w:rsidR="00F80A22" w:rsidRPr="008244A4" w:rsidRDefault="00F80A22" w:rsidP="00090754">
            <w:pPr>
              <w:jc w:val="center"/>
              <w:rPr>
                <w:rFonts w:ascii="Arial" w:hAnsi="Arial" w:cs="Arial"/>
                <w:b/>
              </w:rPr>
            </w:pPr>
            <w:r w:rsidRPr="008244A4">
              <w:rPr>
                <w:rFonts w:ascii="Arial" w:hAnsi="Arial" w:cs="Arial"/>
                <w:b/>
              </w:rPr>
              <w:t>IRR (%)</w:t>
            </w:r>
          </w:p>
        </w:tc>
        <w:tc>
          <w:tcPr>
            <w:tcW w:w="969" w:type="dxa"/>
          </w:tcPr>
          <w:p w:rsidR="00F80A22" w:rsidRPr="008244A4" w:rsidRDefault="00F80A22" w:rsidP="00090754">
            <w:pPr>
              <w:jc w:val="center"/>
              <w:rPr>
                <w:rFonts w:ascii="Arial" w:hAnsi="Arial" w:cs="Arial"/>
                <w:b/>
              </w:rPr>
            </w:pPr>
            <w:r w:rsidRPr="008244A4">
              <w:rPr>
                <w:rFonts w:ascii="Arial" w:hAnsi="Arial" w:cs="Arial"/>
                <w:b/>
              </w:rPr>
              <w:t>MIRR</w:t>
            </w:r>
          </w:p>
          <w:p w:rsidR="00F80A22" w:rsidRPr="008244A4" w:rsidRDefault="00F80A22" w:rsidP="00090754">
            <w:pPr>
              <w:jc w:val="center"/>
              <w:rPr>
                <w:rFonts w:ascii="Arial" w:hAnsi="Arial" w:cs="Arial"/>
                <w:b/>
              </w:rPr>
            </w:pPr>
            <w:r w:rsidRPr="008244A4">
              <w:rPr>
                <w:rFonts w:ascii="Arial" w:hAnsi="Arial" w:cs="Arial"/>
                <w:b/>
              </w:rPr>
              <w:t>(%)</w:t>
            </w:r>
          </w:p>
        </w:tc>
      </w:tr>
      <w:tr w:rsidR="00F80A22" w:rsidRPr="008244A4" w:rsidTr="00090754">
        <w:trPr>
          <w:jc w:val="center"/>
        </w:trPr>
        <w:tc>
          <w:tcPr>
            <w:tcW w:w="3823" w:type="dxa"/>
          </w:tcPr>
          <w:p w:rsidR="00F80A22" w:rsidRPr="008244A4" w:rsidRDefault="00F80A22" w:rsidP="00090754">
            <w:r w:rsidRPr="008244A4">
              <w:rPr>
                <w:rFonts w:ascii="Arial" w:hAnsi="Arial" w:cs="Arial"/>
              </w:rPr>
              <w:t>Mud Crabs</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13.63</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0.41</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13.22</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32.93</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130.1</w:t>
            </w:r>
          </w:p>
        </w:tc>
        <w:tc>
          <w:tcPr>
            <w:tcW w:w="969" w:type="dxa"/>
          </w:tcPr>
          <w:p w:rsidR="00F80A22" w:rsidRPr="008244A4" w:rsidRDefault="00F80A22" w:rsidP="00090754">
            <w:pPr>
              <w:jc w:val="right"/>
              <w:rPr>
                <w:rFonts w:ascii="Arial" w:hAnsi="Arial" w:cs="Arial"/>
              </w:rPr>
            </w:pPr>
            <w:r w:rsidRPr="008244A4">
              <w:rPr>
                <w:rFonts w:ascii="Arial" w:hAnsi="Arial" w:cs="Arial"/>
              </w:rPr>
              <w:t>18.0</w:t>
            </w:r>
          </w:p>
        </w:tc>
      </w:tr>
      <w:tr w:rsidR="00F80A22" w:rsidRPr="008244A4" w:rsidTr="00090754">
        <w:trPr>
          <w:jc w:val="center"/>
        </w:trPr>
        <w:tc>
          <w:tcPr>
            <w:tcW w:w="3823" w:type="dxa"/>
          </w:tcPr>
          <w:p w:rsidR="00F80A22" w:rsidRPr="008244A4" w:rsidRDefault="00F80A22" w:rsidP="00090754">
            <w:r w:rsidRPr="008244A4">
              <w:rPr>
                <w:rFonts w:ascii="Arial" w:hAnsi="Arial" w:cs="Arial"/>
              </w:rPr>
              <w:t xml:space="preserve">Fruit Flies </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1.72</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0.37</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1.35</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4.65</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23.4</w:t>
            </w:r>
          </w:p>
        </w:tc>
        <w:tc>
          <w:tcPr>
            <w:tcW w:w="969" w:type="dxa"/>
          </w:tcPr>
          <w:p w:rsidR="00F80A22" w:rsidRPr="008244A4" w:rsidRDefault="00F80A22" w:rsidP="00090754">
            <w:pPr>
              <w:jc w:val="right"/>
              <w:rPr>
                <w:rFonts w:ascii="Arial" w:hAnsi="Arial" w:cs="Arial"/>
              </w:rPr>
            </w:pPr>
            <w:r w:rsidRPr="008244A4">
              <w:rPr>
                <w:rFonts w:ascii="Arial" w:hAnsi="Arial" w:cs="Arial"/>
              </w:rPr>
              <w:t>10.8</w:t>
            </w:r>
          </w:p>
        </w:tc>
      </w:tr>
      <w:tr w:rsidR="00F80A22" w:rsidRPr="008244A4" w:rsidTr="00090754">
        <w:trPr>
          <w:jc w:val="center"/>
        </w:trPr>
        <w:tc>
          <w:tcPr>
            <w:tcW w:w="3823" w:type="dxa"/>
          </w:tcPr>
          <w:p w:rsidR="00F80A22" w:rsidRPr="008244A4" w:rsidRDefault="00F80A22" w:rsidP="00090754">
            <w:r w:rsidRPr="008244A4">
              <w:rPr>
                <w:rFonts w:ascii="Arial" w:hAnsi="Arial" w:cs="Arial"/>
              </w:rPr>
              <w:t xml:space="preserve">Central Qld Cotton </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7.70</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0.45</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7.25</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17.18</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69.5</w:t>
            </w:r>
          </w:p>
        </w:tc>
        <w:tc>
          <w:tcPr>
            <w:tcW w:w="969" w:type="dxa"/>
          </w:tcPr>
          <w:p w:rsidR="00F80A22" w:rsidRPr="008244A4" w:rsidRDefault="00F80A22" w:rsidP="00090754">
            <w:pPr>
              <w:jc w:val="right"/>
              <w:rPr>
                <w:rFonts w:ascii="Arial" w:hAnsi="Arial" w:cs="Arial"/>
              </w:rPr>
            </w:pPr>
            <w:r w:rsidRPr="008244A4">
              <w:rPr>
                <w:rFonts w:ascii="Arial" w:hAnsi="Arial" w:cs="Arial"/>
              </w:rPr>
              <w:t>15.4</w:t>
            </w:r>
          </w:p>
        </w:tc>
      </w:tr>
      <w:tr w:rsidR="00F80A22" w:rsidRPr="008244A4" w:rsidTr="00090754">
        <w:trPr>
          <w:jc w:val="center"/>
        </w:trPr>
        <w:tc>
          <w:tcPr>
            <w:tcW w:w="3823" w:type="dxa"/>
          </w:tcPr>
          <w:p w:rsidR="00F80A22" w:rsidRPr="008244A4" w:rsidRDefault="00F80A22" w:rsidP="00090754">
            <w:r w:rsidRPr="008244A4">
              <w:rPr>
                <w:rFonts w:ascii="Arial" w:hAnsi="Arial" w:cs="Arial"/>
              </w:rPr>
              <w:t>C4 Milk</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21.06</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4.07</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16.99</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5.17</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25.9</w:t>
            </w:r>
          </w:p>
        </w:tc>
        <w:tc>
          <w:tcPr>
            <w:tcW w:w="969" w:type="dxa"/>
          </w:tcPr>
          <w:p w:rsidR="00F80A22" w:rsidRPr="008244A4" w:rsidRDefault="00F80A22" w:rsidP="00090754">
            <w:pPr>
              <w:jc w:val="right"/>
              <w:rPr>
                <w:rFonts w:ascii="Arial" w:hAnsi="Arial" w:cs="Arial"/>
              </w:rPr>
            </w:pPr>
            <w:r w:rsidRPr="008244A4">
              <w:rPr>
                <w:rFonts w:ascii="Arial" w:hAnsi="Arial" w:cs="Arial"/>
              </w:rPr>
              <w:t>11.4</w:t>
            </w:r>
          </w:p>
        </w:tc>
      </w:tr>
      <w:tr w:rsidR="00F80A22" w:rsidRPr="008244A4" w:rsidTr="00090754">
        <w:trPr>
          <w:jc w:val="center"/>
        </w:trPr>
        <w:tc>
          <w:tcPr>
            <w:tcW w:w="3823" w:type="dxa"/>
          </w:tcPr>
          <w:p w:rsidR="00F80A22" w:rsidRPr="008244A4" w:rsidRDefault="00F80A22" w:rsidP="00090754">
            <w:pPr>
              <w:rPr>
                <w:rFonts w:ascii="Arial" w:hAnsi="Arial" w:cs="Arial"/>
              </w:rPr>
            </w:pPr>
            <w:r w:rsidRPr="008244A4">
              <w:rPr>
                <w:rFonts w:ascii="Arial" w:hAnsi="Arial" w:cs="Arial"/>
              </w:rPr>
              <w:t xml:space="preserve">Sweetpotato  </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58.15</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6.67</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51.48</w:t>
            </w:r>
          </w:p>
        </w:tc>
        <w:tc>
          <w:tcPr>
            <w:tcW w:w="969" w:type="dxa"/>
            <w:shd w:val="clear" w:color="auto" w:fill="auto"/>
          </w:tcPr>
          <w:p w:rsidR="00F80A22" w:rsidRPr="008244A4" w:rsidRDefault="00F80A22" w:rsidP="00090754">
            <w:pPr>
              <w:jc w:val="right"/>
              <w:rPr>
                <w:rFonts w:ascii="Arial" w:hAnsi="Arial" w:cs="Arial"/>
              </w:rPr>
            </w:pPr>
            <w:r w:rsidRPr="008244A4">
              <w:rPr>
                <w:rFonts w:ascii="Arial" w:hAnsi="Arial" w:cs="Arial"/>
              </w:rPr>
              <w:t>8.72</w:t>
            </w:r>
          </w:p>
        </w:tc>
        <w:tc>
          <w:tcPr>
            <w:tcW w:w="968" w:type="dxa"/>
            <w:shd w:val="clear" w:color="auto" w:fill="auto"/>
          </w:tcPr>
          <w:p w:rsidR="00F80A22" w:rsidRPr="008244A4" w:rsidRDefault="00F80A22" w:rsidP="00090754">
            <w:pPr>
              <w:jc w:val="right"/>
              <w:rPr>
                <w:rFonts w:ascii="Arial" w:hAnsi="Arial" w:cs="Arial"/>
              </w:rPr>
            </w:pPr>
            <w:r w:rsidRPr="008244A4">
              <w:rPr>
                <w:rFonts w:ascii="Arial" w:hAnsi="Arial" w:cs="Arial"/>
              </w:rPr>
              <w:t>nc</w:t>
            </w:r>
          </w:p>
        </w:tc>
        <w:tc>
          <w:tcPr>
            <w:tcW w:w="969" w:type="dxa"/>
          </w:tcPr>
          <w:p w:rsidR="00F80A22" w:rsidRPr="008244A4" w:rsidRDefault="00F80A22" w:rsidP="00090754">
            <w:pPr>
              <w:jc w:val="right"/>
              <w:rPr>
                <w:rFonts w:ascii="Arial" w:hAnsi="Arial" w:cs="Arial"/>
              </w:rPr>
            </w:pPr>
            <w:r w:rsidRPr="008244A4">
              <w:rPr>
                <w:rFonts w:ascii="Arial" w:hAnsi="Arial" w:cs="Arial"/>
              </w:rPr>
              <w:t>21.0</w:t>
            </w:r>
          </w:p>
        </w:tc>
      </w:tr>
      <w:tr w:rsidR="00F80A22" w:rsidRPr="008244A4" w:rsidTr="00090754">
        <w:trPr>
          <w:jc w:val="center"/>
        </w:trPr>
        <w:tc>
          <w:tcPr>
            <w:tcW w:w="3823" w:type="dxa"/>
            <w:tcBorders>
              <w:bottom w:val="double" w:sz="4" w:space="0" w:color="auto"/>
            </w:tcBorders>
          </w:tcPr>
          <w:p w:rsidR="00F80A22" w:rsidRPr="008244A4" w:rsidRDefault="00F80A22" w:rsidP="00090754">
            <w:pPr>
              <w:rPr>
                <w:rFonts w:ascii="Arial" w:hAnsi="Arial" w:cs="Arial"/>
              </w:rPr>
            </w:pPr>
            <w:r w:rsidRPr="008244A4">
              <w:rPr>
                <w:rFonts w:ascii="Arial" w:hAnsi="Arial" w:cs="Arial"/>
              </w:rPr>
              <w:t>Plum Breeding</w:t>
            </w:r>
          </w:p>
        </w:tc>
        <w:tc>
          <w:tcPr>
            <w:tcW w:w="968" w:type="dxa"/>
            <w:tcBorders>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204.67</w:t>
            </w:r>
          </w:p>
        </w:tc>
        <w:tc>
          <w:tcPr>
            <w:tcW w:w="969" w:type="dxa"/>
            <w:tcBorders>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16.39</w:t>
            </w:r>
          </w:p>
        </w:tc>
        <w:tc>
          <w:tcPr>
            <w:tcW w:w="968" w:type="dxa"/>
            <w:tcBorders>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188.28</w:t>
            </w:r>
          </w:p>
        </w:tc>
        <w:tc>
          <w:tcPr>
            <w:tcW w:w="969" w:type="dxa"/>
            <w:tcBorders>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12.49</w:t>
            </w:r>
          </w:p>
        </w:tc>
        <w:tc>
          <w:tcPr>
            <w:tcW w:w="968" w:type="dxa"/>
            <w:tcBorders>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12.2</w:t>
            </w:r>
          </w:p>
        </w:tc>
        <w:tc>
          <w:tcPr>
            <w:tcW w:w="969" w:type="dxa"/>
            <w:tcBorders>
              <w:bottom w:val="double" w:sz="4" w:space="0" w:color="auto"/>
            </w:tcBorders>
          </w:tcPr>
          <w:p w:rsidR="00F80A22" w:rsidRPr="008244A4" w:rsidRDefault="00F80A22" w:rsidP="00090754">
            <w:pPr>
              <w:jc w:val="right"/>
              <w:rPr>
                <w:rFonts w:ascii="Arial" w:hAnsi="Arial" w:cs="Arial"/>
              </w:rPr>
            </w:pPr>
            <w:r w:rsidRPr="008244A4">
              <w:rPr>
                <w:rFonts w:ascii="Arial" w:hAnsi="Arial" w:cs="Arial"/>
              </w:rPr>
              <w:t>14.6</w:t>
            </w:r>
          </w:p>
        </w:tc>
      </w:tr>
      <w:tr w:rsidR="00F80A22" w:rsidRPr="008244A4" w:rsidTr="00090754">
        <w:trPr>
          <w:jc w:val="center"/>
        </w:trPr>
        <w:tc>
          <w:tcPr>
            <w:tcW w:w="3823" w:type="dxa"/>
            <w:tcBorders>
              <w:top w:val="double" w:sz="4" w:space="0" w:color="auto"/>
              <w:left w:val="double" w:sz="4" w:space="0" w:color="auto"/>
              <w:bottom w:val="double" w:sz="4" w:space="0" w:color="auto"/>
            </w:tcBorders>
          </w:tcPr>
          <w:p w:rsidR="00F80A22" w:rsidRPr="008244A4" w:rsidRDefault="00F80A22" w:rsidP="00090754">
            <w:pPr>
              <w:rPr>
                <w:rFonts w:ascii="Arial" w:hAnsi="Arial" w:cs="Arial"/>
                <w:b/>
              </w:rPr>
            </w:pPr>
            <w:r w:rsidRPr="008244A4">
              <w:rPr>
                <w:rFonts w:ascii="Arial" w:hAnsi="Arial" w:cs="Arial"/>
                <w:b/>
              </w:rPr>
              <w:t xml:space="preserve">Aggregate (DAF investment in all Project/Cluster Investments) </w:t>
            </w:r>
          </w:p>
        </w:tc>
        <w:tc>
          <w:tcPr>
            <w:tcW w:w="968" w:type="dxa"/>
            <w:tcBorders>
              <w:top w:val="double" w:sz="4" w:space="0" w:color="auto"/>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306.93</w:t>
            </w:r>
          </w:p>
        </w:tc>
        <w:tc>
          <w:tcPr>
            <w:tcW w:w="969" w:type="dxa"/>
            <w:tcBorders>
              <w:top w:val="double" w:sz="4" w:space="0" w:color="auto"/>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28.36</w:t>
            </w:r>
          </w:p>
        </w:tc>
        <w:tc>
          <w:tcPr>
            <w:tcW w:w="968" w:type="dxa"/>
            <w:tcBorders>
              <w:top w:val="double" w:sz="4" w:space="0" w:color="auto"/>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278.57</w:t>
            </w:r>
          </w:p>
        </w:tc>
        <w:tc>
          <w:tcPr>
            <w:tcW w:w="969" w:type="dxa"/>
            <w:tcBorders>
              <w:top w:val="double" w:sz="4" w:space="0" w:color="auto"/>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10.82</w:t>
            </w:r>
          </w:p>
        </w:tc>
        <w:tc>
          <w:tcPr>
            <w:tcW w:w="968" w:type="dxa"/>
            <w:tcBorders>
              <w:top w:val="double" w:sz="4" w:space="0" w:color="auto"/>
              <w:bottom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13.5</w:t>
            </w:r>
          </w:p>
        </w:tc>
        <w:tc>
          <w:tcPr>
            <w:tcW w:w="969" w:type="dxa"/>
            <w:tcBorders>
              <w:top w:val="double" w:sz="4" w:space="0" w:color="auto"/>
              <w:bottom w:val="double" w:sz="4" w:space="0" w:color="auto"/>
              <w:right w:val="double" w:sz="4" w:space="0" w:color="auto"/>
            </w:tcBorders>
            <w:shd w:val="clear" w:color="auto" w:fill="auto"/>
          </w:tcPr>
          <w:p w:rsidR="00F80A22" w:rsidRPr="008244A4" w:rsidRDefault="00F80A22" w:rsidP="00090754">
            <w:pPr>
              <w:jc w:val="right"/>
              <w:rPr>
                <w:rFonts w:ascii="Arial" w:hAnsi="Arial" w:cs="Arial"/>
              </w:rPr>
            </w:pPr>
            <w:r w:rsidRPr="008244A4">
              <w:rPr>
                <w:rFonts w:ascii="Arial" w:hAnsi="Arial" w:cs="Arial"/>
              </w:rPr>
              <w:t>13.5</w:t>
            </w:r>
          </w:p>
        </w:tc>
      </w:tr>
    </w:tbl>
    <w:p w:rsidR="00F80A22" w:rsidRPr="008244A4" w:rsidRDefault="00F80A22" w:rsidP="00F80A22">
      <w:pPr>
        <w:jc w:val="center"/>
        <w:rPr>
          <w:rFonts w:ascii="Arial" w:hAnsi="Arial" w:cs="Arial"/>
          <w:sz w:val="20"/>
          <w:szCs w:val="20"/>
        </w:rPr>
      </w:pPr>
      <w:r w:rsidRPr="008244A4">
        <w:rPr>
          <w:rFonts w:ascii="Arial" w:hAnsi="Arial" w:cs="Arial"/>
          <w:sz w:val="20"/>
          <w:szCs w:val="20"/>
        </w:rPr>
        <w:t xml:space="preserve">nc.  not calculable </w:t>
      </w:r>
    </w:p>
    <w:p w:rsidR="003C73AF" w:rsidRPr="008244A4" w:rsidRDefault="003C73AF">
      <w:pPr>
        <w:spacing w:line="276" w:lineRule="auto"/>
      </w:pPr>
    </w:p>
    <w:p w:rsidR="00AD547D" w:rsidRPr="008244A4" w:rsidRDefault="00AD547D" w:rsidP="00733D9B"/>
    <w:p w:rsidR="00F80A22" w:rsidRPr="008244A4" w:rsidRDefault="00F80A22" w:rsidP="00733D9B"/>
    <w:p w:rsidR="00F80A22" w:rsidRPr="008244A4" w:rsidRDefault="00F80A22" w:rsidP="00733D9B"/>
    <w:p w:rsidR="00F80A22" w:rsidRPr="008244A4" w:rsidRDefault="00F80A22" w:rsidP="00733D9B"/>
    <w:p w:rsidR="00F80A22" w:rsidRPr="008244A4" w:rsidRDefault="00F80A22" w:rsidP="00733D9B"/>
    <w:p w:rsidR="00F80A22" w:rsidRPr="008244A4" w:rsidRDefault="00F80A22" w:rsidP="00733D9B"/>
    <w:p w:rsidR="00F80A22" w:rsidRPr="008244A4" w:rsidRDefault="00F80A22" w:rsidP="00733D9B"/>
    <w:p w:rsidR="005173A2" w:rsidRDefault="00DF217D">
      <w:pPr>
        <w:spacing w:line="276" w:lineRule="auto"/>
        <w:rPr>
          <w:rFonts w:ascii="Arial" w:hAnsi="Arial" w:cs="Arial"/>
          <w:b/>
          <w:sz w:val="40"/>
          <w:szCs w:val="40"/>
        </w:rPr>
      </w:pPr>
      <w:bookmarkStart w:id="17" w:name="_Toc352859704"/>
      <w:bookmarkStart w:id="18" w:name="_Toc398113666"/>
      <w:bookmarkStart w:id="19" w:name="_Toc486145203"/>
      <w:bookmarkStart w:id="20" w:name="_Toc489604047"/>
      <w:r>
        <w:t xml:space="preserve">       </w:t>
      </w:r>
      <w:r w:rsidR="005173A2">
        <w:br w:type="page"/>
      </w:r>
    </w:p>
    <w:p w:rsidR="00733D9B" w:rsidRPr="008244A4" w:rsidRDefault="00733D9B" w:rsidP="00C66231">
      <w:pPr>
        <w:pStyle w:val="Heading1"/>
      </w:pPr>
      <w:bookmarkStart w:id="21" w:name="_Toc490036909"/>
      <w:r w:rsidRPr="00EB6A65">
        <w:t>1. Introduction</w:t>
      </w:r>
      <w:bookmarkEnd w:id="17"/>
      <w:bookmarkEnd w:id="18"/>
      <w:bookmarkEnd w:id="19"/>
      <w:bookmarkEnd w:id="20"/>
      <w:bookmarkEnd w:id="21"/>
    </w:p>
    <w:p w:rsidR="00EB6A65" w:rsidRPr="00EB6A65" w:rsidRDefault="00733D9B" w:rsidP="005173A2">
      <w:pPr>
        <w:spacing w:after="240"/>
        <w:rPr>
          <w:rFonts w:ascii="Arial" w:hAnsi="Arial" w:cs="Arial"/>
        </w:rPr>
      </w:pPr>
      <w:r w:rsidRPr="00EB6A65">
        <w:rPr>
          <w:rFonts w:ascii="Arial" w:hAnsi="Arial" w:cs="Arial"/>
        </w:rPr>
        <w:t>This report presents the results of cost</w:t>
      </w:r>
      <w:r w:rsidR="00A04247" w:rsidRPr="00EB6A65">
        <w:rPr>
          <w:rFonts w:ascii="Arial" w:hAnsi="Arial" w:cs="Arial"/>
        </w:rPr>
        <w:t>-</w:t>
      </w:r>
      <w:r w:rsidRPr="00EB6A65">
        <w:rPr>
          <w:rFonts w:ascii="Arial" w:hAnsi="Arial" w:cs="Arial"/>
        </w:rPr>
        <w:t>benefit analys</w:t>
      </w:r>
      <w:r w:rsidR="00EB6A65" w:rsidRPr="00EB6A65">
        <w:rPr>
          <w:rFonts w:ascii="Arial" w:hAnsi="Arial" w:cs="Arial"/>
        </w:rPr>
        <w:t>e</w:t>
      </w:r>
      <w:r w:rsidRPr="00EB6A65">
        <w:rPr>
          <w:rFonts w:ascii="Arial" w:hAnsi="Arial" w:cs="Arial"/>
        </w:rPr>
        <w:t>s (CBA) of a discrete set of research, development and extension</w:t>
      </w:r>
      <w:r w:rsidR="006C7F87">
        <w:rPr>
          <w:rFonts w:ascii="Arial" w:hAnsi="Arial" w:cs="Arial"/>
        </w:rPr>
        <w:t xml:space="preserve"> (RD&amp;E)</w:t>
      </w:r>
      <w:r w:rsidRPr="00EB6A65">
        <w:rPr>
          <w:rFonts w:ascii="Arial" w:hAnsi="Arial" w:cs="Arial"/>
        </w:rPr>
        <w:t xml:space="preserve"> investments made by </w:t>
      </w:r>
      <w:r w:rsidR="00267618">
        <w:rPr>
          <w:rFonts w:ascii="Arial" w:hAnsi="Arial" w:cs="Arial"/>
        </w:rPr>
        <w:t>the Department of Agriculture and Fisheries</w:t>
      </w:r>
      <w:r w:rsidR="00B21607">
        <w:rPr>
          <w:rFonts w:ascii="Arial" w:hAnsi="Arial" w:cs="Arial"/>
        </w:rPr>
        <w:t>, Queensland</w:t>
      </w:r>
      <w:r w:rsidR="008244A4">
        <w:rPr>
          <w:rFonts w:ascii="Arial" w:hAnsi="Arial" w:cs="Arial"/>
        </w:rPr>
        <w:t xml:space="preserve"> (DAF)</w:t>
      </w:r>
      <w:r w:rsidR="00346D66">
        <w:rPr>
          <w:rFonts w:ascii="Arial" w:hAnsi="Arial" w:cs="Arial"/>
        </w:rPr>
        <w:t xml:space="preserve"> and its predecessors</w:t>
      </w:r>
      <w:r w:rsidR="005238D0" w:rsidRPr="00EB6A65">
        <w:rPr>
          <w:rFonts w:ascii="Arial" w:hAnsi="Arial" w:cs="Arial"/>
        </w:rPr>
        <w:t xml:space="preserve">, </w:t>
      </w:r>
      <w:r w:rsidR="00A0506C" w:rsidRPr="00EB6A65">
        <w:rPr>
          <w:rFonts w:ascii="Arial" w:hAnsi="Arial" w:cs="Arial"/>
        </w:rPr>
        <w:t xml:space="preserve">with support from </w:t>
      </w:r>
      <w:r w:rsidR="00346D66">
        <w:rPr>
          <w:rFonts w:ascii="Arial" w:hAnsi="Arial" w:cs="Arial"/>
        </w:rPr>
        <w:t xml:space="preserve">other research funding bodies. </w:t>
      </w:r>
      <w:r w:rsidR="008D7515" w:rsidRPr="00EB6A65">
        <w:rPr>
          <w:rFonts w:ascii="Arial" w:hAnsi="Arial" w:cs="Arial"/>
        </w:rPr>
        <w:t xml:space="preserve"> </w:t>
      </w:r>
    </w:p>
    <w:p w:rsidR="00733D9B" w:rsidRPr="00EB6A65" w:rsidRDefault="00733D9B" w:rsidP="005173A2">
      <w:pPr>
        <w:spacing w:after="240"/>
        <w:rPr>
          <w:rFonts w:ascii="Arial" w:hAnsi="Arial" w:cs="Arial"/>
        </w:rPr>
      </w:pPr>
      <w:r w:rsidRPr="00EB6A65">
        <w:rPr>
          <w:rFonts w:ascii="Arial" w:hAnsi="Arial" w:cs="Arial"/>
        </w:rPr>
        <w:t xml:space="preserve">Ascertaining the extent of </w:t>
      </w:r>
      <w:r w:rsidR="00A04247" w:rsidRPr="00EB6A65">
        <w:rPr>
          <w:rFonts w:ascii="Arial" w:hAnsi="Arial" w:cs="Arial"/>
        </w:rPr>
        <w:t xml:space="preserve">impacts </w:t>
      </w:r>
      <w:r w:rsidRPr="00EB6A65">
        <w:rPr>
          <w:rFonts w:ascii="Arial" w:hAnsi="Arial" w:cs="Arial"/>
        </w:rPr>
        <w:t xml:space="preserve">that have accrued as a result of these investments can demonstrate to </w:t>
      </w:r>
      <w:r w:rsidR="00346D66">
        <w:rPr>
          <w:rFonts w:ascii="Arial" w:hAnsi="Arial" w:cs="Arial"/>
        </w:rPr>
        <w:t xml:space="preserve">others that </w:t>
      </w:r>
      <w:r w:rsidRPr="00EB6A65">
        <w:rPr>
          <w:rFonts w:ascii="Arial" w:hAnsi="Arial" w:cs="Arial"/>
        </w:rPr>
        <w:t xml:space="preserve">research investments made by </w:t>
      </w:r>
      <w:r w:rsidR="00346D66">
        <w:rPr>
          <w:rFonts w:ascii="Arial" w:hAnsi="Arial" w:cs="Arial"/>
        </w:rPr>
        <w:t xml:space="preserve">DAF </w:t>
      </w:r>
      <w:r w:rsidRPr="00EB6A65">
        <w:rPr>
          <w:rFonts w:ascii="Arial" w:hAnsi="Arial" w:cs="Arial"/>
        </w:rPr>
        <w:t xml:space="preserve">are delivering impacts. In addition, it can inform </w:t>
      </w:r>
      <w:r w:rsidR="00EB6A65" w:rsidRPr="00EB6A65">
        <w:rPr>
          <w:rFonts w:ascii="Arial" w:hAnsi="Arial" w:cs="Arial"/>
        </w:rPr>
        <w:t xml:space="preserve">DAF </w:t>
      </w:r>
      <w:r w:rsidR="00346D66">
        <w:rPr>
          <w:rFonts w:ascii="Arial" w:hAnsi="Arial" w:cs="Arial"/>
        </w:rPr>
        <w:t xml:space="preserve">RD&amp;E </w:t>
      </w:r>
      <w:r w:rsidRPr="00EB6A65">
        <w:rPr>
          <w:rFonts w:ascii="Arial" w:hAnsi="Arial" w:cs="Arial"/>
        </w:rPr>
        <w:t xml:space="preserve">management </w:t>
      </w:r>
      <w:r w:rsidR="00EB6A65" w:rsidRPr="00EB6A65">
        <w:rPr>
          <w:rFonts w:ascii="Arial" w:hAnsi="Arial" w:cs="Arial"/>
        </w:rPr>
        <w:t xml:space="preserve">about </w:t>
      </w:r>
      <w:r w:rsidRPr="00EB6A65">
        <w:rPr>
          <w:rFonts w:ascii="Arial" w:hAnsi="Arial" w:cs="Arial"/>
        </w:rPr>
        <w:t xml:space="preserve">performance from past investments as well as possible guidance for future allocation of </w:t>
      </w:r>
      <w:r w:rsidR="00EB6A65" w:rsidRPr="00EB6A65">
        <w:rPr>
          <w:rFonts w:ascii="Arial" w:hAnsi="Arial" w:cs="Arial"/>
        </w:rPr>
        <w:t xml:space="preserve">RD&amp;E </w:t>
      </w:r>
      <w:r w:rsidRPr="00EB6A65">
        <w:rPr>
          <w:rFonts w:ascii="Arial" w:hAnsi="Arial" w:cs="Arial"/>
        </w:rPr>
        <w:t xml:space="preserve">resources.  </w:t>
      </w:r>
    </w:p>
    <w:p w:rsidR="00733D9B" w:rsidRPr="008244A4" w:rsidRDefault="00DB332A" w:rsidP="00733D9B">
      <w:pPr>
        <w:rPr>
          <w:rFonts w:ascii="Arial" w:hAnsi="Arial" w:cs="Arial"/>
        </w:rPr>
      </w:pPr>
      <w:r w:rsidRPr="00EB6A65">
        <w:rPr>
          <w:rFonts w:ascii="Arial" w:hAnsi="Arial" w:cs="Arial"/>
        </w:rPr>
        <w:t xml:space="preserve">The </w:t>
      </w:r>
      <w:r w:rsidR="00346D66">
        <w:rPr>
          <w:rFonts w:ascii="Arial" w:hAnsi="Arial" w:cs="Arial"/>
        </w:rPr>
        <w:t>investments were made in four individual projects and two clusters of projects. They were</w:t>
      </w:r>
      <w:r w:rsidRPr="00EB6A65">
        <w:rPr>
          <w:rFonts w:ascii="Arial" w:hAnsi="Arial" w:cs="Arial"/>
        </w:rPr>
        <w:t>:</w:t>
      </w:r>
    </w:p>
    <w:p w:rsidR="00EB6A65" w:rsidRPr="00EB6A65" w:rsidRDefault="00EB6A65" w:rsidP="00C1096A">
      <w:pPr>
        <w:pStyle w:val="ListParagraph"/>
        <w:numPr>
          <w:ilvl w:val="0"/>
          <w:numId w:val="8"/>
        </w:numPr>
        <w:rPr>
          <w:rFonts w:ascii="Arial" w:hAnsi="Arial" w:cs="Arial"/>
        </w:rPr>
      </w:pPr>
      <w:r w:rsidRPr="00EB6A65">
        <w:rPr>
          <w:rFonts w:ascii="Arial" w:hAnsi="Arial" w:cs="Arial"/>
        </w:rPr>
        <w:t xml:space="preserve">Project 1: </w:t>
      </w:r>
      <w:r w:rsidR="00C1096A" w:rsidRPr="008244A4">
        <w:rPr>
          <w:rFonts w:ascii="Arial" w:hAnsi="Arial" w:cs="Arial"/>
        </w:rPr>
        <w:t>An</w:t>
      </w:r>
      <w:r w:rsidR="00C1096A" w:rsidRPr="00C1096A">
        <w:rPr>
          <w:rFonts w:ascii="Arial" w:hAnsi="Arial" w:cs="Arial"/>
        </w:rPr>
        <w:t xml:space="preserve"> Impact Assessment of DAF Investment into the Australian Industry Live Mud Crab Grading Scheme (AILMCGS) through Addressing Grading and Regional Anomalies, 2014-2016: FRDC Project 2014/218</w:t>
      </w:r>
    </w:p>
    <w:p w:rsidR="00EB6A65" w:rsidRPr="00EB6A65" w:rsidRDefault="00EB6A65" w:rsidP="0033073A">
      <w:pPr>
        <w:pStyle w:val="ListParagraph"/>
        <w:numPr>
          <w:ilvl w:val="0"/>
          <w:numId w:val="8"/>
        </w:numPr>
        <w:rPr>
          <w:rFonts w:ascii="Arial" w:hAnsi="Arial" w:cs="Arial"/>
        </w:rPr>
      </w:pPr>
      <w:r w:rsidRPr="00EB6A65">
        <w:rPr>
          <w:rFonts w:ascii="Arial" w:hAnsi="Arial" w:cs="Arial"/>
        </w:rPr>
        <w:t xml:space="preserve">Project 2: </w:t>
      </w:r>
      <w:r w:rsidR="0033073A" w:rsidRPr="0033073A">
        <w:rPr>
          <w:rFonts w:ascii="Arial" w:hAnsi="Arial" w:cs="Arial"/>
        </w:rPr>
        <w:t>An Impact Assessment of DAF Investment in Low Dose Methyl Bromide against Fruit Flies to Improve Summer-fruit Market Access, 2013-2016: HIA Project SF12016</w:t>
      </w:r>
    </w:p>
    <w:p w:rsidR="00EB6A65" w:rsidRPr="00EB6A65" w:rsidRDefault="00EB6A65" w:rsidP="0033073A">
      <w:pPr>
        <w:pStyle w:val="ListParagraph"/>
        <w:numPr>
          <w:ilvl w:val="0"/>
          <w:numId w:val="8"/>
        </w:numPr>
        <w:rPr>
          <w:rFonts w:ascii="Arial" w:hAnsi="Arial" w:cs="Arial"/>
        </w:rPr>
      </w:pPr>
      <w:r w:rsidRPr="00EB6A65">
        <w:rPr>
          <w:rFonts w:ascii="Arial" w:hAnsi="Arial" w:cs="Arial"/>
        </w:rPr>
        <w:t xml:space="preserve">Project 3: </w:t>
      </w:r>
      <w:r w:rsidR="0033073A" w:rsidRPr="0033073A">
        <w:rPr>
          <w:rFonts w:ascii="Arial" w:hAnsi="Arial" w:cs="Arial"/>
        </w:rPr>
        <w:t>An Impact Assessment of DAF Investment into CRDC project DAQ1401: Strengthening the Central Highlands Cotton Production System</w:t>
      </w:r>
    </w:p>
    <w:p w:rsidR="00EB6A65" w:rsidRPr="00EB6A65" w:rsidRDefault="00EB6A65" w:rsidP="0033073A">
      <w:pPr>
        <w:pStyle w:val="ListParagraph"/>
        <w:numPr>
          <w:ilvl w:val="0"/>
          <w:numId w:val="8"/>
        </w:numPr>
        <w:rPr>
          <w:rFonts w:ascii="Arial" w:hAnsi="Arial" w:cs="Arial"/>
        </w:rPr>
      </w:pPr>
      <w:r w:rsidRPr="00EB6A65">
        <w:rPr>
          <w:rFonts w:ascii="Arial" w:hAnsi="Arial" w:cs="Arial"/>
        </w:rPr>
        <w:t xml:space="preserve">Project 4: </w:t>
      </w:r>
      <w:r w:rsidR="0033073A" w:rsidRPr="0033073A">
        <w:rPr>
          <w:rFonts w:ascii="Arial" w:hAnsi="Arial" w:cs="Arial"/>
        </w:rPr>
        <w:t>An Impact Assessment of DAF Investment in C4Milk: Developing and managing a profitable high milk from forage system in the sub-tropics</w:t>
      </w:r>
      <w:r w:rsidR="009D024D">
        <w:rPr>
          <w:rFonts w:ascii="Arial" w:hAnsi="Arial" w:cs="Arial"/>
        </w:rPr>
        <w:t>,</w:t>
      </w:r>
      <w:r w:rsidRPr="00EB6A65">
        <w:rPr>
          <w:rFonts w:ascii="Arial" w:hAnsi="Arial" w:cs="Arial"/>
        </w:rPr>
        <w:t xml:space="preserve"> </w:t>
      </w:r>
      <w:r w:rsidR="009C6C29">
        <w:rPr>
          <w:rFonts w:ascii="Arial" w:hAnsi="Arial" w:cs="Arial"/>
        </w:rPr>
        <w:t>D</w:t>
      </w:r>
      <w:r w:rsidR="009D024D">
        <w:rPr>
          <w:rFonts w:ascii="Arial" w:hAnsi="Arial" w:cs="Arial"/>
        </w:rPr>
        <w:t>A Project C100000928</w:t>
      </w:r>
    </w:p>
    <w:p w:rsidR="00346D66" w:rsidRDefault="00346D66" w:rsidP="003C73AF">
      <w:pPr>
        <w:pStyle w:val="ListParagraph"/>
        <w:numPr>
          <w:ilvl w:val="0"/>
          <w:numId w:val="8"/>
        </w:numPr>
        <w:rPr>
          <w:rFonts w:ascii="Arial" w:hAnsi="Arial" w:cs="Arial"/>
        </w:rPr>
      </w:pPr>
      <w:r>
        <w:rPr>
          <w:rFonts w:ascii="Arial" w:hAnsi="Arial" w:cs="Arial"/>
        </w:rPr>
        <w:t xml:space="preserve">Cluster 1: </w:t>
      </w:r>
      <w:r w:rsidR="003C73AF" w:rsidRPr="003C73AF">
        <w:rPr>
          <w:rFonts w:ascii="Arial" w:hAnsi="Arial" w:cs="Arial"/>
        </w:rPr>
        <w:t>An Impact Assessment of DAF Investment in Sweet Potato Projects between 1998 and 2018 that address Pests, Diseases, Agronomy and New Varieties</w:t>
      </w:r>
    </w:p>
    <w:p w:rsidR="00966A31" w:rsidRPr="003C73AF" w:rsidRDefault="00346D66" w:rsidP="005173A2">
      <w:pPr>
        <w:pStyle w:val="ListParagraph"/>
        <w:numPr>
          <w:ilvl w:val="0"/>
          <w:numId w:val="8"/>
        </w:numPr>
        <w:spacing w:after="240"/>
        <w:rPr>
          <w:rFonts w:ascii="Arial" w:hAnsi="Arial" w:cs="Arial"/>
        </w:rPr>
      </w:pPr>
      <w:r w:rsidRPr="003C73AF">
        <w:rPr>
          <w:rFonts w:ascii="Arial" w:hAnsi="Arial" w:cs="Arial"/>
        </w:rPr>
        <w:t xml:space="preserve">Cluster 2: </w:t>
      </w:r>
      <w:r w:rsidR="003C73AF" w:rsidRPr="003C73AF">
        <w:rPr>
          <w:rFonts w:ascii="Arial" w:hAnsi="Arial" w:cs="Arial"/>
        </w:rPr>
        <w:t>An Impact Assessment of DAF Investment in Plum Breeding</w:t>
      </w:r>
      <w:r w:rsidR="003C73AF">
        <w:rPr>
          <w:rFonts w:ascii="Arial" w:hAnsi="Arial" w:cs="Arial"/>
        </w:rPr>
        <w:t xml:space="preserve"> </w:t>
      </w:r>
      <w:r w:rsidR="003C73AF" w:rsidRPr="003C73AF">
        <w:rPr>
          <w:rFonts w:ascii="Arial" w:hAnsi="Arial" w:cs="Arial"/>
        </w:rPr>
        <w:t>1981-2007</w:t>
      </w:r>
      <w:r w:rsidR="00EB6A65" w:rsidRPr="003C73AF">
        <w:rPr>
          <w:rFonts w:ascii="Arial" w:hAnsi="Arial" w:cs="Arial"/>
        </w:rPr>
        <w:t xml:space="preserve">  </w:t>
      </w:r>
    </w:p>
    <w:p w:rsidR="00733D9B" w:rsidRPr="00EB6A65" w:rsidRDefault="00733D9B" w:rsidP="005173A2">
      <w:pPr>
        <w:spacing w:after="240"/>
        <w:rPr>
          <w:rFonts w:ascii="Arial" w:hAnsi="Arial" w:cs="Arial"/>
        </w:rPr>
      </w:pPr>
      <w:r w:rsidRPr="00EB6A65">
        <w:rPr>
          <w:rFonts w:ascii="Arial" w:hAnsi="Arial" w:cs="Arial"/>
        </w:rPr>
        <w:t xml:space="preserve">A summary of methods used in the analysis, is provided in Section 2, including the steps involved in </w:t>
      </w:r>
      <w:r w:rsidR="00346D66">
        <w:rPr>
          <w:rFonts w:ascii="Arial" w:hAnsi="Arial" w:cs="Arial"/>
        </w:rPr>
        <w:t xml:space="preserve">the evaluation of </w:t>
      </w:r>
      <w:r w:rsidRPr="00EB6A65">
        <w:rPr>
          <w:rFonts w:ascii="Arial" w:hAnsi="Arial" w:cs="Arial"/>
        </w:rPr>
        <w:t xml:space="preserve">each </w:t>
      </w:r>
      <w:r w:rsidR="00EB6A65" w:rsidRPr="00EB6A65">
        <w:rPr>
          <w:rFonts w:ascii="Arial" w:hAnsi="Arial" w:cs="Arial"/>
        </w:rPr>
        <w:t xml:space="preserve">individual </w:t>
      </w:r>
      <w:r w:rsidR="00346D66">
        <w:rPr>
          <w:rFonts w:ascii="Arial" w:hAnsi="Arial" w:cs="Arial"/>
        </w:rPr>
        <w:t>investment</w:t>
      </w:r>
      <w:r w:rsidRPr="00EB6A65">
        <w:rPr>
          <w:rFonts w:ascii="Arial" w:hAnsi="Arial" w:cs="Arial"/>
        </w:rPr>
        <w:t xml:space="preserve">. Section 3 reports the investment criteria for </w:t>
      </w:r>
      <w:r w:rsidR="00346D66">
        <w:rPr>
          <w:rFonts w:ascii="Arial" w:hAnsi="Arial" w:cs="Arial"/>
        </w:rPr>
        <w:t xml:space="preserve">each of the six </w:t>
      </w:r>
      <w:r w:rsidRPr="00EB6A65">
        <w:rPr>
          <w:rFonts w:ascii="Arial" w:hAnsi="Arial" w:cs="Arial"/>
        </w:rPr>
        <w:t>investments a</w:t>
      </w:r>
      <w:r w:rsidR="00346D66">
        <w:rPr>
          <w:rFonts w:ascii="Arial" w:hAnsi="Arial" w:cs="Arial"/>
        </w:rPr>
        <w:t xml:space="preserve">s well as investment criteria for </w:t>
      </w:r>
      <w:r w:rsidRPr="00EB6A65">
        <w:rPr>
          <w:rFonts w:ascii="Arial" w:hAnsi="Arial" w:cs="Arial"/>
        </w:rPr>
        <w:t>the aggregat</w:t>
      </w:r>
      <w:r w:rsidR="00346D66">
        <w:rPr>
          <w:rFonts w:ascii="Arial" w:hAnsi="Arial" w:cs="Arial"/>
        </w:rPr>
        <w:t>e investment</w:t>
      </w:r>
      <w:r w:rsidR="00090754">
        <w:rPr>
          <w:rFonts w:ascii="Arial" w:hAnsi="Arial" w:cs="Arial"/>
        </w:rPr>
        <w:t xml:space="preserve"> in the six projects</w:t>
      </w:r>
      <w:r w:rsidR="00346D66">
        <w:rPr>
          <w:rFonts w:ascii="Arial" w:hAnsi="Arial" w:cs="Arial"/>
        </w:rPr>
        <w:t xml:space="preserve">. </w:t>
      </w:r>
      <w:r w:rsidRPr="00EB6A65">
        <w:rPr>
          <w:rFonts w:ascii="Arial" w:hAnsi="Arial" w:cs="Arial"/>
        </w:rPr>
        <w:t>A brief conclusion is provided in Section 4</w:t>
      </w:r>
      <w:r w:rsidR="009D728F" w:rsidRPr="00EB6A65">
        <w:rPr>
          <w:rFonts w:ascii="Arial" w:hAnsi="Arial" w:cs="Arial"/>
        </w:rPr>
        <w:t xml:space="preserve">. </w:t>
      </w:r>
      <w:r w:rsidRPr="00EB6A65">
        <w:rPr>
          <w:rFonts w:ascii="Arial" w:hAnsi="Arial" w:cs="Arial"/>
        </w:rPr>
        <w:t xml:space="preserve">Appendices 1 to </w:t>
      </w:r>
      <w:r w:rsidR="00346D66">
        <w:rPr>
          <w:rFonts w:ascii="Arial" w:hAnsi="Arial" w:cs="Arial"/>
        </w:rPr>
        <w:t>6</w:t>
      </w:r>
      <w:r w:rsidRPr="00EB6A65">
        <w:rPr>
          <w:rFonts w:ascii="Arial" w:hAnsi="Arial" w:cs="Arial"/>
        </w:rPr>
        <w:t xml:space="preserve"> provide the detailed analyses for each of the </w:t>
      </w:r>
      <w:r w:rsidR="00346D66">
        <w:rPr>
          <w:rFonts w:ascii="Arial" w:hAnsi="Arial" w:cs="Arial"/>
        </w:rPr>
        <w:t>six investments</w:t>
      </w:r>
      <w:r w:rsidRPr="00EB6A65">
        <w:rPr>
          <w:rFonts w:ascii="Arial" w:hAnsi="Arial" w:cs="Arial"/>
        </w:rPr>
        <w:t xml:space="preserve">. </w:t>
      </w:r>
    </w:p>
    <w:p w:rsidR="00733D9B" w:rsidRDefault="00733D9B" w:rsidP="00733D9B">
      <w:pPr>
        <w:pStyle w:val="DefaultText"/>
        <w:rPr>
          <w:snapToGrid/>
        </w:rPr>
      </w:pPr>
    </w:p>
    <w:p w:rsidR="00733D9B" w:rsidRPr="00554105" w:rsidRDefault="00733D9B" w:rsidP="00C66231">
      <w:pPr>
        <w:pStyle w:val="Heading1"/>
      </w:pPr>
      <w:r>
        <w:rPr>
          <w:sz w:val="24"/>
        </w:rPr>
        <w:br w:type="page"/>
      </w:r>
      <w:bookmarkStart w:id="22" w:name="_Toc352859705"/>
      <w:bookmarkStart w:id="23" w:name="_Toc398113667"/>
      <w:bookmarkStart w:id="24" w:name="_Toc486145204"/>
      <w:bookmarkStart w:id="25" w:name="_Toc489604048"/>
      <w:bookmarkStart w:id="26" w:name="_Toc490036910"/>
      <w:r w:rsidRPr="00554105">
        <w:t>2. Methods</w:t>
      </w:r>
      <w:bookmarkEnd w:id="22"/>
      <w:bookmarkEnd w:id="23"/>
      <w:bookmarkEnd w:id="24"/>
      <w:bookmarkEnd w:id="25"/>
      <w:bookmarkEnd w:id="26"/>
      <w:r w:rsidRPr="00554105">
        <w:t xml:space="preserve"> </w:t>
      </w:r>
    </w:p>
    <w:p w:rsidR="00733D9B" w:rsidRPr="00554105" w:rsidRDefault="00733D9B" w:rsidP="005173A2">
      <w:pPr>
        <w:spacing w:after="240"/>
        <w:rPr>
          <w:rFonts w:ascii="Arial" w:hAnsi="Arial" w:cs="Arial"/>
        </w:rPr>
      </w:pPr>
      <w:r w:rsidRPr="00554105">
        <w:rPr>
          <w:rFonts w:ascii="Arial" w:hAnsi="Arial" w:cs="Arial"/>
        </w:rPr>
        <w:t xml:space="preserve">The evaluation approach </w:t>
      </w:r>
      <w:r w:rsidR="007D30FE" w:rsidRPr="00554105">
        <w:rPr>
          <w:rFonts w:ascii="Arial" w:hAnsi="Arial" w:cs="Arial"/>
        </w:rPr>
        <w:t xml:space="preserve">used in this analysis </w:t>
      </w:r>
      <w:r w:rsidRPr="00554105">
        <w:rPr>
          <w:rFonts w:ascii="Arial" w:hAnsi="Arial" w:cs="Arial"/>
        </w:rPr>
        <w:t xml:space="preserve">follows guidelines that are now well entrenched within the Australian primary industry research sector including </w:t>
      </w:r>
      <w:r w:rsidR="00C85F2B" w:rsidRPr="00554105">
        <w:rPr>
          <w:rFonts w:ascii="Arial" w:hAnsi="Arial" w:cs="Arial"/>
        </w:rPr>
        <w:t xml:space="preserve">Rural </w:t>
      </w:r>
      <w:r w:rsidRPr="00554105">
        <w:rPr>
          <w:rFonts w:ascii="Arial" w:hAnsi="Arial" w:cs="Arial"/>
        </w:rPr>
        <w:t>Research and Development Corporations (RDCs)</w:t>
      </w:r>
      <w:r w:rsidR="007B1B49">
        <w:rPr>
          <w:rFonts w:ascii="Arial" w:hAnsi="Arial" w:cs="Arial"/>
        </w:rPr>
        <w:t xml:space="preserve"> </w:t>
      </w:r>
      <w:r w:rsidR="00554105" w:rsidRPr="00554105">
        <w:rPr>
          <w:rFonts w:ascii="Arial" w:hAnsi="Arial" w:cs="Arial"/>
        </w:rPr>
        <w:t xml:space="preserve">and </w:t>
      </w:r>
      <w:r w:rsidRPr="00554105">
        <w:rPr>
          <w:rFonts w:ascii="Arial" w:hAnsi="Arial" w:cs="Arial"/>
        </w:rPr>
        <w:t>Cooperative Research Centres (CRCs)</w:t>
      </w:r>
      <w:r w:rsidR="00554105" w:rsidRPr="00554105">
        <w:rPr>
          <w:rFonts w:ascii="Arial" w:hAnsi="Arial" w:cs="Arial"/>
        </w:rPr>
        <w:t xml:space="preserve">. </w:t>
      </w:r>
      <w:r w:rsidRPr="00554105">
        <w:rPr>
          <w:rFonts w:ascii="Arial" w:hAnsi="Arial" w:cs="Arial"/>
        </w:rPr>
        <w:t xml:space="preserve">The evaluation </w:t>
      </w:r>
      <w:r w:rsidR="00554105" w:rsidRPr="00554105">
        <w:rPr>
          <w:rFonts w:ascii="Arial" w:hAnsi="Arial" w:cs="Arial"/>
        </w:rPr>
        <w:t xml:space="preserve">includes </w:t>
      </w:r>
      <w:r w:rsidRPr="00554105">
        <w:rPr>
          <w:rFonts w:ascii="Arial" w:hAnsi="Arial" w:cs="Arial"/>
        </w:rPr>
        <w:t>both qualitative and quantitative approaches</w:t>
      </w:r>
      <w:r w:rsidR="00554105" w:rsidRPr="00554105">
        <w:rPr>
          <w:rFonts w:ascii="Arial" w:hAnsi="Arial" w:cs="Arial"/>
        </w:rPr>
        <w:t xml:space="preserve"> with the latter using </w:t>
      </w:r>
      <w:r w:rsidR="002B0C2C">
        <w:rPr>
          <w:rFonts w:ascii="Arial" w:hAnsi="Arial" w:cs="Arial"/>
        </w:rPr>
        <w:t>CBA</w:t>
      </w:r>
      <w:r w:rsidRPr="00554105">
        <w:rPr>
          <w:rFonts w:ascii="Arial" w:hAnsi="Arial" w:cs="Arial"/>
        </w:rPr>
        <w:t>. These approaches are in accord with the current guidelines of the Council of Rural Research and Development Corporations</w:t>
      </w:r>
      <w:r w:rsidR="00A621E1" w:rsidRPr="00554105">
        <w:rPr>
          <w:rFonts w:ascii="Arial" w:hAnsi="Arial" w:cs="Arial"/>
        </w:rPr>
        <w:t xml:space="preserve"> (CRRDC</w:t>
      </w:r>
      <w:r w:rsidR="00554105" w:rsidRPr="00554105">
        <w:rPr>
          <w:rFonts w:ascii="Arial" w:hAnsi="Arial" w:cs="Arial"/>
        </w:rPr>
        <w:t>, 2014)</w:t>
      </w:r>
      <w:r w:rsidRPr="00554105">
        <w:rPr>
          <w:rFonts w:ascii="Arial" w:hAnsi="Arial" w:cs="Arial"/>
        </w:rPr>
        <w:t>.</w:t>
      </w:r>
    </w:p>
    <w:p w:rsidR="00733D9B" w:rsidRPr="00992B4E" w:rsidRDefault="00733D9B" w:rsidP="00733D9B">
      <w:pPr>
        <w:rPr>
          <w:rFonts w:ascii="Arial" w:hAnsi="Arial" w:cs="Arial"/>
        </w:rPr>
      </w:pPr>
      <w:r w:rsidRPr="00992B4E">
        <w:rPr>
          <w:rFonts w:ascii="Arial" w:hAnsi="Arial" w:cs="Arial"/>
        </w:rPr>
        <w:t>Each investment was evaluated through the following steps:</w:t>
      </w:r>
    </w:p>
    <w:p w:rsidR="00733D9B" w:rsidRPr="00992B4E" w:rsidRDefault="00733D9B" w:rsidP="00287C70">
      <w:pPr>
        <w:pStyle w:val="BodyText"/>
        <w:numPr>
          <w:ilvl w:val="0"/>
          <w:numId w:val="4"/>
        </w:numPr>
        <w:spacing w:after="0"/>
        <w:rPr>
          <w:rFonts w:ascii="Arial" w:hAnsi="Arial" w:cs="Arial"/>
        </w:rPr>
      </w:pPr>
      <w:r w:rsidRPr="00992B4E">
        <w:rPr>
          <w:rFonts w:ascii="Arial" w:hAnsi="Arial" w:cs="Arial"/>
        </w:rPr>
        <w:t xml:space="preserve">Information from any original project </w:t>
      </w:r>
      <w:r w:rsidR="00554105" w:rsidRPr="00992B4E">
        <w:rPr>
          <w:rFonts w:ascii="Arial" w:hAnsi="Arial" w:cs="Arial"/>
        </w:rPr>
        <w:t xml:space="preserve">proposals and </w:t>
      </w:r>
      <w:r w:rsidRPr="00992B4E">
        <w:rPr>
          <w:rFonts w:ascii="Arial" w:hAnsi="Arial" w:cs="Arial"/>
        </w:rPr>
        <w:t>sc</w:t>
      </w:r>
      <w:r w:rsidR="00D361F7" w:rsidRPr="00992B4E">
        <w:rPr>
          <w:rFonts w:ascii="Arial" w:hAnsi="Arial" w:cs="Arial"/>
        </w:rPr>
        <w:t xml:space="preserve">hedules, </w:t>
      </w:r>
      <w:r w:rsidRPr="00992B4E">
        <w:rPr>
          <w:rFonts w:ascii="Arial" w:hAnsi="Arial" w:cs="Arial"/>
        </w:rPr>
        <w:t>progress reports</w:t>
      </w:r>
      <w:r w:rsidR="00554105" w:rsidRPr="00992B4E">
        <w:rPr>
          <w:rFonts w:ascii="Arial" w:hAnsi="Arial" w:cs="Arial"/>
        </w:rPr>
        <w:t xml:space="preserve">, and </w:t>
      </w:r>
      <w:r w:rsidRPr="00992B4E">
        <w:rPr>
          <w:rFonts w:ascii="Arial" w:hAnsi="Arial" w:cs="Arial"/>
        </w:rPr>
        <w:t xml:space="preserve">other relevant reports assembled with assistance from </w:t>
      </w:r>
      <w:r w:rsidR="00346D66">
        <w:rPr>
          <w:rFonts w:ascii="Arial" w:hAnsi="Arial" w:cs="Arial"/>
        </w:rPr>
        <w:t>DAF personnel</w:t>
      </w:r>
      <w:r w:rsidRPr="00992B4E">
        <w:rPr>
          <w:rFonts w:ascii="Arial" w:hAnsi="Arial" w:cs="Arial"/>
        </w:rPr>
        <w:t xml:space="preserve">. </w:t>
      </w:r>
    </w:p>
    <w:p w:rsidR="002B0C2C" w:rsidRDefault="00733D9B" w:rsidP="00287C70">
      <w:pPr>
        <w:pStyle w:val="BodyText"/>
        <w:numPr>
          <w:ilvl w:val="0"/>
          <w:numId w:val="4"/>
        </w:numPr>
        <w:spacing w:after="0"/>
        <w:rPr>
          <w:rFonts w:ascii="Arial" w:hAnsi="Arial" w:cs="Arial"/>
        </w:rPr>
      </w:pPr>
      <w:r w:rsidRPr="00992B4E">
        <w:rPr>
          <w:rFonts w:ascii="Arial" w:hAnsi="Arial" w:cs="Arial"/>
        </w:rPr>
        <w:t xml:space="preserve">An initial description of the </w:t>
      </w:r>
      <w:r w:rsidR="00554105" w:rsidRPr="00992B4E">
        <w:rPr>
          <w:rFonts w:ascii="Arial" w:hAnsi="Arial" w:cs="Arial"/>
        </w:rPr>
        <w:t xml:space="preserve">relevant </w:t>
      </w:r>
      <w:r w:rsidRPr="00992B4E">
        <w:rPr>
          <w:rFonts w:ascii="Arial" w:hAnsi="Arial" w:cs="Arial"/>
        </w:rPr>
        <w:t xml:space="preserve">background, objectives, </w:t>
      </w:r>
      <w:r w:rsidR="0009660C" w:rsidRPr="00992B4E">
        <w:rPr>
          <w:rFonts w:ascii="Arial" w:hAnsi="Arial" w:cs="Arial"/>
        </w:rPr>
        <w:t xml:space="preserve">costs, </w:t>
      </w:r>
      <w:r w:rsidRPr="00992B4E">
        <w:rPr>
          <w:rFonts w:ascii="Arial" w:hAnsi="Arial" w:cs="Arial"/>
        </w:rPr>
        <w:t xml:space="preserve">activities, outputs, and expected outcomes and </w:t>
      </w:r>
      <w:r w:rsidR="002C31E6" w:rsidRPr="00992B4E">
        <w:rPr>
          <w:rFonts w:ascii="Arial" w:hAnsi="Arial" w:cs="Arial"/>
        </w:rPr>
        <w:t>impacts</w:t>
      </w:r>
      <w:r w:rsidRPr="00992B4E">
        <w:rPr>
          <w:rFonts w:ascii="Arial" w:hAnsi="Arial" w:cs="Arial"/>
        </w:rPr>
        <w:t xml:space="preserve"> was drafted</w:t>
      </w:r>
      <w:r w:rsidR="00554105" w:rsidRPr="00992B4E">
        <w:rPr>
          <w:rFonts w:ascii="Arial" w:hAnsi="Arial" w:cs="Arial"/>
        </w:rPr>
        <w:t xml:space="preserve"> for each of the </w:t>
      </w:r>
      <w:r w:rsidR="00346D66">
        <w:rPr>
          <w:rFonts w:ascii="Arial" w:hAnsi="Arial" w:cs="Arial"/>
        </w:rPr>
        <w:t xml:space="preserve">six investments. </w:t>
      </w:r>
      <w:r w:rsidRPr="00992B4E">
        <w:rPr>
          <w:rFonts w:ascii="Arial" w:hAnsi="Arial" w:cs="Arial"/>
        </w:rPr>
        <w:t xml:space="preserve"> Additional information needs were identified. </w:t>
      </w:r>
    </w:p>
    <w:p w:rsidR="002B0C2C" w:rsidRPr="002B0C2C" w:rsidRDefault="002B0C2C" w:rsidP="002B0C2C">
      <w:pPr>
        <w:pStyle w:val="ListParagraph"/>
        <w:numPr>
          <w:ilvl w:val="0"/>
          <w:numId w:val="4"/>
        </w:numPr>
        <w:rPr>
          <w:rFonts w:ascii="Arial" w:hAnsi="Arial" w:cs="Arial"/>
        </w:rPr>
      </w:pPr>
      <w:r w:rsidRPr="002B0C2C">
        <w:rPr>
          <w:rFonts w:ascii="Arial" w:hAnsi="Arial" w:cs="Arial"/>
        </w:rPr>
        <w:t>The potential impacts from each investment were identified and described in a triple bottom line context. Some of these impacts were then valued as part of the CBA.</w:t>
      </w:r>
    </w:p>
    <w:p w:rsidR="002B0C2C" w:rsidRDefault="002B0C2C" w:rsidP="002B0C2C">
      <w:pPr>
        <w:pStyle w:val="ListParagraph"/>
        <w:numPr>
          <w:ilvl w:val="0"/>
          <w:numId w:val="4"/>
        </w:numPr>
        <w:rPr>
          <w:rFonts w:ascii="Arial" w:hAnsi="Arial" w:cs="Arial"/>
        </w:rPr>
      </w:pPr>
      <w:r w:rsidRPr="002B0C2C">
        <w:rPr>
          <w:rFonts w:ascii="Arial" w:hAnsi="Arial" w:cs="Arial"/>
        </w:rPr>
        <w:t xml:space="preserve">Telephone and/or email contact was made with relevant Project Principal Investigators and the initial draft project description sent to them for perusal and comment, together with specific information requests. </w:t>
      </w:r>
    </w:p>
    <w:p w:rsidR="00554105" w:rsidRPr="00992B4E" w:rsidRDefault="00346D66" w:rsidP="00287C70">
      <w:pPr>
        <w:pStyle w:val="BodyText"/>
        <w:numPr>
          <w:ilvl w:val="0"/>
          <w:numId w:val="4"/>
        </w:numPr>
        <w:spacing w:after="0"/>
        <w:rPr>
          <w:rFonts w:ascii="Arial" w:hAnsi="Arial" w:cs="Arial"/>
        </w:rPr>
      </w:pPr>
      <w:r>
        <w:rPr>
          <w:rFonts w:ascii="Arial" w:hAnsi="Arial" w:cs="Arial"/>
        </w:rPr>
        <w:t>I</w:t>
      </w:r>
      <w:r w:rsidR="002B0C2C">
        <w:rPr>
          <w:rFonts w:ascii="Arial" w:hAnsi="Arial" w:cs="Arial"/>
        </w:rPr>
        <w:t>n</w:t>
      </w:r>
      <w:r>
        <w:rPr>
          <w:rFonts w:ascii="Arial" w:hAnsi="Arial" w:cs="Arial"/>
        </w:rPr>
        <w:t>teract</w:t>
      </w:r>
      <w:r w:rsidR="002B0C2C">
        <w:rPr>
          <w:rFonts w:ascii="Arial" w:hAnsi="Arial" w:cs="Arial"/>
        </w:rPr>
        <w:t>i</w:t>
      </w:r>
      <w:r>
        <w:rPr>
          <w:rFonts w:ascii="Arial" w:hAnsi="Arial" w:cs="Arial"/>
        </w:rPr>
        <w:t xml:space="preserve">ons </w:t>
      </w:r>
      <w:r w:rsidR="002B0C2C">
        <w:rPr>
          <w:rFonts w:ascii="Arial" w:hAnsi="Arial" w:cs="Arial"/>
        </w:rPr>
        <w:t xml:space="preserve">and discussions </w:t>
      </w:r>
      <w:r>
        <w:rPr>
          <w:rFonts w:ascii="Arial" w:hAnsi="Arial" w:cs="Arial"/>
        </w:rPr>
        <w:t>fol</w:t>
      </w:r>
      <w:r w:rsidR="002B0C2C">
        <w:rPr>
          <w:rFonts w:ascii="Arial" w:hAnsi="Arial" w:cs="Arial"/>
        </w:rPr>
        <w:t xml:space="preserve">lowed </w:t>
      </w:r>
      <w:r w:rsidR="00554105" w:rsidRPr="00992B4E">
        <w:rPr>
          <w:rFonts w:ascii="Arial" w:hAnsi="Arial" w:cs="Arial"/>
        </w:rPr>
        <w:t xml:space="preserve">with a number of </w:t>
      </w:r>
      <w:r>
        <w:rPr>
          <w:rFonts w:ascii="Arial" w:hAnsi="Arial" w:cs="Arial"/>
        </w:rPr>
        <w:t xml:space="preserve">DAF researchers, as well as with personnel who were familiar with the research outputs and their adoption by industry. </w:t>
      </w:r>
      <w:r w:rsidR="00554105" w:rsidRPr="00992B4E">
        <w:rPr>
          <w:rFonts w:ascii="Arial" w:hAnsi="Arial" w:cs="Arial"/>
        </w:rPr>
        <w:t xml:space="preserve"> </w:t>
      </w:r>
    </w:p>
    <w:p w:rsidR="00733D9B" w:rsidRDefault="00733D9B" w:rsidP="00287C70">
      <w:pPr>
        <w:pStyle w:val="BodyText"/>
        <w:numPr>
          <w:ilvl w:val="0"/>
          <w:numId w:val="4"/>
        </w:numPr>
        <w:spacing w:after="0"/>
        <w:rPr>
          <w:rFonts w:ascii="Arial" w:hAnsi="Arial" w:cs="Arial"/>
        </w:rPr>
      </w:pPr>
      <w:r w:rsidRPr="00992B4E">
        <w:rPr>
          <w:rFonts w:ascii="Arial" w:hAnsi="Arial" w:cs="Arial"/>
        </w:rPr>
        <w:t>Further information was assembled where appropriate from publications, industry personnel and other RD&amp;E personnel</w:t>
      </w:r>
      <w:r w:rsidR="00966A31" w:rsidRPr="00992B4E">
        <w:rPr>
          <w:rFonts w:ascii="Arial" w:hAnsi="Arial" w:cs="Arial"/>
        </w:rPr>
        <w:t>.</w:t>
      </w:r>
    </w:p>
    <w:p w:rsidR="00733D9B" w:rsidRDefault="00733D9B" w:rsidP="00287C70">
      <w:pPr>
        <w:pStyle w:val="BodyText"/>
        <w:numPr>
          <w:ilvl w:val="0"/>
          <w:numId w:val="4"/>
        </w:numPr>
        <w:spacing w:after="0"/>
        <w:rPr>
          <w:rFonts w:ascii="Arial" w:hAnsi="Arial" w:cs="Arial"/>
        </w:rPr>
      </w:pPr>
      <w:r w:rsidRPr="00992B4E">
        <w:rPr>
          <w:rFonts w:ascii="Arial" w:hAnsi="Arial" w:cs="Arial"/>
        </w:rPr>
        <w:t xml:space="preserve">Some analyses proceeded through several drafts, both internally within the project team as well as externally via </w:t>
      </w:r>
      <w:r w:rsidR="00966A31" w:rsidRPr="00992B4E">
        <w:rPr>
          <w:rFonts w:ascii="Arial" w:hAnsi="Arial" w:cs="Arial"/>
        </w:rPr>
        <w:t>P</w:t>
      </w:r>
      <w:r w:rsidRPr="00992B4E">
        <w:rPr>
          <w:rFonts w:ascii="Arial" w:hAnsi="Arial" w:cs="Arial"/>
        </w:rPr>
        <w:t xml:space="preserve">rincipal </w:t>
      </w:r>
      <w:r w:rsidR="00966A31" w:rsidRPr="00992B4E">
        <w:rPr>
          <w:rFonts w:ascii="Arial" w:hAnsi="Arial" w:cs="Arial"/>
        </w:rPr>
        <w:t>I</w:t>
      </w:r>
      <w:r w:rsidRPr="00992B4E">
        <w:rPr>
          <w:rFonts w:ascii="Arial" w:hAnsi="Arial" w:cs="Arial"/>
        </w:rPr>
        <w:t>nvestigators</w:t>
      </w:r>
      <w:r w:rsidR="00090754">
        <w:rPr>
          <w:rFonts w:ascii="Arial" w:hAnsi="Arial" w:cs="Arial"/>
        </w:rPr>
        <w:t xml:space="preserve"> and other reviewers</w:t>
      </w:r>
      <w:r w:rsidRPr="00992B4E">
        <w:rPr>
          <w:rFonts w:ascii="Arial" w:hAnsi="Arial" w:cs="Arial"/>
        </w:rPr>
        <w:t xml:space="preserve">. </w:t>
      </w:r>
    </w:p>
    <w:p w:rsidR="002B0C2C" w:rsidRPr="002B0C2C" w:rsidRDefault="002B0C2C" w:rsidP="002B0C2C">
      <w:pPr>
        <w:pStyle w:val="ListParagraph"/>
        <w:numPr>
          <w:ilvl w:val="0"/>
          <w:numId w:val="4"/>
        </w:numPr>
        <w:rPr>
          <w:rFonts w:ascii="Arial" w:hAnsi="Arial" w:cs="Arial"/>
        </w:rPr>
      </w:pPr>
      <w:r w:rsidRPr="002B0C2C">
        <w:rPr>
          <w:rFonts w:ascii="Arial" w:hAnsi="Arial" w:cs="Arial"/>
        </w:rPr>
        <w:t>Draft reports for each investment were provide</w:t>
      </w:r>
      <w:r w:rsidR="00FF6759">
        <w:rPr>
          <w:rFonts w:ascii="Arial" w:hAnsi="Arial" w:cs="Arial"/>
        </w:rPr>
        <w:t>d</w:t>
      </w:r>
      <w:r w:rsidRPr="002B0C2C">
        <w:rPr>
          <w:rFonts w:ascii="Arial" w:hAnsi="Arial" w:cs="Arial"/>
        </w:rPr>
        <w:t xml:space="preserve"> to DAF management for comment.  </w:t>
      </w:r>
    </w:p>
    <w:p w:rsidR="002B0C2C" w:rsidRPr="00992B4E" w:rsidRDefault="002B0C2C" w:rsidP="005173A2">
      <w:pPr>
        <w:pStyle w:val="BodyText"/>
        <w:numPr>
          <w:ilvl w:val="0"/>
          <w:numId w:val="4"/>
        </w:numPr>
        <w:rPr>
          <w:rFonts w:ascii="Arial" w:hAnsi="Arial" w:cs="Arial"/>
        </w:rPr>
      </w:pPr>
      <w:r>
        <w:rPr>
          <w:rFonts w:ascii="Arial" w:hAnsi="Arial" w:cs="Arial"/>
        </w:rPr>
        <w:t xml:space="preserve">Comments on each of the draft reports were addressed and incorporated into a final report that was </w:t>
      </w:r>
      <w:r w:rsidR="00FF6759">
        <w:rPr>
          <w:rFonts w:ascii="Arial" w:hAnsi="Arial" w:cs="Arial"/>
        </w:rPr>
        <w:t xml:space="preserve">provided </w:t>
      </w:r>
      <w:r>
        <w:rPr>
          <w:rFonts w:ascii="Arial" w:hAnsi="Arial" w:cs="Arial"/>
        </w:rPr>
        <w:t xml:space="preserve">to DAF management. </w:t>
      </w:r>
    </w:p>
    <w:p w:rsidR="00733D9B" w:rsidRPr="00992B4E" w:rsidRDefault="00733D9B" w:rsidP="00733D9B">
      <w:pPr>
        <w:pStyle w:val="BodyText"/>
        <w:spacing w:after="0"/>
        <w:rPr>
          <w:rFonts w:ascii="Arial" w:hAnsi="Arial" w:cs="Arial"/>
        </w:rPr>
      </w:pPr>
      <w:r w:rsidRPr="00992B4E">
        <w:rPr>
          <w:rFonts w:ascii="Arial" w:hAnsi="Arial" w:cs="Arial"/>
        </w:rPr>
        <w:t xml:space="preserve">The factors that drive the investment criteria for </w:t>
      </w:r>
      <w:r w:rsidR="006C7F87">
        <w:rPr>
          <w:rFonts w:ascii="Arial" w:hAnsi="Arial" w:cs="Arial"/>
        </w:rPr>
        <w:t>research and development (</w:t>
      </w:r>
      <w:r w:rsidRPr="00992B4E">
        <w:rPr>
          <w:rFonts w:ascii="Arial" w:hAnsi="Arial" w:cs="Arial"/>
        </w:rPr>
        <w:t>R&amp;D</w:t>
      </w:r>
      <w:r w:rsidR="006C7F87">
        <w:rPr>
          <w:rFonts w:ascii="Arial" w:hAnsi="Arial" w:cs="Arial"/>
        </w:rPr>
        <w:t>)</w:t>
      </w:r>
      <w:r w:rsidRPr="00992B4E">
        <w:rPr>
          <w:rFonts w:ascii="Arial" w:hAnsi="Arial" w:cs="Arial"/>
        </w:rPr>
        <w:t xml:space="preserve"> include:</w:t>
      </w:r>
    </w:p>
    <w:p w:rsidR="00733D9B" w:rsidRPr="00992B4E" w:rsidRDefault="00733D9B" w:rsidP="00733D9B">
      <w:pPr>
        <w:pStyle w:val="BodyText"/>
        <w:numPr>
          <w:ilvl w:val="0"/>
          <w:numId w:val="1"/>
        </w:numPr>
        <w:spacing w:after="0"/>
        <w:rPr>
          <w:rFonts w:ascii="Arial" w:hAnsi="Arial" w:cs="Arial"/>
        </w:rPr>
      </w:pPr>
      <w:r w:rsidRPr="00992B4E">
        <w:rPr>
          <w:rFonts w:ascii="Arial" w:hAnsi="Arial" w:cs="Arial"/>
        </w:rPr>
        <w:t>The cost of the R&amp;D.</w:t>
      </w:r>
    </w:p>
    <w:p w:rsidR="00733D9B" w:rsidRPr="00992B4E" w:rsidRDefault="00733D9B" w:rsidP="00733D9B">
      <w:pPr>
        <w:pStyle w:val="BodyText"/>
        <w:numPr>
          <w:ilvl w:val="0"/>
          <w:numId w:val="1"/>
        </w:numPr>
        <w:spacing w:after="0"/>
        <w:rPr>
          <w:rFonts w:ascii="Arial" w:hAnsi="Arial" w:cs="Arial"/>
        </w:rPr>
      </w:pPr>
      <w:r w:rsidRPr="00992B4E">
        <w:rPr>
          <w:rFonts w:ascii="Arial" w:hAnsi="Arial" w:cs="Arial"/>
        </w:rPr>
        <w:t xml:space="preserve">The magnitude of the net benefit per unit of production affected; this net benefit per unit also takes into account </w:t>
      </w:r>
      <w:r w:rsidR="00966A31" w:rsidRPr="00992B4E">
        <w:rPr>
          <w:rFonts w:ascii="Arial" w:hAnsi="Arial" w:cs="Arial"/>
        </w:rPr>
        <w:t xml:space="preserve">any </w:t>
      </w:r>
      <w:r w:rsidR="002B0C2C">
        <w:rPr>
          <w:rFonts w:ascii="Arial" w:hAnsi="Arial" w:cs="Arial"/>
        </w:rPr>
        <w:t xml:space="preserve">additional </w:t>
      </w:r>
      <w:r w:rsidRPr="00992B4E">
        <w:rPr>
          <w:rFonts w:ascii="Arial" w:hAnsi="Arial" w:cs="Arial"/>
        </w:rPr>
        <w:t>costs of implementation</w:t>
      </w:r>
      <w:r w:rsidR="00966A31" w:rsidRPr="00992B4E">
        <w:rPr>
          <w:rFonts w:ascii="Arial" w:hAnsi="Arial" w:cs="Arial"/>
        </w:rPr>
        <w:t>/usage</w:t>
      </w:r>
      <w:r w:rsidRPr="00992B4E">
        <w:rPr>
          <w:rFonts w:ascii="Arial" w:hAnsi="Arial" w:cs="Arial"/>
        </w:rPr>
        <w:t>.</w:t>
      </w:r>
    </w:p>
    <w:p w:rsidR="00733D9B" w:rsidRPr="00992B4E" w:rsidRDefault="00733D9B" w:rsidP="00733D9B">
      <w:pPr>
        <w:pStyle w:val="BodyText"/>
        <w:numPr>
          <w:ilvl w:val="0"/>
          <w:numId w:val="1"/>
        </w:numPr>
        <w:spacing w:after="0"/>
        <w:rPr>
          <w:rFonts w:ascii="Arial" w:hAnsi="Arial" w:cs="Arial"/>
        </w:rPr>
      </w:pPr>
      <w:r w:rsidRPr="00992B4E">
        <w:rPr>
          <w:rFonts w:ascii="Arial" w:hAnsi="Arial" w:cs="Arial"/>
        </w:rPr>
        <w:t xml:space="preserve">The quantity of production affected by the R&amp;D, in turn a function of the size of the target audience </w:t>
      </w:r>
      <w:r w:rsidR="00966A31" w:rsidRPr="00992B4E">
        <w:rPr>
          <w:rFonts w:ascii="Arial" w:hAnsi="Arial" w:cs="Arial"/>
        </w:rPr>
        <w:t>and/or applicable a</w:t>
      </w:r>
      <w:r w:rsidRPr="00992B4E">
        <w:rPr>
          <w:rFonts w:ascii="Arial" w:hAnsi="Arial" w:cs="Arial"/>
        </w:rPr>
        <w:t xml:space="preserve">rea, and the level of initial and maximum adoption ultimately expected, </w:t>
      </w:r>
      <w:r w:rsidR="00966A31" w:rsidRPr="00992B4E">
        <w:rPr>
          <w:rFonts w:ascii="Arial" w:hAnsi="Arial" w:cs="Arial"/>
        </w:rPr>
        <w:t xml:space="preserve">the expected commencement year of adoption and the </w:t>
      </w:r>
      <w:r w:rsidRPr="00992B4E">
        <w:rPr>
          <w:rFonts w:ascii="Arial" w:hAnsi="Arial" w:cs="Arial"/>
        </w:rPr>
        <w:t xml:space="preserve">level of adoption in the intervening years.  </w:t>
      </w:r>
    </w:p>
    <w:p w:rsidR="00733D9B" w:rsidRPr="00992B4E" w:rsidRDefault="00733D9B" w:rsidP="00733D9B">
      <w:pPr>
        <w:pStyle w:val="BodyText"/>
        <w:numPr>
          <w:ilvl w:val="0"/>
          <w:numId w:val="1"/>
        </w:numPr>
        <w:spacing w:after="0"/>
        <w:rPr>
          <w:rFonts w:ascii="Arial" w:hAnsi="Arial" w:cs="Arial"/>
        </w:rPr>
      </w:pPr>
      <w:r w:rsidRPr="00992B4E">
        <w:rPr>
          <w:rFonts w:ascii="Arial" w:hAnsi="Arial" w:cs="Arial"/>
        </w:rPr>
        <w:t>The discount rate.</w:t>
      </w:r>
    </w:p>
    <w:p w:rsidR="00733D9B" w:rsidRPr="00992B4E" w:rsidRDefault="00733D9B" w:rsidP="00733D9B">
      <w:pPr>
        <w:pStyle w:val="BodyText"/>
        <w:numPr>
          <w:ilvl w:val="0"/>
          <w:numId w:val="1"/>
        </w:numPr>
        <w:spacing w:after="0"/>
        <w:rPr>
          <w:rFonts w:ascii="Arial" w:hAnsi="Arial" w:cs="Arial"/>
        </w:rPr>
      </w:pPr>
      <w:r w:rsidRPr="00992B4E">
        <w:rPr>
          <w:rFonts w:ascii="Arial" w:hAnsi="Arial" w:cs="Arial"/>
        </w:rPr>
        <w:t xml:space="preserve">An attribution factor </w:t>
      </w:r>
      <w:r w:rsidR="006D713A" w:rsidRPr="00992B4E">
        <w:rPr>
          <w:rFonts w:ascii="Arial" w:hAnsi="Arial" w:cs="Arial"/>
        </w:rPr>
        <w:t xml:space="preserve">that </w:t>
      </w:r>
      <w:r w:rsidRPr="00992B4E">
        <w:rPr>
          <w:rFonts w:ascii="Arial" w:hAnsi="Arial" w:cs="Arial"/>
        </w:rPr>
        <w:t xml:space="preserve">can apply when the specific project or investment being considered is only one of several pieces of research or activity that have contributed to the </w:t>
      </w:r>
      <w:r w:rsidR="00554105" w:rsidRPr="00992B4E">
        <w:rPr>
          <w:rFonts w:ascii="Arial" w:hAnsi="Arial" w:cs="Arial"/>
        </w:rPr>
        <w:t>impact b</w:t>
      </w:r>
      <w:r w:rsidRPr="00992B4E">
        <w:rPr>
          <w:rFonts w:ascii="Arial" w:hAnsi="Arial" w:cs="Arial"/>
        </w:rPr>
        <w:t>eing valued.</w:t>
      </w:r>
    </w:p>
    <w:p w:rsidR="00733D9B" w:rsidRPr="00992B4E" w:rsidRDefault="00733D9B" w:rsidP="005173A2">
      <w:pPr>
        <w:pStyle w:val="BodyText"/>
        <w:numPr>
          <w:ilvl w:val="0"/>
          <w:numId w:val="1"/>
        </w:numPr>
        <w:rPr>
          <w:rFonts w:ascii="Arial" w:hAnsi="Arial" w:cs="Arial"/>
        </w:rPr>
      </w:pPr>
      <w:r w:rsidRPr="00992B4E">
        <w:rPr>
          <w:rFonts w:ascii="Arial" w:hAnsi="Arial" w:cs="Arial"/>
        </w:rPr>
        <w:t xml:space="preserve">The </w:t>
      </w:r>
      <w:r w:rsidR="00966A31" w:rsidRPr="00992B4E">
        <w:rPr>
          <w:rFonts w:ascii="Arial" w:hAnsi="Arial" w:cs="Arial"/>
        </w:rPr>
        <w:t xml:space="preserve">assumptions associated with the </w:t>
      </w:r>
      <w:r w:rsidRPr="00992B4E">
        <w:rPr>
          <w:rFonts w:ascii="Arial" w:hAnsi="Arial" w:cs="Arial"/>
        </w:rPr>
        <w:t xml:space="preserve">‘without R&amp;D’ scenario, referred to as the ‘counterfactual’. </w:t>
      </w:r>
    </w:p>
    <w:p w:rsidR="00992B4E" w:rsidRPr="00992B4E" w:rsidRDefault="00733D9B" w:rsidP="005173A2">
      <w:pPr>
        <w:spacing w:after="240"/>
        <w:rPr>
          <w:rFonts w:ascii="Arial" w:hAnsi="Arial" w:cs="Arial"/>
        </w:rPr>
      </w:pPr>
      <w:r w:rsidRPr="00992B4E">
        <w:rPr>
          <w:rFonts w:ascii="Arial" w:hAnsi="Arial" w:cs="Arial"/>
        </w:rPr>
        <w:t>C</w:t>
      </w:r>
      <w:r w:rsidR="002B0C2C">
        <w:rPr>
          <w:rFonts w:ascii="Arial" w:hAnsi="Arial" w:cs="Arial"/>
        </w:rPr>
        <w:t xml:space="preserve">BAs </w:t>
      </w:r>
      <w:r w:rsidRPr="00992B4E">
        <w:rPr>
          <w:rFonts w:ascii="Arial" w:hAnsi="Arial" w:cs="Arial"/>
        </w:rPr>
        <w:t>w</w:t>
      </w:r>
      <w:r w:rsidR="002B0C2C">
        <w:rPr>
          <w:rFonts w:ascii="Arial" w:hAnsi="Arial" w:cs="Arial"/>
        </w:rPr>
        <w:t>ere c</w:t>
      </w:r>
      <w:r w:rsidRPr="00992B4E">
        <w:rPr>
          <w:rFonts w:ascii="Arial" w:hAnsi="Arial" w:cs="Arial"/>
        </w:rPr>
        <w:t xml:space="preserve">onducted </w:t>
      </w:r>
      <w:r w:rsidR="002B0C2C">
        <w:rPr>
          <w:rFonts w:ascii="Arial" w:hAnsi="Arial" w:cs="Arial"/>
        </w:rPr>
        <w:t xml:space="preserve">individually </w:t>
      </w:r>
      <w:r w:rsidRPr="00992B4E">
        <w:rPr>
          <w:rFonts w:ascii="Arial" w:hAnsi="Arial" w:cs="Arial"/>
        </w:rPr>
        <w:t xml:space="preserve">on all </w:t>
      </w:r>
      <w:r w:rsidR="002B0C2C">
        <w:rPr>
          <w:rFonts w:ascii="Arial" w:hAnsi="Arial" w:cs="Arial"/>
        </w:rPr>
        <w:t xml:space="preserve">six investments </w:t>
      </w:r>
      <w:r w:rsidRPr="00992B4E">
        <w:rPr>
          <w:rFonts w:ascii="Arial" w:hAnsi="Arial" w:cs="Arial"/>
        </w:rPr>
        <w:t>to generate investment criteria by project</w:t>
      </w:r>
      <w:r w:rsidR="002B0C2C">
        <w:rPr>
          <w:rFonts w:ascii="Arial" w:hAnsi="Arial" w:cs="Arial"/>
        </w:rPr>
        <w:t xml:space="preserve"> or project cluster</w:t>
      </w:r>
      <w:r w:rsidRPr="00992B4E">
        <w:rPr>
          <w:rFonts w:ascii="Arial" w:hAnsi="Arial" w:cs="Arial"/>
        </w:rPr>
        <w:t xml:space="preserve">. The Present Value of Benefits (PVB) and Present Value of </w:t>
      </w:r>
      <w:r w:rsidR="00E70B25">
        <w:rPr>
          <w:rFonts w:ascii="Arial" w:hAnsi="Arial" w:cs="Arial"/>
        </w:rPr>
        <w:t xml:space="preserve">Investment </w:t>
      </w:r>
      <w:r w:rsidRPr="00992B4E">
        <w:rPr>
          <w:rFonts w:ascii="Arial" w:hAnsi="Arial" w:cs="Arial"/>
        </w:rPr>
        <w:t>Costs (PVC) were used to estimate investment criteria of Net Present Value</w:t>
      </w:r>
      <w:r w:rsidR="00216D9C" w:rsidRPr="00992B4E">
        <w:rPr>
          <w:rFonts w:ascii="Arial" w:hAnsi="Arial" w:cs="Arial"/>
        </w:rPr>
        <w:t xml:space="preserve"> (NPV)</w:t>
      </w:r>
      <w:r w:rsidRPr="00992B4E">
        <w:rPr>
          <w:rFonts w:ascii="Arial" w:hAnsi="Arial" w:cs="Arial"/>
        </w:rPr>
        <w:t xml:space="preserve"> and Benefit</w:t>
      </w:r>
      <w:r w:rsidR="00A621E1" w:rsidRPr="00992B4E">
        <w:rPr>
          <w:rFonts w:ascii="Arial" w:hAnsi="Arial" w:cs="Arial"/>
        </w:rPr>
        <w:t>-</w:t>
      </w:r>
      <w:r w:rsidRPr="00992B4E">
        <w:rPr>
          <w:rFonts w:ascii="Arial" w:hAnsi="Arial" w:cs="Arial"/>
        </w:rPr>
        <w:t xml:space="preserve">Cost Ratio (BCR) at a discount rate of 5%. The Internal Rate of Return (IRR) was estimated from the annual net cash flows. </w:t>
      </w:r>
      <w:r w:rsidR="00992B4E" w:rsidRPr="00992B4E">
        <w:rPr>
          <w:rFonts w:ascii="Arial" w:hAnsi="Arial" w:cs="Arial"/>
        </w:rPr>
        <w:t xml:space="preserve">The Modified Internal Rate of Return </w:t>
      </w:r>
      <w:r w:rsidR="00992B4E">
        <w:rPr>
          <w:rFonts w:ascii="Arial" w:hAnsi="Arial" w:cs="Arial"/>
        </w:rPr>
        <w:t xml:space="preserve">(MIRR) </w:t>
      </w:r>
      <w:r w:rsidR="002B0C2C">
        <w:rPr>
          <w:rFonts w:ascii="Arial" w:hAnsi="Arial" w:cs="Arial"/>
        </w:rPr>
        <w:t xml:space="preserve">for each investment also was estimated. The MIRR </w:t>
      </w:r>
      <w:bookmarkStart w:id="27" w:name="_Hlk483056999"/>
      <w:r w:rsidR="00992B4E" w:rsidRPr="00992B4E">
        <w:rPr>
          <w:rFonts w:ascii="Arial" w:hAnsi="Arial" w:cs="Arial"/>
        </w:rPr>
        <w:t xml:space="preserve">is a modified IRR estimated so that any </w:t>
      </w:r>
      <w:r w:rsidR="00941218">
        <w:rPr>
          <w:rFonts w:ascii="Arial" w:hAnsi="Arial" w:cs="Arial"/>
        </w:rPr>
        <w:t xml:space="preserve">positive </w:t>
      </w:r>
      <w:r w:rsidR="00992B4E" w:rsidRPr="00992B4E">
        <w:rPr>
          <w:rFonts w:ascii="Arial" w:hAnsi="Arial" w:cs="Arial"/>
        </w:rPr>
        <w:t>cash inflows from an investment are re-invested at the rate of the cost of capital (the re-investment rate).</w:t>
      </w:r>
      <w:r w:rsidR="00992B4E">
        <w:rPr>
          <w:rFonts w:ascii="Arial" w:hAnsi="Arial" w:cs="Arial"/>
        </w:rPr>
        <w:t xml:space="preserve"> </w:t>
      </w:r>
      <w:bookmarkEnd w:id="27"/>
      <w:r w:rsidR="00F52DA0">
        <w:rPr>
          <w:rFonts w:ascii="Arial" w:hAnsi="Arial" w:cs="Arial"/>
        </w:rPr>
        <w:t>For these analyses</w:t>
      </w:r>
      <w:r w:rsidR="00941218">
        <w:rPr>
          <w:rFonts w:ascii="Arial" w:hAnsi="Arial" w:cs="Arial"/>
        </w:rPr>
        <w:t>,</w:t>
      </w:r>
      <w:r w:rsidR="00F52DA0">
        <w:rPr>
          <w:rFonts w:ascii="Arial" w:hAnsi="Arial" w:cs="Arial"/>
        </w:rPr>
        <w:t xml:space="preserve"> t</w:t>
      </w:r>
      <w:r w:rsidR="00992B4E" w:rsidRPr="00992B4E">
        <w:rPr>
          <w:rFonts w:ascii="Arial" w:hAnsi="Arial" w:cs="Arial"/>
        </w:rPr>
        <w:t xml:space="preserve">he </w:t>
      </w:r>
      <w:r w:rsidR="00F52DA0">
        <w:rPr>
          <w:rFonts w:ascii="Arial" w:hAnsi="Arial" w:cs="Arial"/>
        </w:rPr>
        <w:t>re-investment rate was set at 5%</w:t>
      </w:r>
      <w:r w:rsidR="00941218">
        <w:rPr>
          <w:rFonts w:ascii="Arial" w:hAnsi="Arial" w:cs="Arial"/>
        </w:rPr>
        <w:t xml:space="preserve"> as required by the CRRDC</w:t>
      </w:r>
      <w:r w:rsidR="00F52DA0">
        <w:rPr>
          <w:rFonts w:ascii="Arial" w:hAnsi="Arial" w:cs="Arial"/>
        </w:rPr>
        <w:t xml:space="preserve">. </w:t>
      </w:r>
      <w:r w:rsidR="002D7E91" w:rsidRPr="00992B4E">
        <w:rPr>
          <w:rFonts w:ascii="Arial" w:hAnsi="Arial" w:cs="Arial"/>
        </w:rPr>
        <w:t xml:space="preserve">These terms are defined in the Glossary of Economic Terms at the beginning of this report. </w:t>
      </w:r>
    </w:p>
    <w:p w:rsidR="00941218" w:rsidRDefault="00733D9B" w:rsidP="005173A2">
      <w:pPr>
        <w:spacing w:after="240"/>
        <w:rPr>
          <w:rFonts w:ascii="Arial" w:hAnsi="Arial" w:cs="Arial"/>
        </w:rPr>
      </w:pPr>
      <w:r w:rsidRPr="00992B4E">
        <w:rPr>
          <w:rFonts w:ascii="Arial" w:hAnsi="Arial" w:cs="Arial"/>
        </w:rPr>
        <w:t>All dollar costs and benefits were expressed in 201</w:t>
      </w:r>
      <w:r w:rsidR="00554105" w:rsidRPr="00992B4E">
        <w:rPr>
          <w:rFonts w:ascii="Arial" w:hAnsi="Arial" w:cs="Arial"/>
        </w:rPr>
        <w:t>6</w:t>
      </w:r>
      <w:r w:rsidRPr="00992B4E">
        <w:rPr>
          <w:rFonts w:ascii="Arial" w:hAnsi="Arial" w:cs="Arial"/>
        </w:rPr>
        <w:t>/1</w:t>
      </w:r>
      <w:r w:rsidR="00554105" w:rsidRPr="00992B4E">
        <w:rPr>
          <w:rFonts w:ascii="Arial" w:hAnsi="Arial" w:cs="Arial"/>
        </w:rPr>
        <w:t>7</w:t>
      </w:r>
      <w:r w:rsidRPr="00992B4E">
        <w:rPr>
          <w:rFonts w:ascii="Arial" w:hAnsi="Arial" w:cs="Arial"/>
        </w:rPr>
        <w:t xml:space="preserve"> dollar terms using the Implicit Price Deflator for GDP and discounted to the 201</w:t>
      </w:r>
      <w:r w:rsidR="00554105" w:rsidRPr="00992B4E">
        <w:rPr>
          <w:rFonts w:ascii="Arial" w:hAnsi="Arial" w:cs="Arial"/>
        </w:rPr>
        <w:t>6</w:t>
      </w:r>
      <w:r w:rsidRPr="00992B4E">
        <w:rPr>
          <w:rFonts w:ascii="Arial" w:hAnsi="Arial" w:cs="Arial"/>
        </w:rPr>
        <w:t>/1</w:t>
      </w:r>
      <w:r w:rsidR="00554105" w:rsidRPr="00992B4E">
        <w:rPr>
          <w:rFonts w:ascii="Arial" w:hAnsi="Arial" w:cs="Arial"/>
        </w:rPr>
        <w:t>7</w:t>
      </w:r>
      <w:r w:rsidRPr="00992B4E">
        <w:rPr>
          <w:rFonts w:ascii="Arial" w:hAnsi="Arial" w:cs="Arial"/>
        </w:rPr>
        <w:t xml:space="preserve"> year. A 30</w:t>
      </w:r>
      <w:r w:rsidR="00F52DA0">
        <w:rPr>
          <w:rFonts w:ascii="Arial" w:hAnsi="Arial" w:cs="Arial"/>
        </w:rPr>
        <w:t>-</w:t>
      </w:r>
      <w:r w:rsidRPr="00992B4E">
        <w:rPr>
          <w:rFonts w:ascii="Arial" w:hAnsi="Arial" w:cs="Arial"/>
        </w:rPr>
        <w:t xml:space="preserve">year benefit time frame was used in all analyses, with benefits estimated for </w:t>
      </w:r>
      <w:r w:rsidR="00F52DA0">
        <w:rPr>
          <w:rFonts w:ascii="Arial" w:hAnsi="Arial" w:cs="Arial"/>
        </w:rPr>
        <w:t xml:space="preserve">up to </w:t>
      </w:r>
      <w:r w:rsidRPr="00992B4E">
        <w:rPr>
          <w:rFonts w:ascii="Arial" w:hAnsi="Arial" w:cs="Arial"/>
        </w:rPr>
        <w:t xml:space="preserve">30 years from the year of last investment in each project. </w:t>
      </w:r>
      <w:r w:rsidR="00C627F9" w:rsidRPr="00992B4E">
        <w:rPr>
          <w:rFonts w:ascii="Arial" w:hAnsi="Arial" w:cs="Arial"/>
        </w:rPr>
        <w:t xml:space="preserve">Total investment costs </w:t>
      </w:r>
      <w:r w:rsidRPr="00992B4E">
        <w:rPr>
          <w:rFonts w:ascii="Arial" w:hAnsi="Arial" w:cs="Arial"/>
        </w:rPr>
        <w:t xml:space="preserve">for each project included the expenditure on the project by </w:t>
      </w:r>
      <w:r w:rsidR="006437D6" w:rsidRPr="00992B4E">
        <w:rPr>
          <w:rFonts w:ascii="Arial" w:hAnsi="Arial" w:cs="Arial"/>
        </w:rPr>
        <w:t>DAF</w:t>
      </w:r>
      <w:r w:rsidR="00941218">
        <w:rPr>
          <w:rFonts w:ascii="Arial" w:hAnsi="Arial" w:cs="Arial"/>
        </w:rPr>
        <w:t xml:space="preserve"> and the industry RDC</w:t>
      </w:r>
      <w:r w:rsidRPr="00992B4E">
        <w:rPr>
          <w:rFonts w:ascii="Arial" w:hAnsi="Arial" w:cs="Arial"/>
        </w:rPr>
        <w:t xml:space="preserve">, as well as any other resources contributed by third parties. </w:t>
      </w:r>
      <w:r w:rsidR="00941218">
        <w:rPr>
          <w:rFonts w:ascii="Arial" w:hAnsi="Arial" w:cs="Arial"/>
        </w:rPr>
        <w:t>Investment criteria were estimated for the total investment</w:t>
      </w:r>
      <w:r w:rsidR="00090754">
        <w:rPr>
          <w:rFonts w:ascii="Arial" w:hAnsi="Arial" w:cs="Arial"/>
        </w:rPr>
        <w:t xml:space="preserve"> as well as for </w:t>
      </w:r>
      <w:r w:rsidR="00941218">
        <w:rPr>
          <w:rFonts w:ascii="Arial" w:hAnsi="Arial" w:cs="Arial"/>
        </w:rPr>
        <w:t>the investment by DAF</w:t>
      </w:r>
      <w:r w:rsidR="00090754">
        <w:rPr>
          <w:rFonts w:ascii="Arial" w:hAnsi="Arial" w:cs="Arial"/>
        </w:rPr>
        <w:t>.</w:t>
      </w:r>
    </w:p>
    <w:p w:rsidR="00733D9B" w:rsidRPr="00992B4E" w:rsidRDefault="00733D9B" w:rsidP="005173A2">
      <w:pPr>
        <w:spacing w:after="240"/>
        <w:rPr>
          <w:rFonts w:ascii="Arial" w:hAnsi="Arial" w:cs="Arial"/>
        </w:rPr>
      </w:pPr>
      <w:r w:rsidRPr="00992B4E">
        <w:rPr>
          <w:rFonts w:ascii="Arial" w:hAnsi="Arial" w:cs="Arial"/>
        </w:rPr>
        <w:t xml:space="preserve">A degree of conservatism was used when </w:t>
      </w:r>
      <w:r w:rsidR="00C627F9" w:rsidRPr="00992B4E">
        <w:rPr>
          <w:rFonts w:ascii="Arial" w:hAnsi="Arial" w:cs="Arial"/>
        </w:rPr>
        <w:t xml:space="preserve">making specific </w:t>
      </w:r>
      <w:r w:rsidRPr="00992B4E">
        <w:rPr>
          <w:rFonts w:ascii="Arial" w:hAnsi="Arial" w:cs="Arial"/>
        </w:rPr>
        <w:t xml:space="preserve">assumptions. Sensitivity </w:t>
      </w:r>
      <w:r w:rsidR="00E70B25" w:rsidRPr="00992B4E">
        <w:rPr>
          <w:rFonts w:ascii="Arial" w:hAnsi="Arial" w:cs="Arial"/>
        </w:rPr>
        <w:t>analys</w:t>
      </w:r>
      <w:r w:rsidR="00E70B25">
        <w:rPr>
          <w:rFonts w:ascii="Arial" w:hAnsi="Arial" w:cs="Arial"/>
        </w:rPr>
        <w:t>e</w:t>
      </w:r>
      <w:r w:rsidR="00E70B25" w:rsidRPr="00992B4E">
        <w:rPr>
          <w:rFonts w:ascii="Arial" w:hAnsi="Arial" w:cs="Arial"/>
        </w:rPr>
        <w:t>s w</w:t>
      </w:r>
      <w:r w:rsidR="00E70B25">
        <w:rPr>
          <w:rFonts w:ascii="Arial" w:hAnsi="Arial" w:cs="Arial"/>
        </w:rPr>
        <w:t>ere</w:t>
      </w:r>
      <w:r w:rsidR="00E70B25" w:rsidRPr="00992B4E">
        <w:rPr>
          <w:rFonts w:ascii="Arial" w:hAnsi="Arial" w:cs="Arial"/>
        </w:rPr>
        <w:t xml:space="preserve"> </w:t>
      </w:r>
      <w:r w:rsidRPr="00992B4E">
        <w:rPr>
          <w:rFonts w:ascii="Arial" w:hAnsi="Arial" w:cs="Arial"/>
        </w:rPr>
        <w:t xml:space="preserve">undertaken for several assumptions that had the greatest degree of uncertainty or for those that were seen to be key drivers of the investment criteria. </w:t>
      </w:r>
    </w:p>
    <w:p w:rsidR="00733D9B" w:rsidRPr="00992B4E" w:rsidRDefault="00733D9B" w:rsidP="00733D9B">
      <w:pPr>
        <w:rPr>
          <w:rFonts w:ascii="Arial" w:hAnsi="Arial" w:cs="Arial"/>
        </w:rPr>
      </w:pPr>
      <w:r w:rsidRPr="00992B4E">
        <w:rPr>
          <w:rFonts w:ascii="Arial" w:hAnsi="Arial" w:cs="Arial"/>
        </w:rPr>
        <w:t xml:space="preserve">Some identified </w:t>
      </w:r>
      <w:r w:rsidR="00324B21" w:rsidRPr="00992B4E">
        <w:rPr>
          <w:rFonts w:ascii="Arial" w:hAnsi="Arial" w:cs="Arial"/>
        </w:rPr>
        <w:t xml:space="preserve">impacts </w:t>
      </w:r>
      <w:r w:rsidRPr="00992B4E">
        <w:rPr>
          <w:rFonts w:ascii="Arial" w:hAnsi="Arial" w:cs="Arial"/>
        </w:rPr>
        <w:t>were not quantified mainly due to</w:t>
      </w:r>
      <w:r w:rsidR="00941218">
        <w:rPr>
          <w:rFonts w:ascii="Arial" w:hAnsi="Arial" w:cs="Arial"/>
        </w:rPr>
        <w:t xml:space="preserve"> factors such as</w:t>
      </w:r>
      <w:r w:rsidRPr="00992B4E">
        <w:rPr>
          <w:rFonts w:ascii="Arial" w:hAnsi="Arial" w:cs="Arial"/>
        </w:rPr>
        <w:t>:</w:t>
      </w:r>
    </w:p>
    <w:p w:rsidR="00733D9B" w:rsidRPr="00992B4E" w:rsidRDefault="00A21B78" w:rsidP="00733D9B">
      <w:pPr>
        <w:pStyle w:val="BodyText"/>
        <w:numPr>
          <w:ilvl w:val="0"/>
          <w:numId w:val="1"/>
        </w:numPr>
        <w:spacing w:after="0"/>
        <w:rPr>
          <w:rFonts w:ascii="Arial" w:hAnsi="Arial" w:cs="Arial"/>
        </w:rPr>
      </w:pPr>
      <w:r w:rsidRPr="00992B4E">
        <w:rPr>
          <w:rFonts w:ascii="Arial" w:hAnsi="Arial" w:cs="Arial"/>
        </w:rPr>
        <w:t>A suspected</w:t>
      </w:r>
      <w:r w:rsidR="00733D9B" w:rsidRPr="00992B4E">
        <w:rPr>
          <w:rFonts w:ascii="Arial" w:hAnsi="Arial" w:cs="Arial"/>
        </w:rPr>
        <w:t xml:space="preserve"> weak or uncertain scientific or causal relationship between the research</w:t>
      </w:r>
      <w:r w:rsidRPr="00992B4E">
        <w:rPr>
          <w:rFonts w:ascii="Arial" w:hAnsi="Arial" w:cs="Arial"/>
        </w:rPr>
        <w:t xml:space="preserve"> </w:t>
      </w:r>
      <w:r w:rsidR="00733D9B" w:rsidRPr="00992B4E">
        <w:rPr>
          <w:rFonts w:ascii="Arial" w:hAnsi="Arial" w:cs="Arial"/>
        </w:rPr>
        <w:t xml:space="preserve">investment and the </w:t>
      </w:r>
      <w:r w:rsidR="00C627F9" w:rsidRPr="00992B4E">
        <w:rPr>
          <w:rFonts w:ascii="Arial" w:hAnsi="Arial" w:cs="Arial"/>
        </w:rPr>
        <w:t xml:space="preserve">associated outputs, </w:t>
      </w:r>
      <w:r w:rsidR="00733D9B" w:rsidRPr="00992B4E">
        <w:rPr>
          <w:rFonts w:ascii="Arial" w:hAnsi="Arial" w:cs="Arial"/>
        </w:rPr>
        <w:t xml:space="preserve">outcomes and </w:t>
      </w:r>
      <w:r w:rsidR="002C31E6" w:rsidRPr="00992B4E">
        <w:rPr>
          <w:rFonts w:ascii="Arial" w:hAnsi="Arial" w:cs="Arial"/>
        </w:rPr>
        <w:t>impacts</w:t>
      </w:r>
      <w:r w:rsidRPr="00992B4E">
        <w:rPr>
          <w:rFonts w:ascii="Arial" w:hAnsi="Arial" w:cs="Arial"/>
        </w:rPr>
        <w:t>.</w:t>
      </w:r>
      <w:r w:rsidR="00733D9B" w:rsidRPr="00992B4E">
        <w:rPr>
          <w:rFonts w:ascii="Arial" w:hAnsi="Arial" w:cs="Arial"/>
        </w:rPr>
        <w:t xml:space="preserve"> </w:t>
      </w:r>
    </w:p>
    <w:p w:rsidR="00733D9B" w:rsidRPr="00992B4E" w:rsidRDefault="00733D9B" w:rsidP="00733D9B">
      <w:pPr>
        <w:pStyle w:val="BodyText"/>
        <w:numPr>
          <w:ilvl w:val="0"/>
          <w:numId w:val="1"/>
        </w:numPr>
        <w:spacing w:after="0"/>
        <w:rPr>
          <w:rFonts w:ascii="Arial" w:hAnsi="Arial" w:cs="Arial"/>
        </w:rPr>
      </w:pPr>
      <w:r w:rsidRPr="00992B4E">
        <w:rPr>
          <w:rFonts w:ascii="Arial" w:hAnsi="Arial" w:cs="Arial"/>
        </w:rPr>
        <w:t xml:space="preserve">The magnitude of the value of the </w:t>
      </w:r>
      <w:r w:rsidR="00324B21" w:rsidRPr="00992B4E">
        <w:rPr>
          <w:rFonts w:ascii="Arial" w:hAnsi="Arial" w:cs="Arial"/>
        </w:rPr>
        <w:t xml:space="preserve">impact </w:t>
      </w:r>
      <w:r w:rsidRPr="00992B4E">
        <w:rPr>
          <w:rFonts w:ascii="Arial" w:hAnsi="Arial" w:cs="Arial"/>
        </w:rPr>
        <w:t>was thought to be only minor</w:t>
      </w:r>
      <w:r w:rsidR="00A21B78" w:rsidRPr="00992B4E">
        <w:rPr>
          <w:rFonts w:ascii="Arial" w:hAnsi="Arial" w:cs="Arial"/>
        </w:rPr>
        <w:t>.</w:t>
      </w:r>
    </w:p>
    <w:p w:rsidR="00733D9B" w:rsidRPr="00992B4E" w:rsidRDefault="00733D9B" w:rsidP="005173A2">
      <w:pPr>
        <w:pStyle w:val="BodyText"/>
        <w:numPr>
          <w:ilvl w:val="0"/>
          <w:numId w:val="1"/>
        </w:numPr>
        <w:rPr>
          <w:rFonts w:ascii="Arial" w:hAnsi="Arial" w:cs="Arial"/>
        </w:rPr>
      </w:pPr>
      <w:r w:rsidRPr="00992B4E">
        <w:rPr>
          <w:rFonts w:ascii="Arial" w:hAnsi="Arial" w:cs="Arial"/>
        </w:rPr>
        <w:t xml:space="preserve">A lack of data on which to base </w:t>
      </w:r>
      <w:r w:rsidR="00C627F9" w:rsidRPr="00992B4E">
        <w:rPr>
          <w:rFonts w:ascii="Arial" w:hAnsi="Arial" w:cs="Arial"/>
        </w:rPr>
        <w:t xml:space="preserve">credible </w:t>
      </w:r>
      <w:r w:rsidRPr="00992B4E">
        <w:rPr>
          <w:rFonts w:ascii="Arial" w:hAnsi="Arial" w:cs="Arial"/>
        </w:rPr>
        <w:t>assumptions</w:t>
      </w:r>
      <w:r w:rsidR="00C627F9" w:rsidRPr="00992B4E">
        <w:rPr>
          <w:rFonts w:ascii="Arial" w:hAnsi="Arial" w:cs="Arial"/>
        </w:rPr>
        <w:t xml:space="preserve"> for valuation</w:t>
      </w:r>
      <w:r w:rsidR="00A21B78" w:rsidRPr="00992B4E">
        <w:rPr>
          <w:rFonts w:ascii="Arial" w:hAnsi="Arial" w:cs="Arial"/>
        </w:rPr>
        <w:t>.</w:t>
      </w:r>
    </w:p>
    <w:p w:rsidR="00733D9B" w:rsidRPr="00992B4E" w:rsidRDefault="00733D9B" w:rsidP="005173A2">
      <w:pPr>
        <w:spacing w:after="240"/>
        <w:rPr>
          <w:rFonts w:ascii="Arial" w:hAnsi="Arial" w:cs="Arial"/>
        </w:rPr>
      </w:pPr>
      <w:r w:rsidRPr="00992B4E">
        <w:rPr>
          <w:rFonts w:ascii="Arial" w:hAnsi="Arial" w:cs="Arial"/>
        </w:rPr>
        <w:t xml:space="preserve">Once each of the </w:t>
      </w:r>
      <w:r w:rsidR="00941218">
        <w:rPr>
          <w:rFonts w:ascii="Arial" w:hAnsi="Arial" w:cs="Arial"/>
        </w:rPr>
        <w:t xml:space="preserve">six </w:t>
      </w:r>
      <w:r w:rsidRPr="00992B4E">
        <w:rPr>
          <w:rFonts w:ascii="Arial" w:hAnsi="Arial" w:cs="Arial"/>
        </w:rPr>
        <w:t xml:space="preserve">individual analyses were </w:t>
      </w:r>
      <w:r w:rsidR="00090754">
        <w:rPr>
          <w:rFonts w:ascii="Arial" w:hAnsi="Arial" w:cs="Arial"/>
        </w:rPr>
        <w:t>finalised</w:t>
      </w:r>
      <w:r w:rsidRPr="00992B4E">
        <w:rPr>
          <w:rFonts w:ascii="Arial" w:hAnsi="Arial" w:cs="Arial"/>
        </w:rPr>
        <w:t xml:space="preserve">, </w:t>
      </w:r>
      <w:r w:rsidR="00941218">
        <w:rPr>
          <w:rFonts w:ascii="Arial" w:hAnsi="Arial" w:cs="Arial"/>
        </w:rPr>
        <w:t xml:space="preserve">the six </w:t>
      </w:r>
      <w:r w:rsidRPr="00992B4E">
        <w:rPr>
          <w:rFonts w:ascii="Arial" w:hAnsi="Arial" w:cs="Arial"/>
        </w:rPr>
        <w:t>individual undiscounted cash flows</w:t>
      </w:r>
      <w:r w:rsidR="00941218">
        <w:rPr>
          <w:rFonts w:ascii="Arial" w:hAnsi="Arial" w:cs="Arial"/>
        </w:rPr>
        <w:t xml:space="preserve"> </w:t>
      </w:r>
      <w:r w:rsidRPr="00992B4E">
        <w:rPr>
          <w:rFonts w:ascii="Arial" w:hAnsi="Arial" w:cs="Arial"/>
        </w:rPr>
        <w:t xml:space="preserve">(benefits and costs) were </w:t>
      </w:r>
      <w:r w:rsidR="00053F02" w:rsidRPr="00992B4E">
        <w:rPr>
          <w:rFonts w:ascii="Arial" w:hAnsi="Arial" w:cs="Arial"/>
        </w:rPr>
        <w:t xml:space="preserve">combined to </w:t>
      </w:r>
      <w:r w:rsidR="00C627F9" w:rsidRPr="00992B4E">
        <w:rPr>
          <w:rFonts w:ascii="Arial" w:hAnsi="Arial" w:cs="Arial"/>
        </w:rPr>
        <w:t xml:space="preserve">provide the basis for the </w:t>
      </w:r>
      <w:r w:rsidR="00B21607">
        <w:rPr>
          <w:rFonts w:ascii="Arial" w:hAnsi="Arial" w:cs="Arial"/>
        </w:rPr>
        <w:t>calculation</w:t>
      </w:r>
      <w:r w:rsidRPr="00992B4E">
        <w:rPr>
          <w:rFonts w:ascii="Arial" w:hAnsi="Arial" w:cs="Arial"/>
        </w:rPr>
        <w:t xml:space="preserve"> </w:t>
      </w:r>
      <w:r w:rsidR="00C627F9" w:rsidRPr="00992B4E">
        <w:rPr>
          <w:rFonts w:ascii="Arial" w:hAnsi="Arial" w:cs="Arial"/>
        </w:rPr>
        <w:t xml:space="preserve">of </w:t>
      </w:r>
      <w:r w:rsidR="00053F02" w:rsidRPr="00992B4E">
        <w:rPr>
          <w:rFonts w:ascii="Arial" w:hAnsi="Arial" w:cs="Arial"/>
        </w:rPr>
        <w:t xml:space="preserve">aggregate </w:t>
      </w:r>
      <w:r w:rsidRPr="00992B4E">
        <w:rPr>
          <w:rFonts w:ascii="Arial" w:hAnsi="Arial" w:cs="Arial"/>
        </w:rPr>
        <w:t>investment criteria</w:t>
      </w:r>
      <w:r w:rsidR="00B21607">
        <w:rPr>
          <w:rFonts w:ascii="Arial" w:hAnsi="Arial" w:cs="Arial"/>
        </w:rPr>
        <w:t xml:space="preserve">, generated for the total investment and for the DAF investment separately, </w:t>
      </w:r>
      <w:r w:rsidR="00C627F9" w:rsidRPr="00992B4E">
        <w:rPr>
          <w:rFonts w:ascii="Arial" w:hAnsi="Arial" w:cs="Arial"/>
        </w:rPr>
        <w:t xml:space="preserve">for all </w:t>
      </w:r>
      <w:r w:rsidR="00941218">
        <w:rPr>
          <w:rFonts w:ascii="Arial" w:hAnsi="Arial" w:cs="Arial"/>
        </w:rPr>
        <w:t xml:space="preserve">six </w:t>
      </w:r>
      <w:r w:rsidR="00C627F9" w:rsidRPr="00992B4E">
        <w:rPr>
          <w:rFonts w:ascii="Arial" w:hAnsi="Arial" w:cs="Arial"/>
        </w:rPr>
        <w:t>investments combined</w:t>
      </w:r>
      <w:r w:rsidRPr="00992B4E">
        <w:rPr>
          <w:rFonts w:ascii="Arial" w:hAnsi="Arial" w:cs="Arial"/>
        </w:rPr>
        <w:t xml:space="preserve">. </w:t>
      </w:r>
    </w:p>
    <w:p w:rsidR="00733D9B" w:rsidRDefault="00733D9B" w:rsidP="00733D9B"/>
    <w:p w:rsidR="00733D9B" w:rsidRPr="0066044E" w:rsidRDefault="00733D9B" w:rsidP="00733D9B">
      <w:pPr>
        <w:spacing w:line="276" w:lineRule="auto"/>
        <w:rPr>
          <w:b/>
          <w:sz w:val="32"/>
          <w:szCs w:val="20"/>
        </w:rPr>
      </w:pPr>
      <w:bookmarkStart w:id="28" w:name="_Toc352859706"/>
      <w:r>
        <w:br w:type="page"/>
      </w:r>
    </w:p>
    <w:p w:rsidR="00733D9B" w:rsidRPr="00E41B9B" w:rsidRDefault="00733D9B" w:rsidP="00C66231">
      <w:pPr>
        <w:pStyle w:val="Heading1"/>
      </w:pPr>
      <w:bookmarkStart w:id="29" w:name="_Toc398113668"/>
      <w:bookmarkStart w:id="30" w:name="_Toc486145205"/>
      <w:bookmarkStart w:id="31" w:name="_Toc489604049"/>
      <w:bookmarkStart w:id="32" w:name="_Toc490036911"/>
      <w:r w:rsidRPr="008244A4">
        <w:t>3.</w:t>
      </w:r>
      <w:r w:rsidRPr="00E41B9B">
        <w:t xml:space="preserve"> Summary of Results</w:t>
      </w:r>
      <w:bookmarkEnd w:id="28"/>
      <w:bookmarkEnd w:id="29"/>
      <w:bookmarkEnd w:id="30"/>
      <w:bookmarkEnd w:id="31"/>
      <w:bookmarkEnd w:id="32"/>
    </w:p>
    <w:p w:rsidR="00733D9B" w:rsidRPr="00A93D3C" w:rsidRDefault="001901E1" w:rsidP="005173A2">
      <w:pPr>
        <w:pStyle w:val="BodyText"/>
        <w:rPr>
          <w:rFonts w:ascii="Arial" w:hAnsi="Arial" w:cs="Arial"/>
        </w:rPr>
      </w:pPr>
      <w:r>
        <w:rPr>
          <w:rFonts w:ascii="Arial" w:hAnsi="Arial" w:cs="Arial"/>
          <w:szCs w:val="22"/>
        </w:rPr>
        <w:t xml:space="preserve">Aggregate investment criteria </w:t>
      </w:r>
      <w:r w:rsidR="00733D9B" w:rsidRPr="00A93D3C">
        <w:rPr>
          <w:rFonts w:ascii="Arial" w:hAnsi="Arial" w:cs="Arial"/>
          <w:szCs w:val="22"/>
        </w:rPr>
        <w:t xml:space="preserve">estimated for </w:t>
      </w:r>
      <w:r>
        <w:rPr>
          <w:rFonts w:ascii="Arial" w:hAnsi="Arial" w:cs="Arial"/>
          <w:szCs w:val="22"/>
        </w:rPr>
        <w:t xml:space="preserve">both </w:t>
      </w:r>
      <w:r w:rsidR="00433A63" w:rsidRPr="00A93D3C">
        <w:rPr>
          <w:rFonts w:ascii="Arial" w:hAnsi="Arial" w:cs="Arial"/>
          <w:szCs w:val="22"/>
        </w:rPr>
        <w:t xml:space="preserve">the </w:t>
      </w:r>
      <w:r w:rsidR="00733D9B" w:rsidRPr="00A93D3C">
        <w:rPr>
          <w:rFonts w:ascii="Arial" w:hAnsi="Arial" w:cs="Arial"/>
          <w:szCs w:val="22"/>
        </w:rPr>
        <w:t>total investment</w:t>
      </w:r>
      <w:r>
        <w:rPr>
          <w:rFonts w:ascii="Arial" w:hAnsi="Arial" w:cs="Arial"/>
          <w:szCs w:val="22"/>
        </w:rPr>
        <w:t xml:space="preserve"> and the </w:t>
      </w:r>
      <w:r w:rsidR="00A93D3C" w:rsidRPr="00A93D3C">
        <w:rPr>
          <w:rFonts w:ascii="Arial" w:hAnsi="Arial" w:cs="Arial"/>
          <w:szCs w:val="22"/>
        </w:rPr>
        <w:t xml:space="preserve">DAF </w:t>
      </w:r>
      <w:r w:rsidR="00A93D3C" w:rsidRPr="005173A2">
        <w:rPr>
          <w:rFonts w:ascii="Arial" w:hAnsi="Arial" w:cs="Arial"/>
        </w:rPr>
        <w:t>investment</w:t>
      </w:r>
      <w:r w:rsidR="00A93D3C" w:rsidRPr="00A93D3C">
        <w:rPr>
          <w:rFonts w:ascii="Arial" w:hAnsi="Arial" w:cs="Arial"/>
          <w:szCs w:val="22"/>
        </w:rPr>
        <w:t xml:space="preserve"> alone</w:t>
      </w:r>
      <w:r w:rsidR="00B21607">
        <w:rPr>
          <w:rFonts w:ascii="Arial" w:hAnsi="Arial" w:cs="Arial"/>
          <w:szCs w:val="22"/>
        </w:rPr>
        <w:t xml:space="preserve"> and summarised in</w:t>
      </w:r>
      <w:r>
        <w:rPr>
          <w:rFonts w:ascii="Arial" w:hAnsi="Arial" w:cs="Arial"/>
          <w:szCs w:val="22"/>
        </w:rPr>
        <w:t xml:space="preserve"> T</w:t>
      </w:r>
      <w:r w:rsidR="00733D9B" w:rsidRPr="00A93D3C">
        <w:rPr>
          <w:rFonts w:ascii="Arial" w:hAnsi="Arial" w:cs="Arial"/>
        </w:rPr>
        <w:t>able</w:t>
      </w:r>
      <w:r>
        <w:rPr>
          <w:rFonts w:ascii="Arial" w:hAnsi="Arial" w:cs="Arial"/>
        </w:rPr>
        <w:t xml:space="preserve"> 1</w:t>
      </w:r>
      <w:r w:rsidR="00A93D3C" w:rsidRPr="00A93D3C">
        <w:rPr>
          <w:rFonts w:ascii="Arial" w:hAnsi="Arial" w:cs="Arial"/>
        </w:rPr>
        <w:t xml:space="preserve"> (Total)</w:t>
      </w:r>
      <w:r>
        <w:rPr>
          <w:rFonts w:ascii="Arial" w:hAnsi="Arial" w:cs="Arial"/>
        </w:rPr>
        <w:t xml:space="preserve"> and Table 2 </w:t>
      </w:r>
      <w:r w:rsidR="00A93D3C" w:rsidRPr="00A93D3C">
        <w:rPr>
          <w:rFonts w:ascii="Arial" w:hAnsi="Arial" w:cs="Arial"/>
        </w:rPr>
        <w:t>(DAF)</w:t>
      </w:r>
      <w:r w:rsidR="00433A63" w:rsidRPr="00A93D3C">
        <w:rPr>
          <w:rFonts w:ascii="Arial" w:hAnsi="Arial" w:cs="Arial"/>
        </w:rPr>
        <w:t xml:space="preserve"> </w:t>
      </w:r>
      <w:r w:rsidR="00733D9B" w:rsidRPr="00A93D3C">
        <w:rPr>
          <w:rFonts w:ascii="Arial" w:hAnsi="Arial" w:cs="Arial"/>
        </w:rPr>
        <w:t xml:space="preserve">for each of the </w:t>
      </w:r>
      <w:r w:rsidR="00941218">
        <w:rPr>
          <w:rFonts w:ascii="Arial" w:hAnsi="Arial" w:cs="Arial"/>
        </w:rPr>
        <w:t>six i</w:t>
      </w:r>
      <w:r w:rsidR="00733D9B" w:rsidRPr="00A93D3C">
        <w:rPr>
          <w:rFonts w:ascii="Arial" w:hAnsi="Arial" w:cs="Arial"/>
        </w:rPr>
        <w:t xml:space="preserve">nvestments analysed at a 5% discount rate first individually and then </w:t>
      </w:r>
      <w:r w:rsidR="00A93D3C" w:rsidRPr="00A93D3C">
        <w:rPr>
          <w:rFonts w:ascii="Arial" w:hAnsi="Arial" w:cs="Arial"/>
        </w:rPr>
        <w:t>w</w:t>
      </w:r>
      <w:r w:rsidR="00733D9B" w:rsidRPr="00A93D3C">
        <w:rPr>
          <w:rFonts w:ascii="Arial" w:hAnsi="Arial" w:cs="Arial"/>
        </w:rPr>
        <w:t xml:space="preserve">ith the </w:t>
      </w:r>
      <w:r w:rsidR="00B55E9F" w:rsidRPr="00A93D3C">
        <w:rPr>
          <w:rFonts w:ascii="Arial" w:hAnsi="Arial" w:cs="Arial"/>
        </w:rPr>
        <w:t xml:space="preserve">cash flows for the </w:t>
      </w:r>
      <w:r w:rsidR="00941218">
        <w:rPr>
          <w:rFonts w:ascii="Arial" w:hAnsi="Arial" w:cs="Arial"/>
        </w:rPr>
        <w:t xml:space="preserve">six </w:t>
      </w:r>
      <w:r w:rsidR="00B21607">
        <w:rPr>
          <w:rFonts w:ascii="Arial" w:hAnsi="Arial" w:cs="Arial"/>
        </w:rPr>
        <w:t>investments</w:t>
      </w:r>
      <w:r w:rsidR="00733D9B" w:rsidRPr="00A93D3C">
        <w:rPr>
          <w:rFonts w:ascii="Arial" w:hAnsi="Arial" w:cs="Arial"/>
        </w:rPr>
        <w:t xml:space="preserve"> aggregated. </w:t>
      </w:r>
    </w:p>
    <w:p w:rsidR="00733D9B" w:rsidRPr="00A93D3C" w:rsidRDefault="00733D9B" w:rsidP="005173A2">
      <w:pPr>
        <w:pStyle w:val="BodyText"/>
        <w:rPr>
          <w:rFonts w:ascii="Arial" w:hAnsi="Arial" w:cs="Arial"/>
        </w:rPr>
      </w:pPr>
      <w:r w:rsidRPr="00A93D3C">
        <w:rPr>
          <w:rFonts w:ascii="Arial" w:hAnsi="Arial" w:cs="Arial"/>
        </w:rPr>
        <w:t xml:space="preserve">Further details on each of these investments and the associated results are provided in the individual </w:t>
      </w:r>
      <w:r w:rsidR="00941218">
        <w:rPr>
          <w:rFonts w:ascii="Arial" w:hAnsi="Arial" w:cs="Arial"/>
        </w:rPr>
        <w:t xml:space="preserve">investment evaluation </w:t>
      </w:r>
      <w:r w:rsidRPr="00A93D3C">
        <w:rPr>
          <w:rFonts w:ascii="Arial" w:hAnsi="Arial" w:cs="Arial"/>
        </w:rPr>
        <w:t xml:space="preserve">reports </w:t>
      </w:r>
      <w:r w:rsidR="008755C0" w:rsidRPr="00A93D3C">
        <w:rPr>
          <w:rFonts w:ascii="Arial" w:hAnsi="Arial" w:cs="Arial"/>
        </w:rPr>
        <w:t xml:space="preserve">and analyses </w:t>
      </w:r>
      <w:r w:rsidRPr="00A93D3C">
        <w:rPr>
          <w:rFonts w:ascii="Arial" w:hAnsi="Arial" w:cs="Arial"/>
        </w:rPr>
        <w:t xml:space="preserve">(Appendices 1 to </w:t>
      </w:r>
      <w:r w:rsidR="00941218">
        <w:rPr>
          <w:rFonts w:ascii="Arial" w:hAnsi="Arial" w:cs="Arial"/>
        </w:rPr>
        <w:t>6</w:t>
      </w:r>
      <w:r w:rsidRPr="00A93D3C">
        <w:rPr>
          <w:rFonts w:ascii="Arial" w:hAnsi="Arial" w:cs="Arial"/>
        </w:rPr>
        <w:t xml:space="preserve">). </w:t>
      </w:r>
    </w:p>
    <w:p w:rsidR="00941218" w:rsidRDefault="00733D9B" w:rsidP="00733D9B">
      <w:pPr>
        <w:jc w:val="center"/>
        <w:rPr>
          <w:rFonts w:ascii="Arial" w:hAnsi="Arial" w:cs="Arial"/>
        </w:rPr>
      </w:pPr>
      <w:r w:rsidRPr="00A93D3C">
        <w:rPr>
          <w:rFonts w:ascii="Arial" w:hAnsi="Arial" w:cs="Arial"/>
        </w:rPr>
        <w:t>Table 1: Investment Criteria for Total Investment</w:t>
      </w:r>
      <w:r w:rsidR="00053F02" w:rsidRPr="00A93D3C">
        <w:rPr>
          <w:rFonts w:ascii="Arial" w:hAnsi="Arial" w:cs="Arial"/>
        </w:rPr>
        <w:t xml:space="preserve"> </w:t>
      </w:r>
      <w:r w:rsidR="00941218">
        <w:rPr>
          <w:rFonts w:ascii="Arial" w:hAnsi="Arial" w:cs="Arial"/>
        </w:rPr>
        <w:t xml:space="preserve">by </w:t>
      </w:r>
      <w:r w:rsidR="00F41960">
        <w:rPr>
          <w:rFonts w:ascii="Arial" w:hAnsi="Arial" w:cs="Arial"/>
        </w:rPr>
        <w:t>Project/Cluster</w:t>
      </w:r>
    </w:p>
    <w:p w:rsidR="00733D9B" w:rsidRPr="00A93D3C" w:rsidRDefault="00733D9B" w:rsidP="005173A2">
      <w:pPr>
        <w:spacing w:after="240"/>
        <w:jc w:val="center"/>
        <w:rPr>
          <w:rFonts w:ascii="Arial" w:hAnsi="Arial" w:cs="Arial"/>
        </w:rPr>
      </w:pPr>
      <w:r w:rsidRPr="00A93D3C">
        <w:rPr>
          <w:rFonts w:ascii="Arial" w:hAnsi="Arial" w:cs="Arial"/>
        </w:rPr>
        <w:t>(discount rate 5%, 30 year</w:t>
      </w:r>
      <w:r w:rsidR="005173A2">
        <w:rPr>
          <w:rFonts w:ascii="Arial" w:hAnsi="Arial" w:cs="Arial"/>
        </w:rPr>
        <w:t>s from last year of investment)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989"/>
        <w:gridCol w:w="989"/>
        <w:gridCol w:w="990"/>
        <w:gridCol w:w="989"/>
        <w:gridCol w:w="989"/>
        <w:gridCol w:w="990"/>
      </w:tblGrid>
      <w:tr w:rsidR="00861533" w:rsidRPr="00405C2A" w:rsidTr="00AE293C">
        <w:trPr>
          <w:trHeight w:val="342"/>
          <w:jc w:val="center"/>
        </w:trPr>
        <w:tc>
          <w:tcPr>
            <w:tcW w:w="3964" w:type="dxa"/>
          </w:tcPr>
          <w:p w:rsidR="00861533" w:rsidRPr="00A93D3C" w:rsidRDefault="00F41960" w:rsidP="005173A2">
            <w:pPr>
              <w:rPr>
                <w:rFonts w:ascii="Arial" w:hAnsi="Arial" w:cs="Arial"/>
                <w:b/>
              </w:rPr>
            </w:pPr>
            <w:r>
              <w:rPr>
                <w:rFonts w:ascii="Arial" w:hAnsi="Arial" w:cs="Arial"/>
                <w:b/>
              </w:rPr>
              <w:t xml:space="preserve">Project/Cluster </w:t>
            </w:r>
            <w:r w:rsidR="00941218">
              <w:rPr>
                <w:rFonts w:ascii="Arial" w:hAnsi="Arial" w:cs="Arial"/>
                <w:b/>
              </w:rPr>
              <w:t xml:space="preserve">Investment </w:t>
            </w:r>
            <w:r w:rsidR="00861533" w:rsidRPr="00A93D3C">
              <w:rPr>
                <w:rFonts w:ascii="Arial" w:hAnsi="Arial" w:cs="Arial"/>
                <w:b/>
              </w:rPr>
              <w:t xml:space="preserve"> </w:t>
            </w:r>
          </w:p>
        </w:tc>
        <w:tc>
          <w:tcPr>
            <w:tcW w:w="989" w:type="dxa"/>
          </w:tcPr>
          <w:p w:rsidR="00861533" w:rsidRPr="00A93D3C" w:rsidRDefault="00861533" w:rsidP="00733D9B">
            <w:pPr>
              <w:jc w:val="center"/>
              <w:rPr>
                <w:rFonts w:ascii="Arial" w:hAnsi="Arial" w:cs="Arial"/>
                <w:b/>
              </w:rPr>
            </w:pPr>
            <w:r w:rsidRPr="00A93D3C">
              <w:rPr>
                <w:rFonts w:ascii="Arial" w:hAnsi="Arial" w:cs="Arial"/>
                <w:b/>
              </w:rPr>
              <w:t>PVB ($m)</w:t>
            </w:r>
          </w:p>
        </w:tc>
        <w:tc>
          <w:tcPr>
            <w:tcW w:w="989" w:type="dxa"/>
          </w:tcPr>
          <w:p w:rsidR="00861533" w:rsidRPr="00A93D3C" w:rsidRDefault="00861533" w:rsidP="00733D9B">
            <w:pPr>
              <w:jc w:val="center"/>
              <w:rPr>
                <w:rFonts w:ascii="Arial" w:hAnsi="Arial" w:cs="Arial"/>
                <w:b/>
              </w:rPr>
            </w:pPr>
            <w:r w:rsidRPr="00A93D3C">
              <w:rPr>
                <w:rFonts w:ascii="Arial" w:hAnsi="Arial" w:cs="Arial"/>
                <w:b/>
              </w:rPr>
              <w:t>PVC ($m)</w:t>
            </w:r>
          </w:p>
        </w:tc>
        <w:tc>
          <w:tcPr>
            <w:tcW w:w="990" w:type="dxa"/>
          </w:tcPr>
          <w:p w:rsidR="00861533" w:rsidRPr="00A93D3C" w:rsidRDefault="00861533" w:rsidP="00733D9B">
            <w:pPr>
              <w:jc w:val="center"/>
              <w:rPr>
                <w:rFonts w:ascii="Arial" w:hAnsi="Arial" w:cs="Arial"/>
                <w:b/>
              </w:rPr>
            </w:pPr>
            <w:r w:rsidRPr="00A93D3C">
              <w:rPr>
                <w:rFonts w:ascii="Arial" w:hAnsi="Arial" w:cs="Arial"/>
                <w:b/>
              </w:rPr>
              <w:t>NPV ($m)</w:t>
            </w:r>
          </w:p>
        </w:tc>
        <w:tc>
          <w:tcPr>
            <w:tcW w:w="989" w:type="dxa"/>
          </w:tcPr>
          <w:p w:rsidR="00861533" w:rsidRPr="00A93D3C" w:rsidRDefault="00861533" w:rsidP="00733D9B">
            <w:pPr>
              <w:jc w:val="center"/>
              <w:rPr>
                <w:rFonts w:ascii="Arial" w:hAnsi="Arial" w:cs="Arial"/>
                <w:b/>
              </w:rPr>
            </w:pPr>
            <w:r w:rsidRPr="00A93D3C">
              <w:rPr>
                <w:rFonts w:ascii="Arial" w:hAnsi="Arial" w:cs="Arial"/>
                <w:b/>
              </w:rPr>
              <w:t>BCR</w:t>
            </w:r>
          </w:p>
        </w:tc>
        <w:tc>
          <w:tcPr>
            <w:tcW w:w="989" w:type="dxa"/>
          </w:tcPr>
          <w:p w:rsidR="00861533" w:rsidRPr="00A93D3C" w:rsidRDefault="00861533" w:rsidP="00733D9B">
            <w:pPr>
              <w:jc w:val="center"/>
              <w:rPr>
                <w:rFonts w:ascii="Arial" w:hAnsi="Arial" w:cs="Arial"/>
                <w:b/>
              </w:rPr>
            </w:pPr>
            <w:r w:rsidRPr="00A93D3C">
              <w:rPr>
                <w:rFonts w:ascii="Arial" w:hAnsi="Arial" w:cs="Arial"/>
                <w:b/>
              </w:rPr>
              <w:t>IRR (%)</w:t>
            </w:r>
          </w:p>
        </w:tc>
        <w:tc>
          <w:tcPr>
            <w:tcW w:w="990" w:type="dxa"/>
          </w:tcPr>
          <w:p w:rsidR="00861533" w:rsidRDefault="00861533" w:rsidP="00733D9B">
            <w:pPr>
              <w:jc w:val="center"/>
              <w:rPr>
                <w:rFonts w:ascii="Arial" w:hAnsi="Arial" w:cs="Arial"/>
                <w:b/>
              </w:rPr>
            </w:pPr>
            <w:r>
              <w:rPr>
                <w:rFonts w:ascii="Arial" w:hAnsi="Arial" w:cs="Arial"/>
                <w:b/>
              </w:rPr>
              <w:t>MIRR</w:t>
            </w:r>
          </w:p>
          <w:p w:rsidR="00861533" w:rsidRPr="00A93D3C" w:rsidRDefault="00861533" w:rsidP="00733D9B">
            <w:pPr>
              <w:jc w:val="center"/>
              <w:rPr>
                <w:rFonts w:ascii="Arial" w:hAnsi="Arial" w:cs="Arial"/>
                <w:b/>
              </w:rPr>
            </w:pPr>
            <w:r>
              <w:rPr>
                <w:rFonts w:ascii="Arial" w:hAnsi="Arial" w:cs="Arial"/>
                <w:b/>
              </w:rPr>
              <w:t>(%)</w:t>
            </w:r>
          </w:p>
        </w:tc>
      </w:tr>
      <w:tr w:rsidR="00F41960" w:rsidRPr="00405C2A" w:rsidTr="00AE293C">
        <w:trPr>
          <w:jc w:val="center"/>
        </w:trPr>
        <w:tc>
          <w:tcPr>
            <w:tcW w:w="3964" w:type="dxa"/>
          </w:tcPr>
          <w:p w:rsidR="00F41960" w:rsidRPr="003C73AF" w:rsidRDefault="003C73AF" w:rsidP="003612B7">
            <w:pPr>
              <w:rPr>
                <w:rFonts w:ascii="Arial" w:hAnsi="Arial" w:cs="Arial"/>
              </w:rPr>
            </w:pPr>
            <w:r w:rsidRPr="003C73AF">
              <w:rPr>
                <w:rFonts w:ascii="Arial" w:hAnsi="Arial" w:cs="Arial"/>
              </w:rPr>
              <w:t>Mud Crabs</w:t>
            </w:r>
          </w:p>
        </w:tc>
        <w:tc>
          <w:tcPr>
            <w:tcW w:w="989" w:type="dxa"/>
            <w:shd w:val="clear" w:color="auto" w:fill="auto"/>
          </w:tcPr>
          <w:p w:rsidR="00F41960" w:rsidRDefault="009662BB" w:rsidP="000D58A9">
            <w:pPr>
              <w:jc w:val="right"/>
              <w:rPr>
                <w:rFonts w:ascii="Arial" w:hAnsi="Arial" w:cs="Arial"/>
              </w:rPr>
            </w:pPr>
            <w:r>
              <w:rPr>
                <w:rFonts w:ascii="Arial" w:hAnsi="Arial" w:cs="Arial"/>
              </w:rPr>
              <w:t>20.65</w:t>
            </w:r>
          </w:p>
        </w:tc>
        <w:tc>
          <w:tcPr>
            <w:tcW w:w="989" w:type="dxa"/>
            <w:shd w:val="clear" w:color="auto" w:fill="auto"/>
          </w:tcPr>
          <w:p w:rsidR="00F41960" w:rsidRPr="00C1669B" w:rsidRDefault="009662BB" w:rsidP="003612B7">
            <w:pPr>
              <w:jc w:val="right"/>
              <w:rPr>
                <w:rFonts w:ascii="Arial" w:hAnsi="Arial" w:cs="Arial"/>
              </w:rPr>
            </w:pPr>
            <w:r>
              <w:rPr>
                <w:rFonts w:ascii="Arial" w:hAnsi="Arial" w:cs="Arial"/>
              </w:rPr>
              <w:t>0.63</w:t>
            </w:r>
          </w:p>
        </w:tc>
        <w:tc>
          <w:tcPr>
            <w:tcW w:w="990" w:type="dxa"/>
            <w:shd w:val="clear" w:color="auto" w:fill="auto"/>
          </w:tcPr>
          <w:p w:rsidR="00F41960" w:rsidRDefault="009662BB" w:rsidP="003612B7">
            <w:pPr>
              <w:jc w:val="right"/>
              <w:rPr>
                <w:rFonts w:ascii="Arial" w:hAnsi="Arial" w:cs="Arial"/>
              </w:rPr>
            </w:pPr>
            <w:r>
              <w:rPr>
                <w:rFonts w:ascii="Arial" w:hAnsi="Arial" w:cs="Arial"/>
              </w:rPr>
              <w:t>20.02</w:t>
            </w:r>
          </w:p>
        </w:tc>
        <w:tc>
          <w:tcPr>
            <w:tcW w:w="989" w:type="dxa"/>
            <w:shd w:val="clear" w:color="auto" w:fill="auto"/>
          </w:tcPr>
          <w:p w:rsidR="00F41960" w:rsidRDefault="009662BB" w:rsidP="003612B7">
            <w:pPr>
              <w:jc w:val="right"/>
              <w:rPr>
                <w:rFonts w:ascii="Arial" w:hAnsi="Arial" w:cs="Arial"/>
              </w:rPr>
            </w:pPr>
            <w:r>
              <w:rPr>
                <w:rFonts w:ascii="Arial" w:hAnsi="Arial" w:cs="Arial"/>
              </w:rPr>
              <w:t>32.98</w:t>
            </w:r>
          </w:p>
        </w:tc>
        <w:tc>
          <w:tcPr>
            <w:tcW w:w="989" w:type="dxa"/>
            <w:shd w:val="clear" w:color="auto" w:fill="auto"/>
          </w:tcPr>
          <w:p w:rsidR="00F41960" w:rsidRDefault="009662BB" w:rsidP="003612B7">
            <w:pPr>
              <w:jc w:val="right"/>
              <w:rPr>
                <w:rFonts w:ascii="Arial" w:hAnsi="Arial" w:cs="Arial"/>
              </w:rPr>
            </w:pPr>
            <w:r>
              <w:rPr>
                <w:rFonts w:ascii="Arial" w:hAnsi="Arial" w:cs="Arial"/>
              </w:rPr>
              <w:t>132.4</w:t>
            </w:r>
          </w:p>
        </w:tc>
        <w:tc>
          <w:tcPr>
            <w:tcW w:w="990" w:type="dxa"/>
          </w:tcPr>
          <w:p w:rsidR="00F41960" w:rsidRDefault="009662BB" w:rsidP="003612B7">
            <w:pPr>
              <w:jc w:val="right"/>
              <w:rPr>
                <w:rFonts w:ascii="Arial" w:hAnsi="Arial" w:cs="Arial"/>
              </w:rPr>
            </w:pPr>
            <w:r>
              <w:rPr>
                <w:rFonts w:ascii="Arial" w:hAnsi="Arial" w:cs="Arial"/>
              </w:rPr>
              <w:t>18.0</w:t>
            </w:r>
          </w:p>
        </w:tc>
      </w:tr>
      <w:tr w:rsidR="003612B7" w:rsidRPr="00405C2A" w:rsidTr="00AE293C">
        <w:trPr>
          <w:jc w:val="center"/>
        </w:trPr>
        <w:tc>
          <w:tcPr>
            <w:tcW w:w="3964" w:type="dxa"/>
          </w:tcPr>
          <w:p w:rsidR="003612B7" w:rsidRPr="003C73AF" w:rsidRDefault="003C73AF" w:rsidP="003612B7">
            <w:pPr>
              <w:rPr>
                <w:rFonts w:ascii="Arial" w:hAnsi="Arial" w:cs="Arial"/>
              </w:rPr>
            </w:pPr>
            <w:r w:rsidRPr="003C73AF">
              <w:rPr>
                <w:rFonts w:ascii="Arial" w:hAnsi="Arial" w:cs="Arial"/>
              </w:rPr>
              <w:t xml:space="preserve">Fruit Flies </w:t>
            </w:r>
          </w:p>
        </w:tc>
        <w:tc>
          <w:tcPr>
            <w:tcW w:w="989" w:type="dxa"/>
            <w:shd w:val="clear" w:color="auto" w:fill="auto"/>
          </w:tcPr>
          <w:p w:rsidR="003612B7" w:rsidRPr="00470D95" w:rsidRDefault="00E64280" w:rsidP="000D58A9">
            <w:pPr>
              <w:jc w:val="right"/>
              <w:rPr>
                <w:rFonts w:ascii="Arial" w:hAnsi="Arial" w:cs="Arial"/>
                <w:color w:val="000000" w:themeColor="text1"/>
              </w:rPr>
            </w:pPr>
            <w:r w:rsidRPr="00470D95">
              <w:rPr>
                <w:rFonts w:ascii="Arial" w:hAnsi="Arial" w:cs="Arial"/>
                <w:color w:val="000000" w:themeColor="text1"/>
              </w:rPr>
              <w:t>4.15</w:t>
            </w:r>
          </w:p>
        </w:tc>
        <w:tc>
          <w:tcPr>
            <w:tcW w:w="989" w:type="dxa"/>
            <w:shd w:val="clear" w:color="auto" w:fill="auto"/>
          </w:tcPr>
          <w:p w:rsidR="003612B7" w:rsidRPr="00470D95" w:rsidRDefault="00FA0923" w:rsidP="003612B7">
            <w:pPr>
              <w:jc w:val="right"/>
              <w:rPr>
                <w:rFonts w:ascii="Arial" w:hAnsi="Arial" w:cs="Arial"/>
                <w:color w:val="000000" w:themeColor="text1"/>
              </w:rPr>
            </w:pPr>
            <w:r w:rsidRPr="00470D95">
              <w:rPr>
                <w:rFonts w:ascii="Arial" w:hAnsi="Arial" w:cs="Arial"/>
                <w:color w:val="000000" w:themeColor="text1"/>
              </w:rPr>
              <w:t>0.89</w:t>
            </w:r>
          </w:p>
        </w:tc>
        <w:tc>
          <w:tcPr>
            <w:tcW w:w="990" w:type="dxa"/>
            <w:shd w:val="clear" w:color="auto" w:fill="auto"/>
          </w:tcPr>
          <w:p w:rsidR="003612B7" w:rsidRPr="00470D95" w:rsidRDefault="00FA0923" w:rsidP="003612B7">
            <w:pPr>
              <w:jc w:val="right"/>
              <w:rPr>
                <w:rFonts w:ascii="Arial" w:hAnsi="Arial" w:cs="Arial"/>
                <w:color w:val="000000" w:themeColor="text1"/>
              </w:rPr>
            </w:pPr>
            <w:r w:rsidRPr="00470D95">
              <w:rPr>
                <w:rFonts w:ascii="Arial" w:hAnsi="Arial" w:cs="Arial"/>
                <w:color w:val="000000" w:themeColor="text1"/>
              </w:rPr>
              <w:t>3.</w:t>
            </w:r>
            <w:r w:rsidR="006A5482" w:rsidRPr="00470D95">
              <w:rPr>
                <w:rFonts w:ascii="Arial" w:hAnsi="Arial" w:cs="Arial"/>
                <w:color w:val="000000" w:themeColor="text1"/>
              </w:rPr>
              <w:t>26</w:t>
            </w:r>
          </w:p>
        </w:tc>
        <w:tc>
          <w:tcPr>
            <w:tcW w:w="989" w:type="dxa"/>
            <w:shd w:val="clear" w:color="auto" w:fill="auto"/>
          </w:tcPr>
          <w:p w:rsidR="003612B7" w:rsidRPr="00470D95" w:rsidRDefault="00FA0923" w:rsidP="003612B7">
            <w:pPr>
              <w:jc w:val="right"/>
              <w:rPr>
                <w:rFonts w:ascii="Arial" w:hAnsi="Arial" w:cs="Arial"/>
                <w:color w:val="000000" w:themeColor="text1"/>
              </w:rPr>
            </w:pPr>
            <w:r w:rsidRPr="00470D95">
              <w:rPr>
                <w:rFonts w:ascii="Arial" w:hAnsi="Arial" w:cs="Arial"/>
                <w:color w:val="000000" w:themeColor="text1"/>
              </w:rPr>
              <w:t>4.</w:t>
            </w:r>
            <w:r w:rsidR="006A5482" w:rsidRPr="00470D95">
              <w:rPr>
                <w:rFonts w:ascii="Arial" w:hAnsi="Arial" w:cs="Arial"/>
                <w:color w:val="000000" w:themeColor="text1"/>
              </w:rPr>
              <w:t>64</w:t>
            </w:r>
          </w:p>
        </w:tc>
        <w:tc>
          <w:tcPr>
            <w:tcW w:w="989" w:type="dxa"/>
            <w:shd w:val="clear" w:color="auto" w:fill="auto"/>
          </w:tcPr>
          <w:p w:rsidR="003612B7" w:rsidRPr="00470D95" w:rsidRDefault="00FA0923" w:rsidP="003612B7">
            <w:pPr>
              <w:jc w:val="right"/>
              <w:rPr>
                <w:rFonts w:ascii="Arial" w:hAnsi="Arial" w:cs="Arial"/>
                <w:color w:val="000000" w:themeColor="text1"/>
              </w:rPr>
            </w:pPr>
            <w:r w:rsidRPr="00470D95">
              <w:rPr>
                <w:rFonts w:ascii="Arial" w:hAnsi="Arial" w:cs="Arial"/>
                <w:color w:val="000000" w:themeColor="text1"/>
              </w:rPr>
              <w:t>23.7</w:t>
            </w:r>
          </w:p>
        </w:tc>
        <w:tc>
          <w:tcPr>
            <w:tcW w:w="990" w:type="dxa"/>
          </w:tcPr>
          <w:p w:rsidR="003612B7" w:rsidRPr="00470D95" w:rsidRDefault="00FA0923" w:rsidP="003612B7">
            <w:pPr>
              <w:jc w:val="right"/>
              <w:rPr>
                <w:rFonts w:ascii="Arial" w:hAnsi="Arial" w:cs="Arial"/>
                <w:color w:val="000000" w:themeColor="text1"/>
              </w:rPr>
            </w:pPr>
            <w:r w:rsidRPr="00470D95">
              <w:rPr>
                <w:rFonts w:ascii="Arial" w:hAnsi="Arial" w:cs="Arial"/>
                <w:color w:val="000000" w:themeColor="text1"/>
              </w:rPr>
              <w:t>10.</w:t>
            </w:r>
            <w:r w:rsidR="006A5482" w:rsidRPr="00470D95">
              <w:rPr>
                <w:rFonts w:ascii="Arial" w:hAnsi="Arial" w:cs="Arial"/>
                <w:color w:val="000000" w:themeColor="text1"/>
              </w:rPr>
              <w:t>8</w:t>
            </w:r>
          </w:p>
        </w:tc>
      </w:tr>
      <w:tr w:rsidR="003612B7" w:rsidRPr="00405C2A" w:rsidTr="00AE293C">
        <w:trPr>
          <w:jc w:val="center"/>
        </w:trPr>
        <w:tc>
          <w:tcPr>
            <w:tcW w:w="3964" w:type="dxa"/>
          </w:tcPr>
          <w:p w:rsidR="003612B7" w:rsidRPr="003C73AF" w:rsidRDefault="003C73AF" w:rsidP="003612B7">
            <w:pPr>
              <w:rPr>
                <w:rFonts w:ascii="Arial" w:hAnsi="Arial" w:cs="Arial"/>
              </w:rPr>
            </w:pPr>
            <w:r w:rsidRPr="003C73AF">
              <w:rPr>
                <w:rFonts w:ascii="Arial" w:hAnsi="Arial" w:cs="Arial"/>
              </w:rPr>
              <w:t xml:space="preserve">Central Qld Cotton </w:t>
            </w:r>
          </w:p>
        </w:tc>
        <w:tc>
          <w:tcPr>
            <w:tcW w:w="989" w:type="dxa"/>
            <w:shd w:val="clear" w:color="auto" w:fill="auto"/>
          </w:tcPr>
          <w:p w:rsidR="003612B7" w:rsidRPr="00470D95" w:rsidRDefault="00D62883" w:rsidP="000D58A9">
            <w:pPr>
              <w:jc w:val="right"/>
              <w:rPr>
                <w:rFonts w:ascii="Arial" w:hAnsi="Arial" w:cs="Arial"/>
                <w:color w:val="000000" w:themeColor="text1"/>
              </w:rPr>
            </w:pPr>
            <w:r w:rsidRPr="00470D95">
              <w:rPr>
                <w:rFonts w:ascii="Arial" w:hAnsi="Arial" w:cs="Arial"/>
                <w:color w:val="000000" w:themeColor="text1"/>
              </w:rPr>
              <w:t>20.24</w:t>
            </w:r>
          </w:p>
        </w:tc>
        <w:tc>
          <w:tcPr>
            <w:tcW w:w="989" w:type="dxa"/>
            <w:shd w:val="clear" w:color="auto" w:fill="auto"/>
          </w:tcPr>
          <w:p w:rsidR="003612B7" w:rsidRPr="00470D95" w:rsidRDefault="00D62883" w:rsidP="003612B7">
            <w:pPr>
              <w:jc w:val="right"/>
              <w:rPr>
                <w:rFonts w:ascii="Arial" w:hAnsi="Arial" w:cs="Arial"/>
                <w:color w:val="000000" w:themeColor="text1"/>
              </w:rPr>
            </w:pPr>
            <w:r w:rsidRPr="00470D95">
              <w:rPr>
                <w:rFonts w:ascii="Arial" w:hAnsi="Arial" w:cs="Arial"/>
                <w:color w:val="000000" w:themeColor="text1"/>
              </w:rPr>
              <w:t>1.18</w:t>
            </w:r>
          </w:p>
        </w:tc>
        <w:tc>
          <w:tcPr>
            <w:tcW w:w="990" w:type="dxa"/>
            <w:shd w:val="clear" w:color="auto" w:fill="auto"/>
          </w:tcPr>
          <w:p w:rsidR="003612B7" w:rsidRPr="00470D95" w:rsidRDefault="00D62883" w:rsidP="003612B7">
            <w:pPr>
              <w:jc w:val="right"/>
              <w:rPr>
                <w:rFonts w:ascii="Arial" w:hAnsi="Arial" w:cs="Arial"/>
                <w:color w:val="000000" w:themeColor="text1"/>
              </w:rPr>
            </w:pPr>
            <w:r w:rsidRPr="00470D95">
              <w:rPr>
                <w:rFonts w:ascii="Arial" w:hAnsi="Arial" w:cs="Arial"/>
                <w:color w:val="000000" w:themeColor="text1"/>
              </w:rPr>
              <w:t>19.06</w:t>
            </w:r>
          </w:p>
        </w:tc>
        <w:tc>
          <w:tcPr>
            <w:tcW w:w="989" w:type="dxa"/>
            <w:shd w:val="clear" w:color="auto" w:fill="auto"/>
          </w:tcPr>
          <w:p w:rsidR="003612B7" w:rsidRPr="00470D95" w:rsidRDefault="00D62883" w:rsidP="003612B7">
            <w:pPr>
              <w:jc w:val="right"/>
              <w:rPr>
                <w:rFonts w:ascii="Arial" w:hAnsi="Arial" w:cs="Arial"/>
                <w:color w:val="000000" w:themeColor="text1"/>
              </w:rPr>
            </w:pPr>
            <w:r w:rsidRPr="00470D95">
              <w:rPr>
                <w:rFonts w:ascii="Arial" w:hAnsi="Arial" w:cs="Arial"/>
                <w:color w:val="000000" w:themeColor="text1"/>
              </w:rPr>
              <w:t>17.13</w:t>
            </w:r>
          </w:p>
        </w:tc>
        <w:tc>
          <w:tcPr>
            <w:tcW w:w="989" w:type="dxa"/>
            <w:shd w:val="clear" w:color="auto" w:fill="auto"/>
          </w:tcPr>
          <w:p w:rsidR="003612B7" w:rsidRPr="00470D95" w:rsidRDefault="00D62883" w:rsidP="003612B7">
            <w:pPr>
              <w:jc w:val="right"/>
              <w:rPr>
                <w:rFonts w:ascii="Arial" w:hAnsi="Arial" w:cs="Arial"/>
                <w:color w:val="000000" w:themeColor="text1"/>
              </w:rPr>
            </w:pPr>
            <w:r w:rsidRPr="00470D95">
              <w:rPr>
                <w:rFonts w:ascii="Arial" w:hAnsi="Arial" w:cs="Arial"/>
                <w:color w:val="000000" w:themeColor="text1"/>
              </w:rPr>
              <w:t>69.0</w:t>
            </w:r>
          </w:p>
        </w:tc>
        <w:tc>
          <w:tcPr>
            <w:tcW w:w="990" w:type="dxa"/>
          </w:tcPr>
          <w:p w:rsidR="003612B7" w:rsidRPr="00470D95" w:rsidRDefault="00D62883" w:rsidP="003612B7">
            <w:pPr>
              <w:jc w:val="right"/>
              <w:rPr>
                <w:rFonts w:ascii="Arial" w:hAnsi="Arial" w:cs="Arial"/>
                <w:color w:val="000000" w:themeColor="text1"/>
              </w:rPr>
            </w:pPr>
            <w:r w:rsidRPr="00470D95">
              <w:rPr>
                <w:rFonts w:ascii="Arial" w:hAnsi="Arial" w:cs="Arial"/>
                <w:color w:val="000000" w:themeColor="text1"/>
              </w:rPr>
              <w:t>15.4</w:t>
            </w:r>
          </w:p>
        </w:tc>
      </w:tr>
      <w:tr w:rsidR="003C73AF" w:rsidRPr="00405C2A" w:rsidTr="00AE293C">
        <w:trPr>
          <w:jc w:val="center"/>
        </w:trPr>
        <w:tc>
          <w:tcPr>
            <w:tcW w:w="3964" w:type="dxa"/>
          </w:tcPr>
          <w:p w:rsidR="003C73AF" w:rsidRPr="003C73AF" w:rsidRDefault="003C73AF" w:rsidP="003C73AF">
            <w:pPr>
              <w:rPr>
                <w:rFonts w:ascii="Arial" w:hAnsi="Arial" w:cs="Arial"/>
              </w:rPr>
            </w:pPr>
            <w:r w:rsidRPr="003C73AF">
              <w:rPr>
                <w:rFonts w:ascii="Arial" w:hAnsi="Arial" w:cs="Arial"/>
              </w:rPr>
              <w:t>C4 Milk</w:t>
            </w:r>
          </w:p>
        </w:tc>
        <w:tc>
          <w:tcPr>
            <w:tcW w:w="989" w:type="dxa"/>
            <w:shd w:val="clear" w:color="auto" w:fill="auto"/>
          </w:tcPr>
          <w:p w:rsidR="003C73AF" w:rsidRPr="00470D95" w:rsidRDefault="00D62883" w:rsidP="000D58A9">
            <w:pPr>
              <w:jc w:val="right"/>
              <w:rPr>
                <w:rFonts w:ascii="Arial" w:hAnsi="Arial" w:cs="Arial"/>
                <w:color w:val="000000" w:themeColor="text1"/>
              </w:rPr>
            </w:pPr>
            <w:r w:rsidRPr="00470D95">
              <w:rPr>
                <w:rFonts w:ascii="Arial" w:hAnsi="Arial" w:cs="Arial"/>
                <w:color w:val="000000" w:themeColor="text1"/>
              </w:rPr>
              <w:t>29.90</w:t>
            </w:r>
          </w:p>
        </w:tc>
        <w:tc>
          <w:tcPr>
            <w:tcW w:w="989" w:type="dxa"/>
            <w:shd w:val="clear" w:color="auto" w:fill="auto"/>
          </w:tcPr>
          <w:p w:rsidR="003C73AF" w:rsidRPr="00470D95" w:rsidRDefault="00D62883" w:rsidP="003C73AF">
            <w:pPr>
              <w:jc w:val="right"/>
              <w:rPr>
                <w:rFonts w:ascii="Arial" w:hAnsi="Arial" w:cs="Arial"/>
                <w:color w:val="000000" w:themeColor="text1"/>
              </w:rPr>
            </w:pPr>
            <w:r w:rsidRPr="00470D95">
              <w:rPr>
                <w:rFonts w:ascii="Arial" w:hAnsi="Arial" w:cs="Arial"/>
                <w:color w:val="000000" w:themeColor="text1"/>
              </w:rPr>
              <w:t>5.78</w:t>
            </w:r>
          </w:p>
        </w:tc>
        <w:tc>
          <w:tcPr>
            <w:tcW w:w="990" w:type="dxa"/>
            <w:shd w:val="clear" w:color="auto" w:fill="auto"/>
          </w:tcPr>
          <w:p w:rsidR="003C73AF" w:rsidRPr="00470D95" w:rsidRDefault="00D62883" w:rsidP="003C73AF">
            <w:pPr>
              <w:jc w:val="right"/>
              <w:rPr>
                <w:rFonts w:ascii="Arial" w:hAnsi="Arial" w:cs="Arial"/>
                <w:color w:val="000000" w:themeColor="text1"/>
              </w:rPr>
            </w:pPr>
            <w:r w:rsidRPr="00470D95">
              <w:rPr>
                <w:rFonts w:ascii="Arial" w:hAnsi="Arial" w:cs="Arial"/>
                <w:color w:val="000000" w:themeColor="text1"/>
              </w:rPr>
              <w:t>24.11</w:t>
            </w:r>
          </w:p>
        </w:tc>
        <w:tc>
          <w:tcPr>
            <w:tcW w:w="989" w:type="dxa"/>
            <w:shd w:val="clear" w:color="auto" w:fill="auto"/>
          </w:tcPr>
          <w:p w:rsidR="003C73AF" w:rsidRPr="00470D95" w:rsidRDefault="00D62883" w:rsidP="003C73AF">
            <w:pPr>
              <w:jc w:val="right"/>
              <w:rPr>
                <w:rFonts w:ascii="Arial" w:hAnsi="Arial" w:cs="Arial"/>
                <w:color w:val="000000" w:themeColor="text1"/>
              </w:rPr>
            </w:pPr>
            <w:r w:rsidRPr="00470D95">
              <w:rPr>
                <w:rFonts w:ascii="Arial" w:hAnsi="Arial" w:cs="Arial"/>
                <w:color w:val="000000" w:themeColor="text1"/>
              </w:rPr>
              <w:t>5.17</w:t>
            </w:r>
          </w:p>
        </w:tc>
        <w:tc>
          <w:tcPr>
            <w:tcW w:w="989" w:type="dxa"/>
            <w:shd w:val="clear" w:color="auto" w:fill="auto"/>
          </w:tcPr>
          <w:p w:rsidR="003C73AF" w:rsidRPr="00470D95" w:rsidRDefault="00D62883" w:rsidP="003C73AF">
            <w:pPr>
              <w:jc w:val="right"/>
              <w:rPr>
                <w:rFonts w:ascii="Arial" w:hAnsi="Arial" w:cs="Arial"/>
                <w:color w:val="000000" w:themeColor="text1"/>
              </w:rPr>
            </w:pPr>
            <w:r w:rsidRPr="00470D95">
              <w:rPr>
                <w:rFonts w:ascii="Arial" w:hAnsi="Arial" w:cs="Arial"/>
                <w:color w:val="000000" w:themeColor="text1"/>
              </w:rPr>
              <w:t>25.9</w:t>
            </w:r>
          </w:p>
        </w:tc>
        <w:tc>
          <w:tcPr>
            <w:tcW w:w="990" w:type="dxa"/>
          </w:tcPr>
          <w:p w:rsidR="003C73AF" w:rsidRPr="00470D95" w:rsidRDefault="00D62883" w:rsidP="003C73AF">
            <w:pPr>
              <w:jc w:val="right"/>
              <w:rPr>
                <w:rFonts w:ascii="Arial" w:hAnsi="Arial" w:cs="Arial"/>
                <w:color w:val="000000" w:themeColor="text1"/>
              </w:rPr>
            </w:pPr>
            <w:r w:rsidRPr="00470D95">
              <w:rPr>
                <w:rFonts w:ascii="Arial" w:hAnsi="Arial" w:cs="Arial"/>
                <w:color w:val="000000" w:themeColor="text1"/>
              </w:rPr>
              <w:t>11.</w:t>
            </w:r>
            <w:r w:rsidR="006A5482" w:rsidRPr="00470D95">
              <w:rPr>
                <w:rFonts w:ascii="Arial" w:hAnsi="Arial" w:cs="Arial"/>
                <w:color w:val="000000" w:themeColor="text1"/>
              </w:rPr>
              <w:t>4</w:t>
            </w:r>
          </w:p>
        </w:tc>
      </w:tr>
      <w:tr w:rsidR="003C73AF" w:rsidRPr="00405C2A" w:rsidTr="00AE293C">
        <w:trPr>
          <w:jc w:val="center"/>
        </w:trPr>
        <w:tc>
          <w:tcPr>
            <w:tcW w:w="3964" w:type="dxa"/>
          </w:tcPr>
          <w:p w:rsidR="003C73AF" w:rsidRPr="003C73AF" w:rsidRDefault="003C73AF" w:rsidP="003C73AF">
            <w:pPr>
              <w:rPr>
                <w:rFonts w:ascii="Arial" w:hAnsi="Arial" w:cs="Arial"/>
              </w:rPr>
            </w:pPr>
            <w:r w:rsidRPr="003C73AF">
              <w:rPr>
                <w:rFonts w:ascii="Arial" w:hAnsi="Arial" w:cs="Arial"/>
              </w:rPr>
              <w:t>Sweet</w:t>
            </w:r>
            <w:r w:rsidR="002B1931">
              <w:rPr>
                <w:rFonts w:ascii="Arial" w:hAnsi="Arial" w:cs="Arial"/>
              </w:rPr>
              <w:t>p</w:t>
            </w:r>
            <w:r w:rsidRPr="003C73AF">
              <w:rPr>
                <w:rFonts w:ascii="Arial" w:hAnsi="Arial" w:cs="Arial"/>
              </w:rPr>
              <w:t xml:space="preserve">otato  </w:t>
            </w:r>
          </w:p>
        </w:tc>
        <w:tc>
          <w:tcPr>
            <w:tcW w:w="989" w:type="dxa"/>
            <w:shd w:val="clear" w:color="auto" w:fill="auto"/>
          </w:tcPr>
          <w:p w:rsidR="003C73AF" w:rsidRPr="00C1669B" w:rsidRDefault="008840E5" w:rsidP="000D58A9">
            <w:pPr>
              <w:jc w:val="right"/>
              <w:rPr>
                <w:rFonts w:ascii="Arial" w:hAnsi="Arial" w:cs="Arial"/>
              </w:rPr>
            </w:pPr>
            <w:r>
              <w:rPr>
                <w:rFonts w:ascii="Arial" w:hAnsi="Arial" w:cs="Arial"/>
              </w:rPr>
              <w:t>133.08</w:t>
            </w:r>
          </w:p>
        </w:tc>
        <w:tc>
          <w:tcPr>
            <w:tcW w:w="989" w:type="dxa"/>
            <w:shd w:val="clear" w:color="auto" w:fill="auto"/>
          </w:tcPr>
          <w:p w:rsidR="003C73AF" w:rsidRPr="00C1669B" w:rsidRDefault="00D62883" w:rsidP="003C73AF">
            <w:pPr>
              <w:jc w:val="right"/>
              <w:rPr>
                <w:rFonts w:ascii="Arial" w:hAnsi="Arial" w:cs="Arial"/>
              </w:rPr>
            </w:pPr>
            <w:r>
              <w:rPr>
                <w:rFonts w:ascii="Arial" w:hAnsi="Arial" w:cs="Arial"/>
              </w:rPr>
              <w:t>15.2</w:t>
            </w:r>
            <w:r w:rsidR="008840E5">
              <w:rPr>
                <w:rFonts w:ascii="Arial" w:hAnsi="Arial" w:cs="Arial"/>
              </w:rPr>
              <w:t>5</w:t>
            </w:r>
          </w:p>
        </w:tc>
        <w:tc>
          <w:tcPr>
            <w:tcW w:w="990" w:type="dxa"/>
            <w:shd w:val="clear" w:color="auto" w:fill="auto"/>
          </w:tcPr>
          <w:p w:rsidR="003C73AF" w:rsidRPr="00C1669B" w:rsidRDefault="008840E5" w:rsidP="003C73AF">
            <w:pPr>
              <w:jc w:val="right"/>
              <w:rPr>
                <w:rFonts w:ascii="Arial" w:hAnsi="Arial" w:cs="Arial"/>
              </w:rPr>
            </w:pPr>
            <w:r>
              <w:rPr>
                <w:rFonts w:ascii="Arial" w:hAnsi="Arial" w:cs="Arial"/>
              </w:rPr>
              <w:t>117.83</w:t>
            </w:r>
          </w:p>
        </w:tc>
        <w:tc>
          <w:tcPr>
            <w:tcW w:w="989" w:type="dxa"/>
            <w:shd w:val="clear" w:color="auto" w:fill="auto"/>
          </w:tcPr>
          <w:p w:rsidR="003C73AF" w:rsidRPr="00C1669B" w:rsidRDefault="008840E5" w:rsidP="003C73AF">
            <w:pPr>
              <w:jc w:val="right"/>
              <w:rPr>
                <w:rFonts w:ascii="Arial" w:hAnsi="Arial" w:cs="Arial"/>
              </w:rPr>
            </w:pPr>
            <w:r>
              <w:rPr>
                <w:rFonts w:ascii="Arial" w:hAnsi="Arial" w:cs="Arial"/>
              </w:rPr>
              <w:t>8.73</w:t>
            </w:r>
          </w:p>
        </w:tc>
        <w:tc>
          <w:tcPr>
            <w:tcW w:w="989" w:type="dxa"/>
            <w:shd w:val="clear" w:color="auto" w:fill="auto"/>
          </w:tcPr>
          <w:p w:rsidR="003C73AF" w:rsidRPr="00C1669B" w:rsidRDefault="00D62883" w:rsidP="003C73AF">
            <w:pPr>
              <w:jc w:val="right"/>
              <w:rPr>
                <w:rFonts w:ascii="Arial" w:hAnsi="Arial" w:cs="Arial"/>
              </w:rPr>
            </w:pPr>
            <w:r>
              <w:rPr>
                <w:rFonts w:ascii="Arial" w:hAnsi="Arial" w:cs="Arial"/>
              </w:rPr>
              <w:t>nc</w:t>
            </w:r>
          </w:p>
        </w:tc>
        <w:tc>
          <w:tcPr>
            <w:tcW w:w="990" w:type="dxa"/>
          </w:tcPr>
          <w:p w:rsidR="003C73AF" w:rsidRPr="00C1669B" w:rsidRDefault="008840E5" w:rsidP="003C73AF">
            <w:pPr>
              <w:jc w:val="right"/>
              <w:rPr>
                <w:rFonts w:ascii="Arial" w:hAnsi="Arial" w:cs="Arial"/>
              </w:rPr>
            </w:pPr>
            <w:r>
              <w:rPr>
                <w:rFonts w:ascii="Arial" w:hAnsi="Arial" w:cs="Arial"/>
              </w:rPr>
              <w:t>23.6</w:t>
            </w:r>
          </w:p>
        </w:tc>
      </w:tr>
      <w:tr w:rsidR="003C73AF" w:rsidRPr="00405C2A" w:rsidTr="00470D95">
        <w:trPr>
          <w:jc w:val="center"/>
        </w:trPr>
        <w:tc>
          <w:tcPr>
            <w:tcW w:w="3964" w:type="dxa"/>
            <w:tcBorders>
              <w:bottom w:val="double" w:sz="4" w:space="0" w:color="auto"/>
            </w:tcBorders>
          </w:tcPr>
          <w:p w:rsidR="003C73AF" w:rsidRPr="003C73AF" w:rsidRDefault="003C73AF" w:rsidP="003C73AF">
            <w:pPr>
              <w:rPr>
                <w:rFonts w:ascii="Arial" w:hAnsi="Arial" w:cs="Arial"/>
              </w:rPr>
            </w:pPr>
            <w:r w:rsidRPr="003C73AF">
              <w:rPr>
                <w:rFonts w:ascii="Arial" w:hAnsi="Arial" w:cs="Arial"/>
              </w:rPr>
              <w:t xml:space="preserve">Plum Breeding  </w:t>
            </w:r>
          </w:p>
        </w:tc>
        <w:tc>
          <w:tcPr>
            <w:tcW w:w="989" w:type="dxa"/>
            <w:tcBorders>
              <w:bottom w:val="double" w:sz="4" w:space="0" w:color="auto"/>
            </w:tcBorders>
            <w:shd w:val="clear" w:color="auto" w:fill="auto"/>
          </w:tcPr>
          <w:p w:rsidR="003C73AF" w:rsidRPr="00C1669B" w:rsidRDefault="000D58A9" w:rsidP="000D58A9">
            <w:pPr>
              <w:jc w:val="right"/>
              <w:rPr>
                <w:rFonts w:ascii="Arial" w:hAnsi="Arial" w:cs="Arial"/>
              </w:rPr>
            </w:pPr>
            <w:r>
              <w:rPr>
                <w:rFonts w:ascii="Arial" w:hAnsi="Arial" w:cs="Arial"/>
              </w:rPr>
              <w:t>255.71</w:t>
            </w:r>
          </w:p>
        </w:tc>
        <w:tc>
          <w:tcPr>
            <w:tcW w:w="989"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19.71</w:t>
            </w:r>
          </w:p>
        </w:tc>
        <w:tc>
          <w:tcPr>
            <w:tcW w:w="990"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236.00</w:t>
            </w:r>
          </w:p>
        </w:tc>
        <w:tc>
          <w:tcPr>
            <w:tcW w:w="989"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12.97</w:t>
            </w:r>
          </w:p>
        </w:tc>
        <w:tc>
          <w:tcPr>
            <w:tcW w:w="989"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12.4</w:t>
            </w:r>
          </w:p>
        </w:tc>
        <w:tc>
          <w:tcPr>
            <w:tcW w:w="990" w:type="dxa"/>
            <w:tcBorders>
              <w:bottom w:val="double" w:sz="4" w:space="0" w:color="auto"/>
            </w:tcBorders>
          </w:tcPr>
          <w:p w:rsidR="003C73AF" w:rsidRPr="00C1669B" w:rsidRDefault="000D58A9" w:rsidP="003C73AF">
            <w:pPr>
              <w:jc w:val="right"/>
              <w:rPr>
                <w:rFonts w:ascii="Arial" w:hAnsi="Arial" w:cs="Arial"/>
              </w:rPr>
            </w:pPr>
            <w:r>
              <w:rPr>
                <w:rFonts w:ascii="Arial" w:hAnsi="Arial" w:cs="Arial"/>
              </w:rPr>
              <w:t>14.7</w:t>
            </w:r>
          </w:p>
        </w:tc>
      </w:tr>
      <w:tr w:rsidR="003612B7" w:rsidRPr="00405C2A" w:rsidTr="00470D95">
        <w:trPr>
          <w:jc w:val="center"/>
        </w:trPr>
        <w:tc>
          <w:tcPr>
            <w:tcW w:w="3964" w:type="dxa"/>
            <w:tcBorders>
              <w:top w:val="double" w:sz="4" w:space="0" w:color="auto"/>
              <w:left w:val="double" w:sz="4" w:space="0" w:color="auto"/>
              <w:bottom w:val="double" w:sz="4" w:space="0" w:color="auto"/>
            </w:tcBorders>
          </w:tcPr>
          <w:p w:rsidR="003612B7" w:rsidRPr="00A93D3C" w:rsidRDefault="003612B7" w:rsidP="003612B7">
            <w:pPr>
              <w:rPr>
                <w:rFonts w:ascii="Arial" w:hAnsi="Arial" w:cs="Arial"/>
                <w:b/>
              </w:rPr>
            </w:pPr>
            <w:r w:rsidRPr="00A93D3C">
              <w:rPr>
                <w:rFonts w:ascii="Arial" w:hAnsi="Arial" w:cs="Arial"/>
                <w:b/>
              </w:rPr>
              <w:t xml:space="preserve">Aggregate (Total investment in all </w:t>
            </w:r>
            <w:r w:rsidR="00F41960">
              <w:rPr>
                <w:rFonts w:ascii="Arial" w:hAnsi="Arial" w:cs="Arial"/>
                <w:b/>
              </w:rPr>
              <w:t>Project/Cluster Investments</w:t>
            </w:r>
            <w:r w:rsidRPr="00A93D3C">
              <w:rPr>
                <w:rFonts w:ascii="Arial" w:hAnsi="Arial" w:cs="Arial"/>
                <w:b/>
              </w:rPr>
              <w:t xml:space="preserve">) </w:t>
            </w:r>
          </w:p>
        </w:tc>
        <w:tc>
          <w:tcPr>
            <w:tcW w:w="989" w:type="dxa"/>
            <w:tcBorders>
              <w:top w:val="double" w:sz="4" w:space="0" w:color="auto"/>
              <w:bottom w:val="double" w:sz="4" w:space="0" w:color="auto"/>
            </w:tcBorders>
            <w:shd w:val="clear" w:color="auto" w:fill="auto"/>
          </w:tcPr>
          <w:p w:rsidR="003612B7" w:rsidRPr="00C1669B" w:rsidRDefault="000D58A9" w:rsidP="000D58A9">
            <w:pPr>
              <w:jc w:val="right"/>
              <w:rPr>
                <w:rFonts w:ascii="Arial" w:hAnsi="Arial" w:cs="Arial"/>
              </w:rPr>
            </w:pPr>
            <w:r>
              <w:rPr>
                <w:rFonts w:ascii="Arial" w:hAnsi="Arial" w:cs="Arial"/>
              </w:rPr>
              <w:t>4</w:t>
            </w:r>
            <w:r w:rsidR="008840E5">
              <w:rPr>
                <w:rFonts w:ascii="Arial" w:hAnsi="Arial" w:cs="Arial"/>
              </w:rPr>
              <w:t>63.</w:t>
            </w:r>
            <w:r w:rsidR="00470D95">
              <w:rPr>
                <w:rFonts w:ascii="Arial" w:hAnsi="Arial" w:cs="Arial"/>
              </w:rPr>
              <w:t>73</w:t>
            </w:r>
          </w:p>
        </w:tc>
        <w:tc>
          <w:tcPr>
            <w:tcW w:w="989" w:type="dxa"/>
            <w:tcBorders>
              <w:top w:val="double" w:sz="4" w:space="0" w:color="auto"/>
              <w:bottom w:val="double" w:sz="4" w:space="0" w:color="auto"/>
            </w:tcBorders>
            <w:shd w:val="clear" w:color="auto" w:fill="auto"/>
          </w:tcPr>
          <w:p w:rsidR="003612B7" w:rsidRPr="00C1669B" w:rsidRDefault="000D58A9" w:rsidP="003612B7">
            <w:pPr>
              <w:jc w:val="right"/>
              <w:rPr>
                <w:rFonts w:ascii="Arial" w:hAnsi="Arial" w:cs="Arial"/>
              </w:rPr>
            </w:pPr>
            <w:r>
              <w:rPr>
                <w:rFonts w:ascii="Arial" w:hAnsi="Arial" w:cs="Arial"/>
              </w:rPr>
              <w:t>43.4</w:t>
            </w:r>
            <w:r w:rsidR="008840E5">
              <w:rPr>
                <w:rFonts w:ascii="Arial" w:hAnsi="Arial" w:cs="Arial"/>
              </w:rPr>
              <w:t>4</w:t>
            </w:r>
          </w:p>
        </w:tc>
        <w:tc>
          <w:tcPr>
            <w:tcW w:w="990" w:type="dxa"/>
            <w:tcBorders>
              <w:top w:val="double" w:sz="4" w:space="0" w:color="auto"/>
              <w:bottom w:val="double" w:sz="4" w:space="0" w:color="auto"/>
            </w:tcBorders>
            <w:shd w:val="clear" w:color="auto" w:fill="auto"/>
          </w:tcPr>
          <w:p w:rsidR="003612B7" w:rsidRPr="00C1669B" w:rsidRDefault="008840E5" w:rsidP="003612B7">
            <w:pPr>
              <w:jc w:val="right"/>
              <w:rPr>
                <w:rFonts w:ascii="Arial" w:hAnsi="Arial" w:cs="Arial"/>
              </w:rPr>
            </w:pPr>
            <w:r>
              <w:rPr>
                <w:rFonts w:ascii="Arial" w:hAnsi="Arial" w:cs="Arial"/>
              </w:rPr>
              <w:t>420.</w:t>
            </w:r>
            <w:r w:rsidR="00470D95">
              <w:rPr>
                <w:rFonts w:ascii="Arial" w:hAnsi="Arial" w:cs="Arial"/>
              </w:rPr>
              <w:t>2</w:t>
            </w:r>
            <w:r w:rsidR="008244A4">
              <w:rPr>
                <w:rFonts w:ascii="Arial" w:hAnsi="Arial" w:cs="Arial"/>
              </w:rPr>
              <w:t>9</w:t>
            </w:r>
          </w:p>
        </w:tc>
        <w:tc>
          <w:tcPr>
            <w:tcW w:w="989" w:type="dxa"/>
            <w:tcBorders>
              <w:top w:val="double" w:sz="4" w:space="0" w:color="auto"/>
              <w:bottom w:val="double" w:sz="4" w:space="0" w:color="auto"/>
            </w:tcBorders>
            <w:shd w:val="clear" w:color="auto" w:fill="auto"/>
          </w:tcPr>
          <w:p w:rsidR="003612B7" w:rsidRPr="00C1669B" w:rsidRDefault="008840E5" w:rsidP="003612B7">
            <w:pPr>
              <w:jc w:val="right"/>
              <w:rPr>
                <w:rFonts w:ascii="Arial" w:hAnsi="Arial" w:cs="Arial"/>
              </w:rPr>
            </w:pPr>
            <w:r>
              <w:rPr>
                <w:rFonts w:ascii="Arial" w:hAnsi="Arial" w:cs="Arial"/>
              </w:rPr>
              <w:t>10.68</w:t>
            </w:r>
          </w:p>
        </w:tc>
        <w:tc>
          <w:tcPr>
            <w:tcW w:w="989" w:type="dxa"/>
            <w:tcBorders>
              <w:top w:val="double" w:sz="4" w:space="0" w:color="auto"/>
              <w:bottom w:val="double" w:sz="4" w:space="0" w:color="auto"/>
            </w:tcBorders>
            <w:shd w:val="clear" w:color="auto" w:fill="auto"/>
          </w:tcPr>
          <w:p w:rsidR="003612B7" w:rsidRPr="00C1669B" w:rsidRDefault="00310069" w:rsidP="003612B7">
            <w:pPr>
              <w:jc w:val="right"/>
              <w:rPr>
                <w:rFonts w:ascii="Arial" w:hAnsi="Arial" w:cs="Arial"/>
              </w:rPr>
            </w:pPr>
            <w:r>
              <w:rPr>
                <w:rFonts w:ascii="Arial" w:hAnsi="Arial" w:cs="Arial"/>
              </w:rPr>
              <w:t>14.7</w:t>
            </w:r>
          </w:p>
        </w:tc>
        <w:tc>
          <w:tcPr>
            <w:tcW w:w="990" w:type="dxa"/>
            <w:tcBorders>
              <w:top w:val="double" w:sz="4" w:space="0" w:color="auto"/>
              <w:bottom w:val="double" w:sz="4" w:space="0" w:color="auto"/>
              <w:right w:val="double" w:sz="4" w:space="0" w:color="auto"/>
            </w:tcBorders>
            <w:shd w:val="clear" w:color="auto" w:fill="auto"/>
          </w:tcPr>
          <w:p w:rsidR="003612B7" w:rsidRPr="00C1669B" w:rsidRDefault="00470D95" w:rsidP="003612B7">
            <w:pPr>
              <w:jc w:val="right"/>
              <w:rPr>
                <w:rFonts w:ascii="Arial" w:hAnsi="Arial" w:cs="Arial"/>
              </w:rPr>
            </w:pPr>
            <w:r>
              <w:rPr>
                <w:rFonts w:ascii="Arial" w:hAnsi="Arial" w:cs="Arial"/>
              </w:rPr>
              <w:t>14.4</w:t>
            </w:r>
          </w:p>
        </w:tc>
      </w:tr>
    </w:tbl>
    <w:p w:rsidR="00733D9B" w:rsidRPr="008840E5" w:rsidRDefault="008840E5" w:rsidP="00733D9B">
      <w:pPr>
        <w:jc w:val="center"/>
        <w:rPr>
          <w:rFonts w:ascii="Arial" w:hAnsi="Arial" w:cs="Arial"/>
          <w:color w:val="000000" w:themeColor="text1"/>
          <w:sz w:val="20"/>
          <w:szCs w:val="20"/>
        </w:rPr>
      </w:pPr>
      <w:r w:rsidRPr="008840E5">
        <w:rPr>
          <w:rFonts w:ascii="Arial" w:hAnsi="Arial" w:cs="Arial"/>
          <w:color w:val="000000" w:themeColor="text1"/>
          <w:sz w:val="20"/>
          <w:szCs w:val="20"/>
        </w:rPr>
        <w:t>nc</w:t>
      </w:r>
      <w:r>
        <w:rPr>
          <w:rFonts w:ascii="Arial" w:hAnsi="Arial" w:cs="Arial"/>
          <w:color w:val="000000" w:themeColor="text1"/>
          <w:sz w:val="20"/>
          <w:szCs w:val="20"/>
        </w:rPr>
        <w:t xml:space="preserve"> </w:t>
      </w:r>
      <w:r w:rsidR="00470D95">
        <w:rPr>
          <w:rFonts w:ascii="Arial" w:hAnsi="Arial" w:cs="Arial"/>
          <w:color w:val="000000" w:themeColor="text1"/>
          <w:sz w:val="20"/>
          <w:szCs w:val="20"/>
        </w:rPr>
        <w:t xml:space="preserve"> </w:t>
      </w:r>
      <w:r w:rsidRPr="008840E5">
        <w:rPr>
          <w:rFonts w:ascii="Arial" w:hAnsi="Arial" w:cs="Arial"/>
          <w:color w:val="000000" w:themeColor="text1"/>
          <w:sz w:val="20"/>
          <w:szCs w:val="20"/>
        </w:rPr>
        <w:t xml:space="preserve"> not calculable </w:t>
      </w:r>
    </w:p>
    <w:p w:rsidR="00733D9B" w:rsidRDefault="00733D9B" w:rsidP="00733D9B">
      <w:pPr>
        <w:jc w:val="center"/>
        <w:rPr>
          <w:color w:val="FF0000"/>
        </w:rPr>
      </w:pPr>
    </w:p>
    <w:p w:rsidR="005173A2" w:rsidRPr="00405C2A" w:rsidRDefault="005173A2" w:rsidP="00733D9B">
      <w:pPr>
        <w:jc w:val="center"/>
        <w:rPr>
          <w:color w:val="FF0000"/>
        </w:rPr>
      </w:pPr>
    </w:p>
    <w:p w:rsidR="00733D9B" w:rsidRPr="00A93D3C" w:rsidRDefault="00733D9B" w:rsidP="00733D9B">
      <w:pPr>
        <w:jc w:val="center"/>
        <w:rPr>
          <w:rFonts w:ascii="Arial" w:hAnsi="Arial" w:cs="Arial"/>
        </w:rPr>
      </w:pPr>
      <w:r w:rsidRPr="00A93D3C">
        <w:rPr>
          <w:rFonts w:ascii="Arial" w:hAnsi="Arial" w:cs="Arial"/>
        </w:rPr>
        <w:t xml:space="preserve">Table 2: Investment Criteria for </w:t>
      </w:r>
      <w:r w:rsidR="00053F02" w:rsidRPr="00A93D3C">
        <w:rPr>
          <w:rFonts w:ascii="Arial" w:hAnsi="Arial" w:cs="Arial"/>
        </w:rPr>
        <w:t xml:space="preserve">the </w:t>
      </w:r>
      <w:r w:rsidR="00A93D3C" w:rsidRPr="00A93D3C">
        <w:rPr>
          <w:rFonts w:ascii="Arial" w:hAnsi="Arial" w:cs="Arial"/>
        </w:rPr>
        <w:t xml:space="preserve">DAF </w:t>
      </w:r>
      <w:r w:rsidRPr="00A93D3C">
        <w:rPr>
          <w:rFonts w:ascii="Arial" w:hAnsi="Arial" w:cs="Arial"/>
        </w:rPr>
        <w:t>Investment</w:t>
      </w:r>
      <w:r w:rsidR="00053F02" w:rsidRPr="00A93D3C">
        <w:rPr>
          <w:rFonts w:ascii="Arial" w:hAnsi="Arial" w:cs="Arial"/>
        </w:rPr>
        <w:t xml:space="preserve"> </w:t>
      </w:r>
      <w:r w:rsidR="00F41960">
        <w:rPr>
          <w:rFonts w:ascii="Arial" w:hAnsi="Arial" w:cs="Arial"/>
        </w:rPr>
        <w:t xml:space="preserve">by </w:t>
      </w:r>
      <w:r w:rsidR="00053F02" w:rsidRPr="00A93D3C">
        <w:rPr>
          <w:rFonts w:ascii="Arial" w:hAnsi="Arial" w:cs="Arial"/>
        </w:rPr>
        <w:t>Project</w:t>
      </w:r>
      <w:r w:rsidR="00F41960">
        <w:rPr>
          <w:rFonts w:ascii="Arial" w:hAnsi="Arial" w:cs="Arial"/>
        </w:rPr>
        <w:t>/Cluster</w:t>
      </w:r>
    </w:p>
    <w:p w:rsidR="00733D9B" w:rsidRPr="00A93D3C" w:rsidRDefault="00733D9B" w:rsidP="00733D9B">
      <w:pPr>
        <w:jc w:val="center"/>
        <w:rPr>
          <w:rFonts w:ascii="Arial" w:hAnsi="Arial" w:cs="Arial"/>
        </w:rPr>
      </w:pPr>
      <w:r w:rsidRPr="00A93D3C">
        <w:rPr>
          <w:rFonts w:ascii="Arial" w:hAnsi="Arial" w:cs="Arial"/>
        </w:rPr>
        <w:t>(discount rate 5%, 30 years from last year of investment)</w:t>
      </w:r>
    </w:p>
    <w:p w:rsidR="00733D9B" w:rsidRPr="00763629" w:rsidRDefault="00733D9B" w:rsidP="00733D9B">
      <w:pPr>
        <w:jc w:val="cente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968"/>
        <w:gridCol w:w="969"/>
        <w:gridCol w:w="968"/>
        <w:gridCol w:w="969"/>
        <w:gridCol w:w="968"/>
        <w:gridCol w:w="969"/>
      </w:tblGrid>
      <w:tr w:rsidR="00861533" w:rsidRPr="00763629" w:rsidTr="000D58A9">
        <w:trPr>
          <w:jc w:val="center"/>
        </w:trPr>
        <w:tc>
          <w:tcPr>
            <w:tcW w:w="3823" w:type="dxa"/>
          </w:tcPr>
          <w:p w:rsidR="00861533" w:rsidRPr="00861533" w:rsidRDefault="00861533" w:rsidP="005173A2">
            <w:pPr>
              <w:rPr>
                <w:rFonts w:ascii="Arial" w:hAnsi="Arial" w:cs="Arial"/>
                <w:b/>
              </w:rPr>
            </w:pPr>
            <w:bookmarkStart w:id="33" w:name="_Hlk488678024"/>
            <w:r w:rsidRPr="00861533">
              <w:rPr>
                <w:rFonts w:ascii="Arial" w:hAnsi="Arial" w:cs="Arial"/>
                <w:b/>
              </w:rPr>
              <w:t xml:space="preserve">Investment Project </w:t>
            </w:r>
          </w:p>
        </w:tc>
        <w:tc>
          <w:tcPr>
            <w:tcW w:w="968" w:type="dxa"/>
          </w:tcPr>
          <w:p w:rsidR="00861533" w:rsidRPr="00861533" w:rsidRDefault="00861533" w:rsidP="00733D9B">
            <w:pPr>
              <w:jc w:val="center"/>
              <w:rPr>
                <w:rFonts w:ascii="Arial" w:hAnsi="Arial" w:cs="Arial"/>
                <w:b/>
              </w:rPr>
            </w:pPr>
            <w:r w:rsidRPr="00861533">
              <w:rPr>
                <w:rFonts w:ascii="Arial" w:hAnsi="Arial" w:cs="Arial"/>
                <w:b/>
              </w:rPr>
              <w:t>PVB ($m)</w:t>
            </w:r>
          </w:p>
        </w:tc>
        <w:tc>
          <w:tcPr>
            <w:tcW w:w="969" w:type="dxa"/>
          </w:tcPr>
          <w:p w:rsidR="00861533" w:rsidRPr="00861533" w:rsidRDefault="00861533" w:rsidP="00733D9B">
            <w:pPr>
              <w:jc w:val="center"/>
              <w:rPr>
                <w:rFonts w:ascii="Arial" w:hAnsi="Arial" w:cs="Arial"/>
                <w:b/>
              </w:rPr>
            </w:pPr>
            <w:r w:rsidRPr="00861533">
              <w:rPr>
                <w:rFonts w:ascii="Arial" w:hAnsi="Arial" w:cs="Arial"/>
                <w:b/>
              </w:rPr>
              <w:t>PVC ($m)</w:t>
            </w:r>
          </w:p>
        </w:tc>
        <w:tc>
          <w:tcPr>
            <w:tcW w:w="968" w:type="dxa"/>
          </w:tcPr>
          <w:p w:rsidR="00861533" w:rsidRPr="00861533" w:rsidRDefault="00861533" w:rsidP="00733D9B">
            <w:pPr>
              <w:jc w:val="center"/>
              <w:rPr>
                <w:rFonts w:ascii="Arial" w:hAnsi="Arial" w:cs="Arial"/>
                <w:b/>
              </w:rPr>
            </w:pPr>
            <w:r w:rsidRPr="00861533">
              <w:rPr>
                <w:rFonts w:ascii="Arial" w:hAnsi="Arial" w:cs="Arial"/>
                <w:b/>
              </w:rPr>
              <w:t>NPV ($m)</w:t>
            </w:r>
          </w:p>
        </w:tc>
        <w:tc>
          <w:tcPr>
            <w:tcW w:w="969" w:type="dxa"/>
          </w:tcPr>
          <w:p w:rsidR="00861533" w:rsidRPr="00861533" w:rsidRDefault="00861533" w:rsidP="00733D9B">
            <w:pPr>
              <w:jc w:val="center"/>
              <w:rPr>
                <w:rFonts w:ascii="Arial" w:hAnsi="Arial" w:cs="Arial"/>
                <w:b/>
              </w:rPr>
            </w:pPr>
            <w:r w:rsidRPr="00861533">
              <w:rPr>
                <w:rFonts w:ascii="Arial" w:hAnsi="Arial" w:cs="Arial"/>
                <w:b/>
              </w:rPr>
              <w:t>BCR</w:t>
            </w:r>
          </w:p>
        </w:tc>
        <w:tc>
          <w:tcPr>
            <w:tcW w:w="968" w:type="dxa"/>
          </w:tcPr>
          <w:p w:rsidR="00861533" w:rsidRPr="00861533" w:rsidRDefault="00861533" w:rsidP="00733D9B">
            <w:pPr>
              <w:jc w:val="center"/>
              <w:rPr>
                <w:rFonts w:ascii="Arial" w:hAnsi="Arial" w:cs="Arial"/>
                <w:b/>
              </w:rPr>
            </w:pPr>
            <w:r w:rsidRPr="00861533">
              <w:rPr>
                <w:rFonts w:ascii="Arial" w:hAnsi="Arial" w:cs="Arial"/>
                <w:b/>
              </w:rPr>
              <w:t>IRR (%)</w:t>
            </w:r>
          </w:p>
        </w:tc>
        <w:tc>
          <w:tcPr>
            <w:tcW w:w="969" w:type="dxa"/>
          </w:tcPr>
          <w:p w:rsidR="00861533" w:rsidRDefault="00061F27" w:rsidP="00733D9B">
            <w:pPr>
              <w:jc w:val="center"/>
              <w:rPr>
                <w:rFonts w:ascii="Arial" w:hAnsi="Arial" w:cs="Arial"/>
                <w:b/>
              </w:rPr>
            </w:pPr>
            <w:r>
              <w:rPr>
                <w:rFonts w:ascii="Arial" w:hAnsi="Arial" w:cs="Arial"/>
                <w:b/>
              </w:rPr>
              <w:t>MIRR</w:t>
            </w:r>
          </w:p>
          <w:p w:rsidR="00061F27" w:rsidRPr="00861533" w:rsidRDefault="00061F27" w:rsidP="00733D9B">
            <w:pPr>
              <w:jc w:val="center"/>
              <w:rPr>
                <w:rFonts w:ascii="Arial" w:hAnsi="Arial" w:cs="Arial"/>
                <w:b/>
              </w:rPr>
            </w:pPr>
            <w:r>
              <w:rPr>
                <w:rFonts w:ascii="Arial" w:hAnsi="Arial" w:cs="Arial"/>
                <w:b/>
              </w:rPr>
              <w:t>(%)</w:t>
            </w:r>
          </w:p>
        </w:tc>
      </w:tr>
      <w:tr w:rsidR="003C73AF" w:rsidRPr="00763629" w:rsidTr="000D58A9">
        <w:trPr>
          <w:jc w:val="center"/>
        </w:trPr>
        <w:tc>
          <w:tcPr>
            <w:tcW w:w="3823" w:type="dxa"/>
          </w:tcPr>
          <w:p w:rsidR="003C73AF" w:rsidRPr="00763629" w:rsidRDefault="003C73AF" w:rsidP="003C73AF">
            <w:r w:rsidRPr="003C73AF">
              <w:rPr>
                <w:rFonts w:ascii="Arial" w:hAnsi="Arial" w:cs="Arial"/>
              </w:rPr>
              <w:t>Mud Crabs</w:t>
            </w:r>
          </w:p>
        </w:tc>
        <w:tc>
          <w:tcPr>
            <w:tcW w:w="968" w:type="dxa"/>
            <w:shd w:val="clear" w:color="auto" w:fill="auto"/>
          </w:tcPr>
          <w:p w:rsidR="003C73AF" w:rsidRPr="00C1669B" w:rsidRDefault="009662BB" w:rsidP="003C73AF">
            <w:pPr>
              <w:jc w:val="right"/>
              <w:rPr>
                <w:rFonts w:ascii="Arial" w:hAnsi="Arial" w:cs="Arial"/>
              </w:rPr>
            </w:pPr>
            <w:r>
              <w:rPr>
                <w:rFonts w:ascii="Arial" w:hAnsi="Arial" w:cs="Arial"/>
              </w:rPr>
              <w:t>13.63</w:t>
            </w:r>
          </w:p>
        </w:tc>
        <w:tc>
          <w:tcPr>
            <w:tcW w:w="969" w:type="dxa"/>
            <w:shd w:val="clear" w:color="auto" w:fill="auto"/>
          </w:tcPr>
          <w:p w:rsidR="003C73AF" w:rsidRPr="00C1669B" w:rsidRDefault="009662BB" w:rsidP="003C73AF">
            <w:pPr>
              <w:jc w:val="right"/>
              <w:rPr>
                <w:rFonts w:ascii="Arial" w:hAnsi="Arial" w:cs="Arial"/>
              </w:rPr>
            </w:pPr>
            <w:r>
              <w:rPr>
                <w:rFonts w:ascii="Arial" w:hAnsi="Arial" w:cs="Arial"/>
              </w:rPr>
              <w:t>0.41</w:t>
            </w:r>
          </w:p>
        </w:tc>
        <w:tc>
          <w:tcPr>
            <w:tcW w:w="968" w:type="dxa"/>
            <w:shd w:val="clear" w:color="auto" w:fill="auto"/>
          </w:tcPr>
          <w:p w:rsidR="003C73AF" w:rsidRPr="00C1669B" w:rsidRDefault="009662BB" w:rsidP="003C73AF">
            <w:pPr>
              <w:jc w:val="right"/>
              <w:rPr>
                <w:rFonts w:ascii="Arial" w:hAnsi="Arial" w:cs="Arial"/>
              </w:rPr>
            </w:pPr>
            <w:r>
              <w:rPr>
                <w:rFonts w:ascii="Arial" w:hAnsi="Arial" w:cs="Arial"/>
              </w:rPr>
              <w:t>13.22</w:t>
            </w:r>
          </w:p>
        </w:tc>
        <w:tc>
          <w:tcPr>
            <w:tcW w:w="969" w:type="dxa"/>
            <w:shd w:val="clear" w:color="auto" w:fill="auto"/>
          </w:tcPr>
          <w:p w:rsidR="003C73AF" w:rsidRPr="00C1669B" w:rsidRDefault="009662BB" w:rsidP="003C73AF">
            <w:pPr>
              <w:jc w:val="right"/>
              <w:rPr>
                <w:rFonts w:ascii="Arial" w:hAnsi="Arial" w:cs="Arial"/>
              </w:rPr>
            </w:pPr>
            <w:r>
              <w:rPr>
                <w:rFonts w:ascii="Arial" w:hAnsi="Arial" w:cs="Arial"/>
              </w:rPr>
              <w:t>32.93</w:t>
            </w:r>
          </w:p>
        </w:tc>
        <w:tc>
          <w:tcPr>
            <w:tcW w:w="968" w:type="dxa"/>
            <w:shd w:val="clear" w:color="auto" w:fill="auto"/>
          </w:tcPr>
          <w:p w:rsidR="003C73AF" w:rsidRPr="00C1669B" w:rsidRDefault="009662BB" w:rsidP="003C73AF">
            <w:pPr>
              <w:jc w:val="right"/>
              <w:rPr>
                <w:rFonts w:ascii="Arial" w:hAnsi="Arial" w:cs="Arial"/>
              </w:rPr>
            </w:pPr>
            <w:r>
              <w:rPr>
                <w:rFonts w:ascii="Arial" w:hAnsi="Arial" w:cs="Arial"/>
              </w:rPr>
              <w:t>130.1</w:t>
            </w:r>
          </w:p>
        </w:tc>
        <w:tc>
          <w:tcPr>
            <w:tcW w:w="969" w:type="dxa"/>
          </w:tcPr>
          <w:p w:rsidR="003C73AF" w:rsidRPr="00C1669B" w:rsidRDefault="009662BB" w:rsidP="003C73AF">
            <w:pPr>
              <w:jc w:val="right"/>
              <w:rPr>
                <w:rFonts w:ascii="Arial" w:hAnsi="Arial" w:cs="Arial"/>
              </w:rPr>
            </w:pPr>
            <w:r>
              <w:rPr>
                <w:rFonts w:ascii="Arial" w:hAnsi="Arial" w:cs="Arial"/>
              </w:rPr>
              <w:t>18.0</w:t>
            </w:r>
          </w:p>
        </w:tc>
      </w:tr>
      <w:tr w:rsidR="003C73AF" w:rsidRPr="00405C2A" w:rsidTr="000D58A9">
        <w:trPr>
          <w:jc w:val="center"/>
        </w:trPr>
        <w:tc>
          <w:tcPr>
            <w:tcW w:w="3823" w:type="dxa"/>
          </w:tcPr>
          <w:p w:rsidR="003C73AF" w:rsidRPr="001901E1" w:rsidRDefault="003C73AF" w:rsidP="003C73AF">
            <w:pPr>
              <w:rPr>
                <w:color w:val="000000" w:themeColor="text1"/>
              </w:rPr>
            </w:pPr>
            <w:r w:rsidRPr="001901E1">
              <w:rPr>
                <w:rFonts w:ascii="Arial" w:hAnsi="Arial" w:cs="Arial"/>
                <w:color w:val="000000" w:themeColor="text1"/>
              </w:rPr>
              <w:t xml:space="preserve">Fruit Flies </w:t>
            </w:r>
          </w:p>
        </w:tc>
        <w:tc>
          <w:tcPr>
            <w:tcW w:w="968" w:type="dxa"/>
            <w:shd w:val="clear" w:color="auto" w:fill="auto"/>
          </w:tcPr>
          <w:p w:rsidR="003C73AF" w:rsidRPr="001901E1" w:rsidRDefault="00FA0923" w:rsidP="003C73AF">
            <w:pPr>
              <w:jc w:val="right"/>
              <w:rPr>
                <w:rFonts w:ascii="Arial" w:hAnsi="Arial" w:cs="Arial"/>
                <w:color w:val="000000" w:themeColor="text1"/>
              </w:rPr>
            </w:pPr>
            <w:r w:rsidRPr="001901E1">
              <w:rPr>
                <w:rFonts w:ascii="Arial" w:hAnsi="Arial" w:cs="Arial"/>
                <w:color w:val="000000" w:themeColor="text1"/>
              </w:rPr>
              <w:t>1.7</w:t>
            </w:r>
            <w:r w:rsidR="006A5482" w:rsidRPr="001901E1">
              <w:rPr>
                <w:rFonts w:ascii="Arial" w:hAnsi="Arial" w:cs="Arial"/>
                <w:color w:val="000000" w:themeColor="text1"/>
              </w:rPr>
              <w:t>2</w:t>
            </w:r>
          </w:p>
        </w:tc>
        <w:tc>
          <w:tcPr>
            <w:tcW w:w="969" w:type="dxa"/>
            <w:shd w:val="clear" w:color="auto" w:fill="auto"/>
          </w:tcPr>
          <w:p w:rsidR="003C73AF" w:rsidRPr="001901E1" w:rsidRDefault="00FA0923" w:rsidP="003C73AF">
            <w:pPr>
              <w:jc w:val="right"/>
              <w:rPr>
                <w:rFonts w:ascii="Arial" w:hAnsi="Arial" w:cs="Arial"/>
                <w:color w:val="000000" w:themeColor="text1"/>
              </w:rPr>
            </w:pPr>
            <w:r w:rsidRPr="001901E1">
              <w:rPr>
                <w:rFonts w:ascii="Arial" w:hAnsi="Arial" w:cs="Arial"/>
                <w:color w:val="000000" w:themeColor="text1"/>
              </w:rPr>
              <w:t>0.37</w:t>
            </w:r>
          </w:p>
        </w:tc>
        <w:tc>
          <w:tcPr>
            <w:tcW w:w="968" w:type="dxa"/>
            <w:shd w:val="clear" w:color="auto" w:fill="auto"/>
          </w:tcPr>
          <w:p w:rsidR="003C73AF" w:rsidRPr="001901E1" w:rsidRDefault="00FA0923" w:rsidP="003C73AF">
            <w:pPr>
              <w:jc w:val="right"/>
              <w:rPr>
                <w:rFonts w:ascii="Arial" w:hAnsi="Arial" w:cs="Arial"/>
                <w:color w:val="000000" w:themeColor="text1"/>
              </w:rPr>
            </w:pPr>
            <w:r w:rsidRPr="001901E1">
              <w:rPr>
                <w:rFonts w:ascii="Arial" w:hAnsi="Arial" w:cs="Arial"/>
                <w:color w:val="000000" w:themeColor="text1"/>
              </w:rPr>
              <w:t>1.3</w:t>
            </w:r>
            <w:r w:rsidR="006A5482" w:rsidRPr="001901E1">
              <w:rPr>
                <w:rFonts w:ascii="Arial" w:hAnsi="Arial" w:cs="Arial"/>
                <w:color w:val="000000" w:themeColor="text1"/>
              </w:rPr>
              <w:t>5</w:t>
            </w:r>
          </w:p>
        </w:tc>
        <w:tc>
          <w:tcPr>
            <w:tcW w:w="969" w:type="dxa"/>
            <w:shd w:val="clear" w:color="auto" w:fill="auto"/>
          </w:tcPr>
          <w:p w:rsidR="003C73AF" w:rsidRPr="001901E1" w:rsidRDefault="00FA0923" w:rsidP="003C73AF">
            <w:pPr>
              <w:jc w:val="right"/>
              <w:rPr>
                <w:rFonts w:ascii="Arial" w:hAnsi="Arial" w:cs="Arial"/>
                <w:color w:val="000000" w:themeColor="text1"/>
              </w:rPr>
            </w:pPr>
            <w:r w:rsidRPr="001901E1">
              <w:rPr>
                <w:rFonts w:ascii="Arial" w:hAnsi="Arial" w:cs="Arial"/>
                <w:color w:val="000000" w:themeColor="text1"/>
              </w:rPr>
              <w:t>4.</w:t>
            </w:r>
            <w:r w:rsidR="006A5482" w:rsidRPr="001901E1">
              <w:rPr>
                <w:rFonts w:ascii="Arial" w:hAnsi="Arial" w:cs="Arial"/>
                <w:color w:val="000000" w:themeColor="text1"/>
              </w:rPr>
              <w:t>65</w:t>
            </w:r>
          </w:p>
        </w:tc>
        <w:tc>
          <w:tcPr>
            <w:tcW w:w="968" w:type="dxa"/>
            <w:shd w:val="clear" w:color="auto" w:fill="auto"/>
          </w:tcPr>
          <w:p w:rsidR="003C73AF" w:rsidRPr="001901E1" w:rsidRDefault="00FA0923" w:rsidP="003C73AF">
            <w:pPr>
              <w:jc w:val="right"/>
              <w:rPr>
                <w:rFonts w:ascii="Arial" w:hAnsi="Arial" w:cs="Arial"/>
                <w:color w:val="000000" w:themeColor="text1"/>
              </w:rPr>
            </w:pPr>
            <w:r w:rsidRPr="001901E1">
              <w:rPr>
                <w:rFonts w:ascii="Arial" w:hAnsi="Arial" w:cs="Arial"/>
                <w:color w:val="000000" w:themeColor="text1"/>
              </w:rPr>
              <w:t>23.</w:t>
            </w:r>
            <w:r w:rsidR="006A5482" w:rsidRPr="001901E1">
              <w:rPr>
                <w:rFonts w:ascii="Arial" w:hAnsi="Arial" w:cs="Arial"/>
                <w:color w:val="000000" w:themeColor="text1"/>
              </w:rPr>
              <w:t>4</w:t>
            </w:r>
          </w:p>
        </w:tc>
        <w:tc>
          <w:tcPr>
            <w:tcW w:w="969" w:type="dxa"/>
          </w:tcPr>
          <w:p w:rsidR="003C73AF" w:rsidRPr="001901E1" w:rsidRDefault="00FA0923" w:rsidP="003C73AF">
            <w:pPr>
              <w:jc w:val="right"/>
              <w:rPr>
                <w:rFonts w:ascii="Arial" w:hAnsi="Arial" w:cs="Arial"/>
                <w:color w:val="000000" w:themeColor="text1"/>
              </w:rPr>
            </w:pPr>
            <w:r w:rsidRPr="001901E1">
              <w:rPr>
                <w:rFonts w:ascii="Arial" w:hAnsi="Arial" w:cs="Arial"/>
                <w:color w:val="000000" w:themeColor="text1"/>
              </w:rPr>
              <w:t>10.</w:t>
            </w:r>
            <w:r w:rsidR="006A5482" w:rsidRPr="001901E1">
              <w:rPr>
                <w:rFonts w:ascii="Arial" w:hAnsi="Arial" w:cs="Arial"/>
                <w:color w:val="000000" w:themeColor="text1"/>
              </w:rPr>
              <w:t>8</w:t>
            </w:r>
          </w:p>
        </w:tc>
      </w:tr>
      <w:tr w:rsidR="003C73AF" w:rsidRPr="00405C2A" w:rsidTr="000D58A9">
        <w:trPr>
          <w:jc w:val="center"/>
        </w:trPr>
        <w:tc>
          <w:tcPr>
            <w:tcW w:w="3823" w:type="dxa"/>
          </w:tcPr>
          <w:p w:rsidR="003C73AF" w:rsidRPr="00405C2A" w:rsidRDefault="003C73AF" w:rsidP="003C73AF">
            <w:pPr>
              <w:rPr>
                <w:color w:val="FF0000"/>
              </w:rPr>
            </w:pPr>
            <w:r w:rsidRPr="003C73AF">
              <w:rPr>
                <w:rFonts w:ascii="Arial" w:hAnsi="Arial" w:cs="Arial"/>
              </w:rPr>
              <w:t xml:space="preserve">Central Qld Cotton </w:t>
            </w:r>
          </w:p>
        </w:tc>
        <w:tc>
          <w:tcPr>
            <w:tcW w:w="968" w:type="dxa"/>
            <w:shd w:val="clear" w:color="auto" w:fill="auto"/>
          </w:tcPr>
          <w:p w:rsidR="003C73AF" w:rsidRPr="00C1669B" w:rsidRDefault="00D62883" w:rsidP="003C73AF">
            <w:pPr>
              <w:jc w:val="right"/>
              <w:rPr>
                <w:rFonts w:ascii="Arial" w:hAnsi="Arial" w:cs="Arial"/>
              </w:rPr>
            </w:pPr>
            <w:r>
              <w:rPr>
                <w:rFonts w:ascii="Arial" w:hAnsi="Arial" w:cs="Arial"/>
              </w:rPr>
              <w:t>7.70</w:t>
            </w:r>
          </w:p>
        </w:tc>
        <w:tc>
          <w:tcPr>
            <w:tcW w:w="969" w:type="dxa"/>
            <w:shd w:val="clear" w:color="auto" w:fill="auto"/>
          </w:tcPr>
          <w:p w:rsidR="003C73AF" w:rsidRPr="00C1669B" w:rsidRDefault="00D62883" w:rsidP="003C73AF">
            <w:pPr>
              <w:jc w:val="right"/>
              <w:rPr>
                <w:rFonts w:ascii="Arial" w:hAnsi="Arial" w:cs="Arial"/>
              </w:rPr>
            </w:pPr>
            <w:r>
              <w:rPr>
                <w:rFonts w:ascii="Arial" w:hAnsi="Arial" w:cs="Arial"/>
              </w:rPr>
              <w:t>0.45</w:t>
            </w:r>
          </w:p>
        </w:tc>
        <w:tc>
          <w:tcPr>
            <w:tcW w:w="968" w:type="dxa"/>
            <w:shd w:val="clear" w:color="auto" w:fill="auto"/>
          </w:tcPr>
          <w:p w:rsidR="003C73AF" w:rsidRPr="00C1669B" w:rsidRDefault="00D62883" w:rsidP="003C73AF">
            <w:pPr>
              <w:jc w:val="right"/>
              <w:rPr>
                <w:rFonts w:ascii="Arial" w:hAnsi="Arial" w:cs="Arial"/>
              </w:rPr>
            </w:pPr>
            <w:r>
              <w:rPr>
                <w:rFonts w:ascii="Arial" w:hAnsi="Arial" w:cs="Arial"/>
              </w:rPr>
              <w:t>7.25</w:t>
            </w:r>
          </w:p>
        </w:tc>
        <w:tc>
          <w:tcPr>
            <w:tcW w:w="969" w:type="dxa"/>
            <w:shd w:val="clear" w:color="auto" w:fill="auto"/>
          </w:tcPr>
          <w:p w:rsidR="003C73AF" w:rsidRPr="00C1669B" w:rsidRDefault="00D62883" w:rsidP="003C73AF">
            <w:pPr>
              <w:jc w:val="right"/>
              <w:rPr>
                <w:rFonts w:ascii="Arial" w:hAnsi="Arial" w:cs="Arial"/>
              </w:rPr>
            </w:pPr>
            <w:r>
              <w:rPr>
                <w:rFonts w:ascii="Arial" w:hAnsi="Arial" w:cs="Arial"/>
              </w:rPr>
              <w:t>17.18</w:t>
            </w:r>
          </w:p>
        </w:tc>
        <w:tc>
          <w:tcPr>
            <w:tcW w:w="968" w:type="dxa"/>
            <w:shd w:val="clear" w:color="auto" w:fill="auto"/>
          </w:tcPr>
          <w:p w:rsidR="003C73AF" w:rsidRPr="00C1669B" w:rsidRDefault="00D62883" w:rsidP="003C73AF">
            <w:pPr>
              <w:jc w:val="right"/>
              <w:rPr>
                <w:rFonts w:ascii="Arial" w:hAnsi="Arial" w:cs="Arial"/>
              </w:rPr>
            </w:pPr>
            <w:r>
              <w:rPr>
                <w:rFonts w:ascii="Arial" w:hAnsi="Arial" w:cs="Arial"/>
              </w:rPr>
              <w:t>69.5</w:t>
            </w:r>
          </w:p>
        </w:tc>
        <w:tc>
          <w:tcPr>
            <w:tcW w:w="969" w:type="dxa"/>
          </w:tcPr>
          <w:p w:rsidR="003C73AF" w:rsidRPr="00C1669B" w:rsidRDefault="00D62883" w:rsidP="003C73AF">
            <w:pPr>
              <w:jc w:val="right"/>
              <w:rPr>
                <w:rFonts w:ascii="Arial" w:hAnsi="Arial" w:cs="Arial"/>
              </w:rPr>
            </w:pPr>
            <w:r>
              <w:rPr>
                <w:rFonts w:ascii="Arial" w:hAnsi="Arial" w:cs="Arial"/>
              </w:rPr>
              <w:t>15.4</w:t>
            </w:r>
          </w:p>
        </w:tc>
      </w:tr>
      <w:tr w:rsidR="003C73AF" w:rsidRPr="00405C2A" w:rsidTr="000D58A9">
        <w:trPr>
          <w:jc w:val="center"/>
        </w:trPr>
        <w:tc>
          <w:tcPr>
            <w:tcW w:w="3823" w:type="dxa"/>
          </w:tcPr>
          <w:p w:rsidR="003C73AF" w:rsidRPr="00405C2A" w:rsidRDefault="003C73AF" w:rsidP="003C73AF">
            <w:pPr>
              <w:rPr>
                <w:color w:val="FF0000"/>
              </w:rPr>
            </w:pPr>
            <w:r w:rsidRPr="003C73AF">
              <w:rPr>
                <w:rFonts w:ascii="Arial" w:hAnsi="Arial" w:cs="Arial"/>
              </w:rPr>
              <w:t>C4 Milk</w:t>
            </w:r>
          </w:p>
        </w:tc>
        <w:tc>
          <w:tcPr>
            <w:tcW w:w="968" w:type="dxa"/>
            <w:shd w:val="clear" w:color="auto" w:fill="auto"/>
          </w:tcPr>
          <w:p w:rsidR="003C73AF" w:rsidRPr="00C1669B" w:rsidRDefault="00D62883" w:rsidP="003C73AF">
            <w:pPr>
              <w:jc w:val="right"/>
              <w:rPr>
                <w:rFonts w:ascii="Arial" w:hAnsi="Arial" w:cs="Arial"/>
              </w:rPr>
            </w:pPr>
            <w:r>
              <w:rPr>
                <w:rFonts w:ascii="Arial" w:hAnsi="Arial" w:cs="Arial"/>
              </w:rPr>
              <w:t>21.06</w:t>
            </w:r>
          </w:p>
        </w:tc>
        <w:tc>
          <w:tcPr>
            <w:tcW w:w="969" w:type="dxa"/>
            <w:shd w:val="clear" w:color="auto" w:fill="auto"/>
          </w:tcPr>
          <w:p w:rsidR="003C73AF" w:rsidRPr="00C1669B" w:rsidRDefault="00D62883" w:rsidP="003C73AF">
            <w:pPr>
              <w:jc w:val="right"/>
              <w:rPr>
                <w:rFonts w:ascii="Arial" w:hAnsi="Arial" w:cs="Arial"/>
              </w:rPr>
            </w:pPr>
            <w:r>
              <w:rPr>
                <w:rFonts w:ascii="Arial" w:hAnsi="Arial" w:cs="Arial"/>
              </w:rPr>
              <w:t>4.07</w:t>
            </w:r>
          </w:p>
        </w:tc>
        <w:tc>
          <w:tcPr>
            <w:tcW w:w="968" w:type="dxa"/>
            <w:shd w:val="clear" w:color="auto" w:fill="auto"/>
          </w:tcPr>
          <w:p w:rsidR="003C73AF" w:rsidRPr="00C1669B" w:rsidRDefault="00D62883" w:rsidP="003C73AF">
            <w:pPr>
              <w:jc w:val="right"/>
              <w:rPr>
                <w:rFonts w:ascii="Arial" w:hAnsi="Arial" w:cs="Arial"/>
              </w:rPr>
            </w:pPr>
            <w:r>
              <w:rPr>
                <w:rFonts w:ascii="Arial" w:hAnsi="Arial" w:cs="Arial"/>
              </w:rPr>
              <w:t>16.99</w:t>
            </w:r>
          </w:p>
        </w:tc>
        <w:tc>
          <w:tcPr>
            <w:tcW w:w="969" w:type="dxa"/>
            <w:shd w:val="clear" w:color="auto" w:fill="auto"/>
          </w:tcPr>
          <w:p w:rsidR="003C73AF" w:rsidRPr="00C1669B" w:rsidRDefault="00D62883" w:rsidP="003C73AF">
            <w:pPr>
              <w:jc w:val="right"/>
              <w:rPr>
                <w:rFonts w:ascii="Arial" w:hAnsi="Arial" w:cs="Arial"/>
              </w:rPr>
            </w:pPr>
            <w:r>
              <w:rPr>
                <w:rFonts w:ascii="Arial" w:hAnsi="Arial" w:cs="Arial"/>
              </w:rPr>
              <w:t>5.17</w:t>
            </w:r>
          </w:p>
        </w:tc>
        <w:tc>
          <w:tcPr>
            <w:tcW w:w="968" w:type="dxa"/>
            <w:shd w:val="clear" w:color="auto" w:fill="auto"/>
          </w:tcPr>
          <w:p w:rsidR="003C73AF" w:rsidRPr="00C1669B" w:rsidRDefault="00D62883" w:rsidP="003C73AF">
            <w:pPr>
              <w:jc w:val="right"/>
              <w:rPr>
                <w:rFonts w:ascii="Arial" w:hAnsi="Arial" w:cs="Arial"/>
              </w:rPr>
            </w:pPr>
            <w:r>
              <w:rPr>
                <w:rFonts w:ascii="Arial" w:hAnsi="Arial" w:cs="Arial"/>
              </w:rPr>
              <w:t>25.9</w:t>
            </w:r>
          </w:p>
        </w:tc>
        <w:tc>
          <w:tcPr>
            <w:tcW w:w="969" w:type="dxa"/>
          </w:tcPr>
          <w:p w:rsidR="003C73AF" w:rsidRPr="00C1669B" w:rsidRDefault="00D62883" w:rsidP="003C73AF">
            <w:pPr>
              <w:jc w:val="right"/>
              <w:rPr>
                <w:rFonts w:ascii="Arial" w:hAnsi="Arial" w:cs="Arial"/>
              </w:rPr>
            </w:pPr>
            <w:r>
              <w:rPr>
                <w:rFonts w:ascii="Arial" w:hAnsi="Arial" w:cs="Arial"/>
              </w:rPr>
              <w:t>11.4</w:t>
            </w:r>
          </w:p>
        </w:tc>
      </w:tr>
      <w:tr w:rsidR="003C73AF" w:rsidRPr="00405C2A" w:rsidTr="000D58A9">
        <w:trPr>
          <w:jc w:val="center"/>
        </w:trPr>
        <w:tc>
          <w:tcPr>
            <w:tcW w:w="3823" w:type="dxa"/>
          </w:tcPr>
          <w:p w:rsidR="003C73AF" w:rsidRPr="00A93D3C" w:rsidRDefault="003C73AF" w:rsidP="003C73AF">
            <w:pPr>
              <w:rPr>
                <w:rFonts w:ascii="Arial" w:hAnsi="Arial" w:cs="Arial"/>
                <w:color w:val="FF0000"/>
              </w:rPr>
            </w:pPr>
            <w:r w:rsidRPr="003C73AF">
              <w:rPr>
                <w:rFonts w:ascii="Arial" w:hAnsi="Arial" w:cs="Arial"/>
              </w:rPr>
              <w:t>Sweet</w:t>
            </w:r>
            <w:r w:rsidR="002B1931">
              <w:rPr>
                <w:rFonts w:ascii="Arial" w:hAnsi="Arial" w:cs="Arial"/>
              </w:rPr>
              <w:t>p</w:t>
            </w:r>
            <w:r w:rsidRPr="003C73AF">
              <w:rPr>
                <w:rFonts w:ascii="Arial" w:hAnsi="Arial" w:cs="Arial"/>
              </w:rPr>
              <w:t xml:space="preserve">otato  </w:t>
            </w:r>
          </w:p>
        </w:tc>
        <w:tc>
          <w:tcPr>
            <w:tcW w:w="968" w:type="dxa"/>
            <w:shd w:val="clear" w:color="auto" w:fill="auto"/>
          </w:tcPr>
          <w:p w:rsidR="003C73AF" w:rsidRPr="00C1669B" w:rsidRDefault="008840E5" w:rsidP="003C73AF">
            <w:pPr>
              <w:jc w:val="right"/>
              <w:rPr>
                <w:rFonts w:ascii="Arial" w:hAnsi="Arial" w:cs="Arial"/>
              </w:rPr>
            </w:pPr>
            <w:r>
              <w:rPr>
                <w:rFonts w:ascii="Arial" w:hAnsi="Arial" w:cs="Arial"/>
              </w:rPr>
              <w:t>58.15</w:t>
            </w:r>
          </w:p>
        </w:tc>
        <w:tc>
          <w:tcPr>
            <w:tcW w:w="969" w:type="dxa"/>
            <w:shd w:val="clear" w:color="auto" w:fill="auto"/>
          </w:tcPr>
          <w:p w:rsidR="003C73AF" w:rsidRPr="00C1669B" w:rsidRDefault="00D62883" w:rsidP="003C73AF">
            <w:pPr>
              <w:jc w:val="right"/>
              <w:rPr>
                <w:rFonts w:ascii="Arial" w:hAnsi="Arial" w:cs="Arial"/>
              </w:rPr>
            </w:pPr>
            <w:r>
              <w:rPr>
                <w:rFonts w:ascii="Arial" w:hAnsi="Arial" w:cs="Arial"/>
              </w:rPr>
              <w:t>6.67</w:t>
            </w:r>
          </w:p>
        </w:tc>
        <w:tc>
          <w:tcPr>
            <w:tcW w:w="968" w:type="dxa"/>
            <w:shd w:val="clear" w:color="auto" w:fill="auto"/>
          </w:tcPr>
          <w:p w:rsidR="003C73AF" w:rsidRPr="00C1669B" w:rsidRDefault="008840E5" w:rsidP="003C73AF">
            <w:pPr>
              <w:jc w:val="right"/>
              <w:rPr>
                <w:rFonts w:ascii="Arial" w:hAnsi="Arial" w:cs="Arial"/>
              </w:rPr>
            </w:pPr>
            <w:r>
              <w:rPr>
                <w:rFonts w:ascii="Arial" w:hAnsi="Arial" w:cs="Arial"/>
              </w:rPr>
              <w:t>51.48</w:t>
            </w:r>
          </w:p>
        </w:tc>
        <w:tc>
          <w:tcPr>
            <w:tcW w:w="969" w:type="dxa"/>
            <w:shd w:val="clear" w:color="auto" w:fill="auto"/>
          </w:tcPr>
          <w:p w:rsidR="003C73AF" w:rsidRPr="00C1669B" w:rsidRDefault="008840E5" w:rsidP="003C73AF">
            <w:pPr>
              <w:jc w:val="right"/>
              <w:rPr>
                <w:rFonts w:ascii="Arial" w:hAnsi="Arial" w:cs="Arial"/>
              </w:rPr>
            </w:pPr>
            <w:r>
              <w:rPr>
                <w:rFonts w:ascii="Arial" w:hAnsi="Arial" w:cs="Arial"/>
              </w:rPr>
              <w:t>8.72</w:t>
            </w:r>
          </w:p>
        </w:tc>
        <w:tc>
          <w:tcPr>
            <w:tcW w:w="968" w:type="dxa"/>
            <w:shd w:val="clear" w:color="auto" w:fill="auto"/>
          </w:tcPr>
          <w:p w:rsidR="003C73AF" w:rsidRPr="00C1669B" w:rsidRDefault="001901E1" w:rsidP="003C73AF">
            <w:pPr>
              <w:jc w:val="right"/>
              <w:rPr>
                <w:rFonts w:ascii="Arial" w:hAnsi="Arial" w:cs="Arial"/>
              </w:rPr>
            </w:pPr>
            <w:r>
              <w:rPr>
                <w:rFonts w:ascii="Arial" w:hAnsi="Arial" w:cs="Arial"/>
              </w:rPr>
              <w:t>n</w:t>
            </w:r>
            <w:r w:rsidR="00D62883">
              <w:rPr>
                <w:rFonts w:ascii="Arial" w:hAnsi="Arial" w:cs="Arial"/>
              </w:rPr>
              <w:t>c</w:t>
            </w:r>
          </w:p>
        </w:tc>
        <w:tc>
          <w:tcPr>
            <w:tcW w:w="969" w:type="dxa"/>
          </w:tcPr>
          <w:p w:rsidR="003C73AF" w:rsidRPr="00C1669B" w:rsidRDefault="008840E5" w:rsidP="003C73AF">
            <w:pPr>
              <w:jc w:val="right"/>
              <w:rPr>
                <w:rFonts w:ascii="Arial" w:hAnsi="Arial" w:cs="Arial"/>
              </w:rPr>
            </w:pPr>
            <w:r>
              <w:rPr>
                <w:rFonts w:ascii="Arial" w:hAnsi="Arial" w:cs="Arial"/>
              </w:rPr>
              <w:t>21.0</w:t>
            </w:r>
          </w:p>
        </w:tc>
      </w:tr>
      <w:tr w:rsidR="003C73AF" w:rsidRPr="00405C2A" w:rsidTr="00470D95">
        <w:trPr>
          <w:jc w:val="center"/>
        </w:trPr>
        <w:tc>
          <w:tcPr>
            <w:tcW w:w="3823" w:type="dxa"/>
            <w:tcBorders>
              <w:bottom w:val="double" w:sz="4" w:space="0" w:color="auto"/>
            </w:tcBorders>
          </w:tcPr>
          <w:p w:rsidR="003C73AF" w:rsidRPr="003C73AF" w:rsidRDefault="003C73AF" w:rsidP="003C73AF">
            <w:pPr>
              <w:rPr>
                <w:rFonts w:ascii="Arial" w:hAnsi="Arial" w:cs="Arial"/>
              </w:rPr>
            </w:pPr>
            <w:r>
              <w:rPr>
                <w:rFonts w:ascii="Arial" w:hAnsi="Arial" w:cs="Arial"/>
              </w:rPr>
              <w:t>Plum Breeding</w:t>
            </w:r>
          </w:p>
        </w:tc>
        <w:tc>
          <w:tcPr>
            <w:tcW w:w="968"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204.67</w:t>
            </w:r>
          </w:p>
        </w:tc>
        <w:tc>
          <w:tcPr>
            <w:tcW w:w="969"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16.39</w:t>
            </w:r>
          </w:p>
        </w:tc>
        <w:tc>
          <w:tcPr>
            <w:tcW w:w="968"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188.28</w:t>
            </w:r>
          </w:p>
        </w:tc>
        <w:tc>
          <w:tcPr>
            <w:tcW w:w="969"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12.49</w:t>
            </w:r>
          </w:p>
        </w:tc>
        <w:tc>
          <w:tcPr>
            <w:tcW w:w="968" w:type="dxa"/>
            <w:tcBorders>
              <w:bottom w:val="double" w:sz="4" w:space="0" w:color="auto"/>
            </w:tcBorders>
            <w:shd w:val="clear" w:color="auto" w:fill="auto"/>
          </w:tcPr>
          <w:p w:rsidR="003C73AF" w:rsidRPr="00C1669B" w:rsidRDefault="000D58A9" w:rsidP="003C73AF">
            <w:pPr>
              <w:jc w:val="right"/>
              <w:rPr>
                <w:rFonts w:ascii="Arial" w:hAnsi="Arial" w:cs="Arial"/>
              </w:rPr>
            </w:pPr>
            <w:r>
              <w:rPr>
                <w:rFonts w:ascii="Arial" w:hAnsi="Arial" w:cs="Arial"/>
              </w:rPr>
              <w:t>12.2</w:t>
            </w:r>
          </w:p>
        </w:tc>
        <w:tc>
          <w:tcPr>
            <w:tcW w:w="969" w:type="dxa"/>
            <w:tcBorders>
              <w:bottom w:val="double" w:sz="4" w:space="0" w:color="auto"/>
            </w:tcBorders>
          </w:tcPr>
          <w:p w:rsidR="003C73AF" w:rsidRPr="00C1669B" w:rsidRDefault="000D58A9" w:rsidP="003C73AF">
            <w:pPr>
              <w:jc w:val="right"/>
              <w:rPr>
                <w:rFonts w:ascii="Arial" w:hAnsi="Arial" w:cs="Arial"/>
              </w:rPr>
            </w:pPr>
            <w:r>
              <w:rPr>
                <w:rFonts w:ascii="Arial" w:hAnsi="Arial" w:cs="Arial"/>
              </w:rPr>
              <w:t>14.6</w:t>
            </w:r>
          </w:p>
        </w:tc>
      </w:tr>
      <w:tr w:rsidR="003612B7" w:rsidRPr="00405C2A" w:rsidTr="00470D95">
        <w:trPr>
          <w:jc w:val="center"/>
        </w:trPr>
        <w:tc>
          <w:tcPr>
            <w:tcW w:w="3823" w:type="dxa"/>
            <w:tcBorders>
              <w:top w:val="double" w:sz="4" w:space="0" w:color="auto"/>
              <w:left w:val="double" w:sz="4" w:space="0" w:color="auto"/>
              <w:bottom w:val="double" w:sz="4" w:space="0" w:color="auto"/>
            </w:tcBorders>
          </w:tcPr>
          <w:p w:rsidR="003612B7" w:rsidRPr="00A93D3C" w:rsidRDefault="003612B7" w:rsidP="003612B7">
            <w:pPr>
              <w:rPr>
                <w:rFonts w:ascii="Arial" w:hAnsi="Arial" w:cs="Arial"/>
                <w:b/>
              </w:rPr>
            </w:pPr>
            <w:r w:rsidRPr="00A93D3C">
              <w:rPr>
                <w:rFonts w:ascii="Arial" w:hAnsi="Arial" w:cs="Arial"/>
                <w:b/>
              </w:rPr>
              <w:t>Aggregate (</w:t>
            </w:r>
            <w:r>
              <w:rPr>
                <w:rFonts w:ascii="Arial" w:hAnsi="Arial" w:cs="Arial"/>
                <w:b/>
              </w:rPr>
              <w:t>DAF</w:t>
            </w:r>
            <w:r w:rsidRPr="00A93D3C">
              <w:rPr>
                <w:rFonts w:ascii="Arial" w:hAnsi="Arial" w:cs="Arial"/>
                <w:b/>
              </w:rPr>
              <w:t xml:space="preserve"> investment in all </w:t>
            </w:r>
            <w:r w:rsidR="00D002FC">
              <w:rPr>
                <w:rFonts w:ascii="Arial" w:hAnsi="Arial" w:cs="Arial"/>
                <w:b/>
              </w:rPr>
              <w:t>Project/Cluster Investments</w:t>
            </w:r>
            <w:r w:rsidRPr="00A93D3C">
              <w:rPr>
                <w:rFonts w:ascii="Arial" w:hAnsi="Arial" w:cs="Arial"/>
                <w:b/>
              </w:rPr>
              <w:t xml:space="preserve">) </w:t>
            </w:r>
          </w:p>
        </w:tc>
        <w:tc>
          <w:tcPr>
            <w:tcW w:w="968" w:type="dxa"/>
            <w:tcBorders>
              <w:top w:val="double" w:sz="4" w:space="0" w:color="auto"/>
              <w:bottom w:val="double" w:sz="4" w:space="0" w:color="auto"/>
            </w:tcBorders>
            <w:shd w:val="clear" w:color="auto" w:fill="auto"/>
          </w:tcPr>
          <w:p w:rsidR="003612B7" w:rsidRPr="00C1669B" w:rsidRDefault="008840E5" w:rsidP="003612B7">
            <w:pPr>
              <w:jc w:val="right"/>
              <w:rPr>
                <w:rFonts w:ascii="Arial" w:hAnsi="Arial" w:cs="Arial"/>
              </w:rPr>
            </w:pPr>
            <w:r>
              <w:rPr>
                <w:rFonts w:ascii="Arial" w:hAnsi="Arial" w:cs="Arial"/>
              </w:rPr>
              <w:t>306.9</w:t>
            </w:r>
            <w:r w:rsidR="00470D95">
              <w:rPr>
                <w:rFonts w:ascii="Arial" w:hAnsi="Arial" w:cs="Arial"/>
              </w:rPr>
              <w:t>3</w:t>
            </w:r>
          </w:p>
        </w:tc>
        <w:tc>
          <w:tcPr>
            <w:tcW w:w="969" w:type="dxa"/>
            <w:tcBorders>
              <w:top w:val="double" w:sz="4" w:space="0" w:color="auto"/>
              <w:bottom w:val="double" w:sz="4" w:space="0" w:color="auto"/>
            </w:tcBorders>
            <w:shd w:val="clear" w:color="auto" w:fill="auto"/>
          </w:tcPr>
          <w:p w:rsidR="003612B7" w:rsidRPr="00C1669B" w:rsidRDefault="000D58A9" w:rsidP="003612B7">
            <w:pPr>
              <w:jc w:val="right"/>
              <w:rPr>
                <w:rFonts w:ascii="Arial" w:hAnsi="Arial" w:cs="Arial"/>
              </w:rPr>
            </w:pPr>
            <w:r>
              <w:rPr>
                <w:rFonts w:ascii="Arial" w:hAnsi="Arial" w:cs="Arial"/>
              </w:rPr>
              <w:t>28.36</w:t>
            </w:r>
          </w:p>
        </w:tc>
        <w:tc>
          <w:tcPr>
            <w:tcW w:w="968" w:type="dxa"/>
            <w:tcBorders>
              <w:top w:val="double" w:sz="4" w:space="0" w:color="auto"/>
              <w:bottom w:val="double" w:sz="4" w:space="0" w:color="auto"/>
            </w:tcBorders>
            <w:shd w:val="clear" w:color="auto" w:fill="auto"/>
          </w:tcPr>
          <w:p w:rsidR="003612B7" w:rsidRPr="00C1669B" w:rsidRDefault="008840E5" w:rsidP="003612B7">
            <w:pPr>
              <w:jc w:val="right"/>
              <w:rPr>
                <w:rFonts w:ascii="Arial" w:hAnsi="Arial" w:cs="Arial"/>
              </w:rPr>
            </w:pPr>
            <w:r>
              <w:rPr>
                <w:rFonts w:ascii="Arial" w:hAnsi="Arial" w:cs="Arial"/>
              </w:rPr>
              <w:t>2</w:t>
            </w:r>
            <w:r w:rsidR="002B1931">
              <w:rPr>
                <w:rFonts w:ascii="Arial" w:hAnsi="Arial" w:cs="Arial"/>
              </w:rPr>
              <w:t>7</w:t>
            </w:r>
            <w:r>
              <w:rPr>
                <w:rFonts w:ascii="Arial" w:hAnsi="Arial" w:cs="Arial"/>
              </w:rPr>
              <w:t>8.</w:t>
            </w:r>
            <w:r w:rsidR="001901E1">
              <w:rPr>
                <w:rFonts w:ascii="Arial" w:hAnsi="Arial" w:cs="Arial"/>
              </w:rPr>
              <w:t>57</w:t>
            </w:r>
          </w:p>
        </w:tc>
        <w:tc>
          <w:tcPr>
            <w:tcW w:w="969" w:type="dxa"/>
            <w:tcBorders>
              <w:top w:val="double" w:sz="4" w:space="0" w:color="auto"/>
              <w:bottom w:val="double" w:sz="4" w:space="0" w:color="auto"/>
            </w:tcBorders>
            <w:shd w:val="clear" w:color="auto" w:fill="auto"/>
          </w:tcPr>
          <w:p w:rsidR="003612B7" w:rsidRPr="00C1669B" w:rsidRDefault="000D58A9" w:rsidP="003612B7">
            <w:pPr>
              <w:jc w:val="right"/>
              <w:rPr>
                <w:rFonts w:ascii="Arial" w:hAnsi="Arial" w:cs="Arial"/>
              </w:rPr>
            </w:pPr>
            <w:r>
              <w:rPr>
                <w:rFonts w:ascii="Arial" w:hAnsi="Arial" w:cs="Arial"/>
              </w:rPr>
              <w:t>10.</w:t>
            </w:r>
            <w:r w:rsidR="002B1931">
              <w:rPr>
                <w:rFonts w:ascii="Arial" w:hAnsi="Arial" w:cs="Arial"/>
              </w:rPr>
              <w:t>82</w:t>
            </w:r>
          </w:p>
        </w:tc>
        <w:tc>
          <w:tcPr>
            <w:tcW w:w="968" w:type="dxa"/>
            <w:tcBorders>
              <w:top w:val="double" w:sz="4" w:space="0" w:color="auto"/>
              <w:bottom w:val="double" w:sz="4" w:space="0" w:color="auto"/>
            </w:tcBorders>
            <w:shd w:val="clear" w:color="auto" w:fill="auto"/>
          </w:tcPr>
          <w:p w:rsidR="003612B7" w:rsidRPr="00C1669B" w:rsidRDefault="00470D95" w:rsidP="003612B7">
            <w:pPr>
              <w:jc w:val="right"/>
              <w:rPr>
                <w:rFonts w:ascii="Arial" w:hAnsi="Arial" w:cs="Arial"/>
              </w:rPr>
            </w:pPr>
            <w:r>
              <w:rPr>
                <w:rFonts w:ascii="Arial" w:hAnsi="Arial" w:cs="Arial"/>
              </w:rPr>
              <w:t>13.5</w:t>
            </w:r>
          </w:p>
        </w:tc>
        <w:tc>
          <w:tcPr>
            <w:tcW w:w="969" w:type="dxa"/>
            <w:tcBorders>
              <w:top w:val="double" w:sz="4" w:space="0" w:color="auto"/>
              <w:bottom w:val="double" w:sz="4" w:space="0" w:color="auto"/>
              <w:right w:val="double" w:sz="4" w:space="0" w:color="auto"/>
            </w:tcBorders>
            <w:shd w:val="clear" w:color="auto" w:fill="auto"/>
          </w:tcPr>
          <w:p w:rsidR="003612B7" w:rsidRPr="00C1669B" w:rsidRDefault="00470D95" w:rsidP="003612B7">
            <w:pPr>
              <w:jc w:val="right"/>
              <w:rPr>
                <w:rFonts w:ascii="Arial" w:hAnsi="Arial" w:cs="Arial"/>
              </w:rPr>
            </w:pPr>
            <w:r>
              <w:rPr>
                <w:rFonts w:ascii="Arial" w:hAnsi="Arial" w:cs="Arial"/>
              </w:rPr>
              <w:t>13.5</w:t>
            </w:r>
          </w:p>
        </w:tc>
      </w:tr>
    </w:tbl>
    <w:p w:rsidR="00FA0923" w:rsidRPr="002B1931" w:rsidRDefault="002B1931" w:rsidP="00433A63">
      <w:pPr>
        <w:jc w:val="center"/>
        <w:rPr>
          <w:rFonts w:ascii="Arial" w:hAnsi="Arial" w:cs="Arial"/>
          <w:sz w:val="20"/>
          <w:szCs w:val="20"/>
        </w:rPr>
      </w:pPr>
      <w:bookmarkStart w:id="34" w:name="_Toc352859707"/>
      <w:bookmarkStart w:id="35" w:name="_Toc398113669"/>
      <w:r w:rsidRPr="002B1931">
        <w:rPr>
          <w:rFonts w:ascii="Arial" w:hAnsi="Arial" w:cs="Arial"/>
          <w:sz w:val="20"/>
          <w:szCs w:val="20"/>
        </w:rPr>
        <w:t xml:space="preserve">nc.  not calculable </w:t>
      </w:r>
    </w:p>
    <w:bookmarkEnd w:id="33"/>
    <w:p w:rsidR="00FA0923" w:rsidRDefault="00FA0923" w:rsidP="00433A63">
      <w:pPr>
        <w:jc w:val="center"/>
        <w:rPr>
          <w:rFonts w:ascii="Arial" w:hAnsi="Arial" w:cs="Arial"/>
        </w:rPr>
      </w:pPr>
    </w:p>
    <w:p w:rsidR="00B21607" w:rsidRDefault="00433A63" w:rsidP="005173A2">
      <w:pPr>
        <w:rPr>
          <w:rFonts w:ascii="Arial" w:hAnsi="Arial" w:cs="Arial"/>
          <w:color w:val="000000" w:themeColor="text1"/>
        </w:rPr>
      </w:pPr>
      <w:r w:rsidRPr="00861533">
        <w:rPr>
          <w:rFonts w:ascii="Arial" w:hAnsi="Arial" w:cs="Arial"/>
        </w:rPr>
        <w:t xml:space="preserve">The aggregate PVCs in Table </w:t>
      </w:r>
      <w:r w:rsidR="00B040FE">
        <w:rPr>
          <w:rFonts w:ascii="Arial" w:hAnsi="Arial" w:cs="Arial"/>
        </w:rPr>
        <w:t>2</w:t>
      </w:r>
      <w:r w:rsidRPr="00861533">
        <w:rPr>
          <w:rFonts w:ascii="Arial" w:hAnsi="Arial" w:cs="Arial"/>
        </w:rPr>
        <w:t xml:space="preserve"> </w:t>
      </w:r>
      <w:r w:rsidR="00861533" w:rsidRPr="00861533">
        <w:rPr>
          <w:rFonts w:ascii="Arial" w:hAnsi="Arial" w:cs="Arial"/>
        </w:rPr>
        <w:t>(</w:t>
      </w:r>
      <w:r w:rsidR="00826D02" w:rsidRPr="00861533">
        <w:rPr>
          <w:rFonts w:ascii="Arial" w:hAnsi="Arial" w:cs="Arial"/>
        </w:rPr>
        <w:t xml:space="preserve">DAF) compared to those in Table 1 (Total) </w:t>
      </w:r>
      <w:r w:rsidRPr="00861533">
        <w:rPr>
          <w:rFonts w:ascii="Arial" w:hAnsi="Arial" w:cs="Arial"/>
        </w:rPr>
        <w:t xml:space="preserve">demonstrate the importance of DAF funding in </w:t>
      </w:r>
      <w:r w:rsidR="00D441A3" w:rsidRPr="00861533">
        <w:rPr>
          <w:rFonts w:ascii="Arial" w:hAnsi="Arial" w:cs="Arial"/>
        </w:rPr>
        <w:t xml:space="preserve">most </w:t>
      </w:r>
      <w:r w:rsidR="00D002FC">
        <w:rPr>
          <w:rFonts w:ascii="Arial" w:hAnsi="Arial" w:cs="Arial"/>
        </w:rPr>
        <w:t>of the six investments</w:t>
      </w:r>
      <w:r w:rsidR="009631A2" w:rsidRPr="00861533">
        <w:rPr>
          <w:rFonts w:ascii="Arial" w:hAnsi="Arial" w:cs="Arial"/>
        </w:rPr>
        <w:t>.</w:t>
      </w:r>
      <w:r w:rsidR="00D441A3" w:rsidRPr="00861533">
        <w:rPr>
          <w:rFonts w:ascii="Arial" w:hAnsi="Arial" w:cs="Arial"/>
        </w:rPr>
        <w:t xml:space="preserve"> As a proportion of total funding in each </w:t>
      </w:r>
      <w:r w:rsidR="00AE293C">
        <w:rPr>
          <w:rFonts w:ascii="Arial" w:hAnsi="Arial" w:cs="Arial"/>
        </w:rPr>
        <w:t>investment</w:t>
      </w:r>
      <w:r w:rsidR="00D441A3" w:rsidRPr="00861533">
        <w:rPr>
          <w:rFonts w:ascii="Arial" w:hAnsi="Arial" w:cs="Arial"/>
        </w:rPr>
        <w:t xml:space="preserve">, DAF </w:t>
      </w:r>
      <w:r w:rsidR="00D441A3" w:rsidRPr="00A63F9D">
        <w:rPr>
          <w:rFonts w:ascii="Arial" w:hAnsi="Arial" w:cs="Arial"/>
          <w:color w:val="000000" w:themeColor="text1"/>
        </w:rPr>
        <w:t xml:space="preserve">funding varied from </w:t>
      </w:r>
      <w:r w:rsidR="002029D9">
        <w:rPr>
          <w:rFonts w:ascii="Arial" w:hAnsi="Arial" w:cs="Arial"/>
          <w:color w:val="000000" w:themeColor="text1"/>
        </w:rPr>
        <w:t xml:space="preserve">approximately </w:t>
      </w:r>
      <w:r w:rsidR="00AE293C">
        <w:rPr>
          <w:rFonts w:ascii="Arial" w:hAnsi="Arial" w:cs="Arial"/>
          <w:color w:val="000000" w:themeColor="text1"/>
        </w:rPr>
        <w:t>38</w:t>
      </w:r>
      <w:r w:rsidR="00D002FC">
        <w:rPr>
          <w:rFonts w:ascii="Arial" w:hAnsi="Arial" w:cs="Arial"/>
          <w:color w:val="000000" w:themeColor="text1"/>
        </w:rPr>
        <w:t>%</w:t>
      </w:r>
      <w:r w:rsidR="00C1669B" w:rsidRPr="00A63F9D">
        <w:rPr>
          <w:rFonts w:ascii="Arial" w:hAnsi="Arial" w:cs="Arial"/>
          <w:color w:val="000000" w:themeColor="text1"/>
        </w:rPr>
        <w:t xml:space="preserve"> to </w:t>
      </w:r>
      <w:r w:rsidR="00AE293C">
        <w:rPr>
          <w:rFonts w:ascii="Arial" w:hAnsi="Arial" w:cs="Arial"/>
          <w:color w:val="000000" w:themeColor="text1"/>
        </w:rPr>
        <w:t>83</w:t>
      </w:r>
      <w:r w:rsidR="00C1669B" w:rsidRPr="00A63F9D">
        <w:rPr>
          <w:rFonts w:ascii="Arial" w:hAnsi="Arial" w:cs="Arial"/>
          <w:color w:val="000000" w:themeColor="text1"/>
        </w:rPr>
        <w:t>%</w:t>
      </w:r>
      <w:r w:rsidR="00D441A3" w:rsidRPr="00A63F9D">
        <w:rPr>
          <w:rFonts w:ascii="Arial" w:hAnsi="Arial" w:cs="Arial"/>
          <w:color w:val="000000" w:themeColor="text1"/>
        </w:rPr>
        <w:t xml:space="preserve"> with a</w:t>
      </w:r>
      <w:r w:rsidR="00AE293C">
        <w:rPr>
          <w:rFonts w:ascii="Arial" w:hAnsi="Arial" w:cs="Arial"/>
          <w:color w:val="000000" w:themeColor="text1"/>
        </w:rPr>
        <w:t xml:space="preserve"> weighted average of 65% across all six investments</w:t>
      </w:r>
      <w:r w:rsidR="00D441A3" w:rsidRPr="00A63F9D">
        <w:rPr>
          <w:rFonts w:ascii="Arial" w:hAnsi="Arial" w:cs="Arial"/>
          <w:color w:val="000000" w:themeColor="text1"/>
        </w:rPr>
        <w:t xml:space="preserve">. </w:t>
      </w:r>
      <w:r w:rsidR="009631A2" w:rsidRPr="00A63F9D">
        <w:rPr>
          <w:rFonts w:ascii="Arial" w:hAnsi="Arial" w:cs="Arial"/>
          <w:color w:val="000000" w:themeColor="text1"/>
        </w:rPr>
        <w:t xml:space="preserve"> </w:t>
      </w:r>
      <w:bookmarkStart w:id="36" w:name="_Toc486145206"/>
      <w:bookmarkStart w:id="37" w:name="_Toc489604050"/>
    </w:p>
    <w:p w:rsidR="005173A2" w:rsidRDefault="005173A2" w:rsidP="005173A2">
      <w:pPr>
        <w:rPr>
          <w:rFonts w:ascii="Arial" w:hAnsi="Arial" w:cs="Arial"/>
          <w:b/>
          <w:sz w:val="40"/>
          <w:szCs w:val="40"/>
        </w:rPr>
      </w:pPr>
      <w:r>
        <w:br w:type="page"/>
      </w:r>
    </w:p>
    <w:p w:rsidR="00733D9B" w:rsidRPr="00E41B9B" w:rsidRDefault="00733D9B" w:rsidP="00C66231">
      <w:pPr>
        <w:pStyle w:val="Heading1"/>
      </w:pPr>
      <w:bookmarkStart w:id="38" w:name="_Toc490036912"/>
      <w:r w:rsidRPr="00E41B9B">
        <w:t xml:space="preserve">4. </w:t>
      </w:r>
      <w:r w:rsidRPr="008244A4">
        <w:t>Conclusion</w:t>
      </w:r>
      <w:bookmarkEnd w:id="34"/>
      <w:r w:rsidRPr="008244A4">
        <w:t>s</w:t>
      </w:r>
      <w:bookmarkEnd w:id="35"/>
      <w:bookmarkEnd w:id="36"/>
      <w:bookmarkEnd w:id="37"/>
      <w:bookmarkEnd w:id="38"/>
    </w:p>
    <w:p w:rsidR="00CA71FB" w:rsidRPr="00E41B9B" w:rsidRDefault="00D002FC" w:rsidP="005173A2">
      <w:pPr>
        <w:spacing w:after="240"/>
        <w:rPr>
          <w:rFonts w:ascii="Arial" w:hAnsi="Arial" w:cs="Arial"/>
        </w:rPr>
      </w:pPr>
      <w:r>
        <w:rPr>
          <w:rFonts w:ascii="Arial" w:hAnsi="Arial" w:cs="Arial"/>
        </w:rPr>
        <w:t xml:space="preserve">All six of the </w:t>
      </w:r>
      <w:r w:rsidR="00CA71FB" w:rsidRPr="00E41B9B">
        <w:rPr>
          <w:rFonts w:ascii="Arial" w:hAnsi="Arial" w:cs="Arial"/>
        </w:rPr>
        <w:t>i</w:t>
      </w:r>
      <w:r w:rsidR="00733D9B" w:rsidRPr="00E41B9B">
        <w:rPr>
          <w:rFonts w:ascii="Arial" w:hAnsi="Arial" w:cs="Arial"/>
        </w:rPr>
        <w:t xml:space="preserve">nvestments analysed </w:t>
      </w:r>
      <w:r w:rsidR="00861533" w:rsidRPr="00E41B9B">
        <w:rPr>
          <w:rFonts w:ascii="Arial" w:hAnsi="Arial" w:cs="Arial"/>
        </w:rPr>
        <w:t xml:space="preserve">provided </w:t>
      </w:r>
      <w:r w:rsidR="00733D9B" w:rsidRPr="00E41B9B">
        <w:rPr>
          <w:rFonts w:ascii="Arial" w:hAnsi="Arial" w:cs="Arial"/>
        </w:rPr>
        <w:t xml:space="preserve">positive </w:t>
      </w:r>
      <w:r w:rsidR="000F4B9B" w:rsidRPr="00E41B9B">
        <w:rPr>
          <w:rFonts w:ascii="Arial" w:hAnsi="Arial" w:cs="Arial"/>
        </w:rPr>
        <w:t xml:space="preserve">net present values </w:t>
      </w:r>
      <w:r w:rsidR="00733D9B" w:rsidRPr="00E41B9B">
        <w:rPr>
          <w:rFonts w:ascii="Arial" w:hAnsi="Arial" w:cs="Arial"/>
        </w:rPr>
        <w:t>at the 5% discount rate</w:t>
      </w:r>
      <w:r w:rsidR="000F4B9B" w:rsidRPr="00E41B9B">
        <w:rPr>
          <w:rFonts w:ascii="Arial" w:hAnsi="Arial" w:cs="Arial"/>
        </w:rPr>
        <w:t xml:space="preserve">. </w:t>
      </w:r>
      <w:r>
        <w:rPr>
          <w:rFonts w:ascii="Arial" w:hAnsi="Arial" w:cs="Arial"/>
        </w:rPr>
        <w:t>T</w:t>
      </w:r>
      <w:r w:rsidR="00CA71FB" w:rsidRPr="00E41B9B">
        <w:rPr>
          <w:rFonts w:ascii="Arial" w:hAnsi="Arial" w:cs="Arial"/>
        </w:rPr>
        <w:t xml:space="preserve">he </w:t>
      </w:r>
      <w:r>
        <w:rPr>
          <w:rFonts w:ascii="Arial" w:hAnsi="Arial" w:cs="Arial"/>
        </w:rPr>
        <w:t xml:space="preserve">individual </w:t>
      </w:r>
      <w:r w:rsidR="00CA71FB" w:rsidRPr="00E41B9B">
        <w:rPr>
          <w:rFonts w:ascii="Arial" w:hAnsi="Arial" w:cs="Arial"/>
        </w:rPr>
        <w:t xml:space="preserve">benefit-cost ratios varied from </w:t>
      </w:r>
      <w:r w:rsidR="0001397F">
        <w:rPr>
          <w:rFonts w:ascii="Arial" w:hAnsi="Arial" w:cs="Arial"/>
        </w:rPr>
        <w:t>4.</w:t>
      </w:r>
      <w:r w:rsidR="00F46C7B">
        <w:rPr>
          <w:rFonts w:ascii="Arial" w:hAnsi="Arial" w:cs="Arial"/>
        </w:rPr>
        <w:t>6</w:t>
      </w:r>
      <w:r w:rsidR="0001397F">
        <w:rPr>
          <w:rFonts w:ascii="Arial" w:hAnsi="Arial" w:cs="Arial"/>
        </w:rPr>
        <w:t xml:space="preserve"> to 33.</w:t>
      </w:r>
      <w:r w:rsidR="001901E1">
        <w:rPr>
          <w:rFonts w:ascii="Arial" w:hAnsi="Arial" w:cs="Arial"/>
        </w:rPr>
        <w:t xml:space="preserve">0 </w:t>
      </w:r>
      <w:r w:rsidR="00CA71FB" w:rsidRPr="00E41B9B">
        <w:rPr>
          <w:rFonts w:ascii="Arial" w:hAnsi="Arial" w:cs="Arial"/>
        </w:rPr>
        <w:t>for the total investment analysis and for the 30-year period from the year of last investment</w:t>
      </w:r>
      <w:r w:rsidR="008A1D4F" w:rsidRPr="00E41B9B">
        <w:rPr>
          <w:rFonts w:ascii="Arial" w:hAnsi="Arial" w:cs="Arial"/>
        </w:rPr>
        <w:t>. The</w:t>
      </w:r>
      <w:r>
        <w:rPr>
          <w:rFonts w:ascii="Arial" w:hAnsi="Arial" w:cs="Arial"/>
        </w:rPr>
        <w:t xml:space="preserve"> highest BCR </w:t>
      </w:r>
      <w:r w:rsidR="0001397F">
        <w:rPr>
          <w:rFonts w:ascii="Arial" w:hAnsi="Arial" w:cs="Arial"/>
        </w:rPr>
        <w:t>was for the relatively small total investment in mud crab grading</w:t>
      </w:r>
      <w:r w:rsidR="008244A4">
        <w:rPr>
          <w:rFonts w:ascii="Arial" w:hAnsi="Arial" w:cs="Arial"/>
        </w:rPr>
        <w:t>.</w:t>
      </w:r>
    </w:p>
    <w:p w:rsidR="00CA71FB" w:rsidRDefault="00E378B5" w:rsidP="005173A2">
      <w:pPr>
        <w:spacing w:after="240"/>
        <w:rPr>
          <w:rFonts w:ascii="Arial" w:hAnsi="Arial" w:cs="Arial"/>
        </w:rPr>
      </w:pPr>
      <w:r>
        <w:rPr>
          <w:rFonts w:ascii="Arial" w:hAnsi="Arial" w:cs="Arial"/>
        </w:rPr>
        <w:t>Any c</w:t>
      </w:r>
      <w:r w:rsidRPr="00E378B5">
        <w:rPr>
          <w:rFonts w:ascii="Arial" w:hAnsi="Arial" w:cs="Arial"/>
        </w:rPr>
        <w:t xml:space="preserve">omparisons between the </w:t>
      </w:r>
      <w:r>
        <w:rPr>
          <w:rFonts w:ascii="Arial" w:hAnsi="Arial" w:cs="Arial"/>
        </w:rPr>
        <w:t xml:space="preserve">results for the individual investments </w:t>
      </w:r>
      <w:r w:rsidRPr="00E378B5">
        <w:rPr>
          <w:rFonts w:ascii="Arial" w:hAnsi="Arial" w:cs="Arial"/>
        </w:rPr>
        <w:t xml:space="preserve">should be made with some caution due to the uncertainties involved in some assumptions and the differing frameworks used across the individual </w:t>
      </w:r>
      <w:r>
        <w:rPr>
          <w:rFonts w:ascii="Arial" w:hAnsi="Arial" w:cs="Arial"/>
        </w:rPr>
        <w:t>six evaluations</w:t>
      </w:r>
      <w:r w:rsidRPr="00E378B5">
        <w:rPr>
          <w:rFonts w:ascii="Arial" w:hAnsi="Arial" w:cs="Arial"/>
        </w:rPr>
        <w:t>.</w:t>
      </w:r>
    </w:p>
    <w:p w:rsidR="00D002FC" w:rsidRPr="00D671C2" w:rsidRDefault="00E378B5" w:rsidP="005173A2">
      <w:pPr>
        <w:spacing w:after="240"/>
        <w:rPr>
          <w:rFonts w:ascii="Arial" w:hAnsi="Arial" w:cs="Arial"/>
          <w:color w:val="000000" w:themeColor="text1"/>
        </w:rPr>
      </w:pPr>
      <w:r w:rsidRPr="00D671C2">
        <w:rPr>
          <w:rFonts w:ascii="Arial" w:hAnsi="Arial" w:cs="Arial"/>
          <w:color w:val="000000" w:themeColor="text1"/>
        </w:rPr>
        <w:t xml:space="preserve">Across the six investments the aggregate benefit-cost ratio </w:t>
      </w:r>
      <w:r w:rsidR="0001397F" w:rsidRPr="00D671C2">
        <w:rPr>
          <w:rFonts w:ascii="Arial" w:hAnsi="Arial" w:cs="Arial"/>
          <w:color w:val="000000" w:themeColor="text1"/>
        </w:rPr>
        <w:t xml:space="preserve">for the total aggregate investment </w:t>
      </w:r>
      <w:r w:rsidRPr="00D671C2">
        <w:rPr>
          <w:rFonts w:ascii="Arial" w:hAnsi="Arial" w:cs="Arial"/>
          <w:color w:val="000000" w:themeColor="text1"/>
        </w:rPr>
        <w:t xml:space="preserve">was </w:t>
      </w:r>
      <w:r w:rsidR="00D671C2" w:rsidRPr="00D671C2">
        <w:rPr>
          <w:rFonts w:ascii="Arial" w:hAnsi="Arial" w:cs="Arial"/>
          <w:color w:val="000000" w:themeColor="text1"/>
        </w:rPr>
        <w:t>10.7</w:t>
      </w:r>
      <w:r w:rsidR="0001397F" w:rsidRPr="00D671C2">
        <w:rPr>
          <w:rFonts w:ascii="Arial" w:hAnsi="Arial" w:cs="Arial"/>
          <w:color w:val="000000" w:themeColor="text1"/>
        </w:rPr>
        <w:t xml:space="preserve"> to 1</w:t>
      </w:r>
      <w:r w:rsidRPr="00D671C2">
        <w:rPr>
          <w:rFonts w:ascii="Arial" w:hAnsi="Arial" w:cs="Arial"/>
          <w:color w:val="000000" w:themeColor="text1"/>
        </w:rPr>
        <w:t xml:space="preserve">, the </w:t>
      </w:r>
      <w:r w:rsidR="0001397F" w:rsidRPr="00D671C2">
        <w:rPr>
          <w:rFonts w:ascii="Arial" w:hAnsi="Arial" w:cs="Arial"/>
          <w:color w:val="000000" w:themeColor="text1"/>
        </w:rPr>
        <w:t xml:space="preserve">aggregate </w:t>
      </w:r>
      <w:r w:rsidRPr="00D671C2">
        <w:rPr>
          <w:rFonts w:ascii="Arial" w:hAnsi="Arial" w:cs="Arial"/>
          <w:color w:val="000000" w:themeColor="text1"/>
        </w:rPr>
        <w:t xml:space="preserve">internal rate of return was </w:t>
      </w:r>
      <w:r w:rsidR="00D671C2" w:rsidRPr="00D671C2">
        <w:rPr>
          <w:rFonts w:ascii="Arial" w:hAnsi="Arial" w:cs="Arial"/>
          <w:color w:val="000000" w:themeColor="text1"/>
        </w:rPr>
        <w:t>14.7</w:t>
      </w:r>
      <w:r w:rsidRPr="00D671C2">
        <w:rPr>
          <w:rFonts w:ascii="Arial" w:hAnsi="Arial" w:cs="Arial"/>
          <w:color w:val="000000" w:themeColor="text1"/>
        </w:rPr>
        <w:t xml:space="preserve">%, and the </w:t>
      </w:r>
      <w:r w:rsidR="0001397F" w:rsidRPr="00D671C2">
        <w:rPr>
          <w:rFonts w:ascii="Arial" w:hAnsi="Arial" w:cs="Arial"/>
          <w:color w:val="000000" w:themeColor="text1"/>
        </w:rPr>
        <w:t>aggregate m</w:t>
      </w:r>
      <w:r w:rsidRPr="00D671C2">
        <w:rPr>
          <w:rFonts w:ascii="Arial" w:hAnsi="Arial" w:cs="Arial"/>
          <w:color w:val="000000" w:themeColor="text1"/>
        </w:rPr>
        <w:t xml:space="preserve">odified internal rate of return </w:t>
      </w:r>
      <w:r w:rsidR="00D671C2" w:rsidRPr="00D671C2">
        <w:rPr>
          <w:rFonts w:ascii="Arial" w:hAnsi="Arial" w:cs="Arial"/>
          <w:color w:val="000000" w:themeColor="text1"/>
        </w:rPr>
        <w:t>14.4</w:t>
      </w:r>
      <w:r w:rsidRPr="00D671C2">
        <w:rPr>
          <w:rFonts w:ascii="Arial" w:hAnsi="Arial" w:cs="Arial"/>
          <w:color w:val="000000" w:themeColor="text1"/>
        </w:rPr>
        <w:t>%.</w:t>
      </w:r>
    </w:p>
    <w:p w:rsidR="00D002FC" w:rsidRPr="00D671C2" w:rsidRDefault="00D002FC" w:rsidP="00733D9B">
      <w:pPr>
        <w:rPr>
          <w:rFonts w:ascii="Arial" w:hAnsi="Arial" w:cs="Arial"/>
          <w:color w:val="000000" w:themeColor="text1"/>
        </w:rPr>
      </w:pPr>
    </w:p>
    <w:p w:rsidR="007B1B49" w:rsidRPr="00F46C7B" w:rsidRDefault="007B1B49" w:rsidP="00C66231">
      <w:pPr>
        <w:pStyle w:val="Heading1"/>
      </w:pPr>
      <w:bookmarkStart w:id="39" w:name="_Toc489604052"/>
      <w:bookmarkStart w:id="40" w:name="_Toc490036913"/>
      <w:bookmarkStart w:id="41" w:name="_Toc398113670"/>
      <w:bookmarkStart w:id="42" w:name="_Toc398126366"/>
      <w:bookmarkStart w:id="43" w:name="_Toc398020872"/>
      <w:r w:rsidRPr="00F46C7B">
        <w:t>References</w:t>
      </w:r>
      <w:bookmarkEnd w:id="39"/>
      <w:bookmarkEnd w:id="40"/>
      <w:r w:rsidRPr="00F46C7B">
        <w:t xml:space="preserve">  </w:t>
      </w:r>
    </w:p>
    <w:p w:rsidR="00F52DA0" w:rsidRDefault="00F52DA0" w:rsidP="00F52DA0">
      <w:pPr>
        <w:suppressAutoHyphens/>
        <w:spacing w:after="220"/>
        <w:rPr>
          <w:rFonts w:ascii="Arial" w:hAnsi="Arial" w:cs="Arial"/>
          <w:color w:val="000000"/>
          <w:szCs w:val="20"/>
        </w:rPr>
      </w:pPr>
      <w:r w:rsidRPr="008A61A5">
        <w:rPr>
          <w:rFonts w:ascii="Arial" w:hAnsi="Arial" w:cs="Arial"/>
          <w:color w:val="000000"/>
          <w:szCs w:val="20"/>
        </w:rPr>
        <w:t>CRRDC 2014, Impact Assessment Guidelines – Version 1, May 2014, CRRDC, Canberra</w:t>
      </w:r>
      <w:r>
        <w:rPr>
          <w:rFonts w:ascii="Arial" w:hAnsi="Arial" w:cs="Arial"/>
          <w:color w:val="000000"/>
          <w:szCs w:val="20"/>
        </w:rPr>
        <w:t>.</w:t>
      </w:r>
    </w:p>
    <w:p w:rsidR="00F52DA0" w:rsidRPr="008A61A5" w:rsidRDefault="00F52DA0" w:rsidP="00F52DA0">
      <w:pPr>
        <w:suppressAutoHyphens/>
        <w:spacing w:after="220"/>
        <w:rPr>
          <w:rFonts w:ascii="Arial" w:hAnsi="Arial" w:cs="Arial"/>
          <w:color w:val="000000"/>
          <w:szCs w:val="20"/>
        </w:rPr>
      </w:pPr>
    </w:p>
    <w:p w:rsidR="008244A4" w:rsidRDefault="00440FF2" w:rsidP="00C66231">
      <w:pPr>
        <w:pStyle w:val="Heading1"/>
      </w:pPr>
      <w:r w:rsidRPr="00F52DA0">
        <w:br w:type="page"/>
      </w:r>
      <w:bookmarkStart w:id="44" w:name="_Toc486145208"/>
      <w:bookmarkStart w:id="45" w:name="_Toc398282752"/>
      <w:bookmarkStart w:id="46" w:name="_Toc398126370"/>
    </w:p>
    <w:p w:rsidR="008244A4" w:rsidRDefault="008244A4" w:rsidP="00C66231">
      <w:pPr>
        <w:pStyle w:val="Heading1"/>
      </w:pPr>
      <w:bookmarkStart w:id="47" w:name="_Toc489604053"/>
      <w:bookmarkStart w:id="48" w:name="_Toc490036914"/>
      <w:r>
        <w:t>Appendices</w:t>
      </w:r>
      <w:bookmarkEnd w:id="47"/>
      <w:bookmarkEnd w:id="48"/>
    </w:p>
    <w:p w:rsidR="00E378B5" w:rsidRPr="00E86ACB" w:rsidRDefault="006735E9" w:rsidP="00C66231">
      <w:pPr>
        <w:pStyle w:val="Heading2"/>
      </w:pPr>
      <w:bookmarkStart w:id="49" w:name="_Toc490036915"/>
      <w:r w:rsidRPr="00E86ACB">
        <w:t xml:space="preserve">Appendix 1: </w:t>
      </w:r>
      <w:bookmarkStart w:id="50" w:name="_Hlk486145308"/>
      <w:r w:rsidR="00E378B5" w:rsidRPr="00E86ACB">
        <w:t>An Impact Assessment of DAF Investment into the Australian Industry Live Mud Crab Grading Scheme (AILMCGS) through Addressing Grading and Regional Anomalies, 2014-2016: FRDC Project 2014/218</w:t>
      </w:r>
      <w:bookmarkEnd w:id="44"/>
      <w:bookmarkEnd w:id="49"/>
    </w:p>
    <w:p w:rsidR="00E378B5" w:rsidRPr="00AA726B" w:rsidRDefault="00E378B5" w:rsidP="00AA726B">
      <w:pPr>
        <w:spacing w:after="240"/>
        <w:rPr>
          <w:rFonts w:ascii="Arial" w:hAnsi="Arial" w:cs="Arial"/>
          <w:b/>
          <w:sz w:val="24"/>
        </w:rPr>
      </w:pPr>
      <w:bookmarkStart w:id="51" w:name="_Toc222718376"/>
      <w:bookmarkStart w:id="52" w:name="_Toc300556352"/>
      <w:bookmarkStart w:id="53" w:name="_Toc442159242"/>
      <w:bookmarkStart w:id="54" w:name="_Toc486145210"/>
      <w:bookmarkStart w:id="55" w:name="_Toc486145319"/>
      <w:bookmarkStart w:id="56" w:name="_Toc486146235"/>
      <w:bookmarkStart w:id="57" w:name="_Toc442159245"/>
      <w:bookmarkEnd w:id="50"/>
      <w:r w:rsidRPr="00AA726B">
        <w:rPr>
          <w:rFonts w:ascii="Arial" w:hAnsi="Arial" w:cs="Arial"/>
          <w:b/>
          <w:sz w:val="24"/>
        </w:rPr>
        <w:t>Acknowledgments</w:t>
      </w:r>
      <w:bookmarkEnd w:id="51"/>
      <w:bookmarkEnd w:id="52"/>
      <w:bookmarkEnd w:id="53"/>
      <w:bookmarkEnd w:id="54"/>
      <w:bookmarkEnd w:id="55"/>
      <w:bookmarkEnd w:id="56"/>
    </w:p>
    <w:p w:rsidR="004976DE" w:rsidRDefault="004976DE" w:rsidP="00CD3D8B">
      <w:pPr>
        <w:spacing w:after="60"/>
        <w:rPr>
          <w:rFonts w:ascii="Arial" w:hAnsi="Arial" w:cs="Arial"/>
          <w:color w:val="000000" w:themeColor="text1"/>
        </w:rPr>
      </w:pPr>
      <w:r w:rsidRPr="008B25B1">
        <w:rPr>
          <w:rFonts w:ascii="Arial" w:hAnsi="Arial" w:cs="Arial"/>
          <w:color w:val="000000" w:themeColor="text1"/>
        </w:rPr>
        <w:t>John Mayze, Principal Seafood Technician, Department of Agriculture and Fisheries, Queensland</w:t>
      </w:r>
    </w:p>
    <w:p w:rsidR="004976DE" w:rsidRPr="008B25B1" w:rsidRDefault="004976DE" w:rsidP="00CD3D8B">
      <w:pPr>
        <w:spacing w:after="60"/>
        <w:rPr>
          <w:rFonts w:ascii="Arial" w:hAnsi="Arial" w:cs="Arial"/>
          <w:color w:val="000000" w:themeColor="text1"/>
        </w:rPr>
      </w:pPr>
      <w:r w:rsidRPr="008B25B1">
        <w:rPr>
          <w:rFonts w:ascii="Arial" w:hAnsi="Arial" w:cs="Arial"/>
          <w:color w:val="000000" w:themeColor="text1"/>
        </w:rPr>
        <w:t>Sue Poole</w:t>
      </w:r>
      <w:r>
        <w:rPr>
          <w:rFonts w:ascii="Arial" w:hAnsi="Arial" w:cs="Arial"/>
          <w:color w:val="000000" w:themeColor="text1"/>
        </w:rPr>
        <w:t xml:space="preserve">, Principal Seafood Scientist, </w:t>
      </w:r>
      <w:r w:rsidRPr="008B25B1">
        <w:rPr>
          <w:rFonts w:ascii="Arial" w:hAnsi="Arial" w:cs="Arial"/>
          <w:color w:val="000000" w:themeColor="text1"/>
        </w:rPr>
        <w:t>Department of Agriculture and Fisheries, Queensland</w:t>
      </w:r>
    </w:p>
    <w:p w:rsidR="004976DE" w:rsidRPr="008B25B1" w:rsidRDefault="00225BB8" w:rsidP="00CD3D8B">
      <w:pPr>
        <w:spacing w:after="60"/>
        <w:rPr>
          <w:rFonts w:ascii="Arial" w:hAnsi="Arial" w:cs="Arial"/>
          <w:color w:val="000000" w:themeColor="text1"/>
        </w:rPr>
      </w:pPr>
      <w:r w:rsidRPr="008B25B1">
        <w:rPr>
          <w:rFonts w:ascii="Arial" w:hAnsi="Arial" w:cs="Arial"/>
          <w:color w:val="000000" w:themeColor="text1"/>
        </w:rPr>
        <w:t xml:space="preserve">Paul Exley, </w:t>
      </w:r>
      <w:r>
        <w:rPr>
          <w:rFonts w:ascii="Arial" w:hAnsi="Arial" w:cs="Arial"/>
          <w:color w:val="000000" w:themeColor="text1"/>
        </w:rPr>
        <w:t>Senior Technician,</w:t>
      </w:r>
      <w:r w:rsidRPr="008B25B1">
        <w:rPr>
          <w:rFonts w:ascii="Arial" w:hAnsi="Arial" w:cs="Arial"/>
          <w:color w:val="000000" w:themeColor="text1"/>
        </w:rPr>
        <w:t xml:space="preserve"> Department of Agriculture and Fisheries, Queensland</w:t>
      </w:r>
    </w:p>
    <w:p w:rsidR="00E378B5" w:rsidRPr="008B25B1" w:rsidRDefault="00E378B5" w:rsidP="00CD3D8B">
      <w:pPr>
        <w:spacing w:after="60"/>
        <w:rPr>
          <w:rFonts w:ascii="Arial" w:hAnsi="Arial" w:cs="Arial"/>
          <w:color w:val="000000" w:themeColor="text1"/>
        </w:rPr>
      </w:pPr>
      <w:r w:rsidRPr="008B25B1">
        <w:rPr>
          <w:rFonts w:ascii="Arial" w:hAnsi="Arial" w:cs="Arial"/>
          <w:color w:val="000000" w:themeColor="text1"/>
        </w:rPr>
        <w:t xml:space="preserve">Lynda Bull, Executive Support Officer, </w:t>
      </w:r>
      <w:r w:rsidR="00225BB8" w:rsidRPr="008B25B1">
        <w:rPr>
          <w:rFonts w:ascii="Arial" w:hAnsi="Arial" w:cs="Arial"/>
          <w:color w:val="000000" w:themeColor="text1"/>
        </w:rPr>
        <w:t>Department of Agriculture and Fisheries, Queensland</w:t>
      </w:r>
    </w:p>
    <w:p w:rsidR="00E378B5" w:rsidRDefault="00E378B5" w:rsidP="00CD3D8B">
      <w:pPr>
        <w:spacing w:after="60"/>
        <w:rPr>
          <w:rFonts w:ascii="Arial" w:hAnsi="Arial" w:cs="Arial"/>
          <w:color w:val="000000" w:themeColor="text1"/>
        </w:rPr>
      </w:pPr>
      <w:r>
        <w:rPr>
          <w:rFonts w:ascii="Arial" w:hAnsi="Arial" w:cs="Arial"/>
          <w:color w:val="000000" w:themeColor="text1"/>
        </w:rPr>
        <w:t xml:space="preserve">Wayne Hall, </w:t>
      </w:r>
      <w:r w:rsidRPr="00AB5F04">
        <w:rPr>
          <w:rFonts w:ascii="Arial" w:hAnsi="Arial" w:cs="Arial"/>
          <w:color w:val="000000" w:themeColor="text1"/>
        </w:rPr>
        <w:t xml:space="preserve">Executive Director, </w:t>
      </w:r>
      <w:r w:rsidR="00225BB8" w:rsidRPr="008B25B1">
        <w:rPr>
          <w:rFonts w:ascii="Arial" w:hAnsi="Arial" w:cs="Arial"/>
          <w:color w:val="000000" w:themeColor="text1"/>
        </w:rPr>
        <w:t>Department of Agriculture and Fisheries, Queensland</w:t>
      </w:r>
    </w:p>
    <w:p w:rsidR="00E378B5" w:rsidRPr="008B25B1" w:rsidRDefault="00E378B5" w:rsidP="00E378B5">
      <w:pPr>
        <w:rPr>
          <w:rFonts w:ascii="Arial" w:hAnsi="Arial" w:cs="Arial"/>
          <w:color w:val="000000" w:themeColor="text1"/>
        </w:rPr>
      </w:pPr>
    </w:p>
    <w:p w:rsidR="00E378B5" w:rsidRDefault="00E378B5" w:rsidP="00E378B5"/>
    <w:p w:rsidR="00E378B5" w:rsidRPr="00AA726B" w:rsidRDefault="00E378B5" w:rsidP="00AA726B">
      <w:pPr>
        <w:spacing w:after="240"/>
        <w:rPr>
          <w:rFonts w:ascii="Arial" w:hAnsi="Arial" w:cs="Arial"/>
          <w:b/>
          <w:sz w:val="24"/>
        </w:rPr>
      </w:pPr>
      <w:bookmarkStart w:id="58" w:name="_Toc442159243"/>
      <w:bookmarkStart w:id="59" w:name="_Toc486145211"/>
      <w:bookmarkStart w:id="60" w:name="_Toc486145320"/>
      <w:bookmarkStart w:id="61" w:name="_Toc486146236"/>
      <w:r w:rsidRPr="00AA726B">
        <w:rPr>
          <w:rFonts w:ascii="Arial" w:hAnsi="Arial" w:cs="Arial"/>
          <w:b/>
          <w:sz w:val="24"/>
        </w:rPr>
        <w:t>Abbreviations</w:t>
      </w:r>
      <w:bookmarkEnd w:id="58"/>
      <w:bookmarkEnd w:id="59"/>
      <w:bookmarkEnd w:id="60"/>
      <w:bookmarkEnd w:id="61"/>
    </w:p>
    <w:p w:rsidR="00E378B5" w:rsidRDefault="00E378B5" w:rsidP="00E378B5">
      <w:pPr>
        <w:rPr>
          <w:rFonts w:ascii="Arial" w:hAnsi="Arial" w:cs="Arial"/>
          <w:color w:val="FF0000"/>
        </w:rPr>
      </w:pPr>
      <w:r w:rsidRPr="00556A22">
        <w:rPr>
          <w:rFonts w:ascii="Arial" w:hAnsi="Arial" w:cs="Arial"/>
        </w:rPr>
        <w:t>ABARES</w:t>
      </w:r>
      <w:r w:rsidRPr="00556A22">
        <w:rPr>
          <w:rFonts w:ascii="Arial" w:hAnsi="Arial" w:cs="Arial"/>
        </w:rPr>
        <w:tab/>
        <w:t>Australian Bureau of Agricultural and Resource Economics</w:t>
      </w:r>
      <w:r>
        <w:rPr>
          <w:rFonts w:ascii="Arial" w:hAnsi="Arial" w:cs="Arial"/>
          <w:color w:val="FF0000"/>
        </w:rPr>
        <w:t xml:space="preserve"> </w:t>
      </w:r>
    </w:p>
    <w:p w:rsidR="00E378B5" w:rsidRPr="009A7B9D" w:rsidRDefault="00E378B5" w:rsidP="00E378B5">
      <w:pPr>
        <w:rPr>
          <w:rFonts w:ascii="Arial" w:hAnsi="Arial" w:cs="Arial"/>
        </w:rPr>
      </w:pPr>
      <w:r w:rsidRPr="009A7B9D">
        <w:rPr>
          <w:rFonts w:ascii="Arial" w:hAnsi="Arial" w:cs="Arial"/>
        </w:rPr>
        <w:t>AILMCGS</w:t>
      </w:r>
      <w:r w:rsidRPr="009A7B9D">
        <w:rPr>
          <w:rFonts w:ascii="Arial" w:hAnsi="Arial" w:cs="Arial"/>
        </w:rPr>
        <w:tab/>
        <w:t xml:space="preserve">Australian Industry Live Mud Crab Grading Scheme </w:t>
      </w:r>
    </w:p>
    <w:p w:rsidR="00E378B5" w:rsidRPr="00195742" w:rsidRDefault="00E378B5" w:rsidP="00E378B5">
      <w:pPr>
        <w:rPr>
          <w:rFonts w:ascii="Arial" w:hAnsi="Arial" w:cs="Arial"/>
          <w:color w:val="000000" w:themeColor="text1"/>
        </w:rPr>
      </w:pPr>
      <w:r w:rsidRPr="00195742">
        <w:rPr>
          <w:rFonts w:ascii="Arial" w:hAnsi="Arial" w:cs="Arial"/>
          <w:color w:val="000000" w:themeColor="text1"/>
        </w:rPr>
        <w:t>CBA</w:t>
      </w:r>
      <w:r w:rsidRPr="00195742">
        <w:rPr>
          <w:rFonts w:ascii="Arial" w:hAnsi="Arial" w:cs="Arial"/>
          <w:color w:val="000000" w:themeColor="text1"/>
        </w:rPr>
        <w:tab/>
      </w:r>
      <w:r w:rsidRPr="00195742">
        <w:rPr>
          <w:rFonts w:ascii="Arial" w:hAnsi="Arial" w:cs="Arial"/>
          <w:color w:val="000000" w:themeColor="text1"/>
        </w:rPr>
        <w:tab/>
        <w:t>Cost-Benefit Analysis</w:t>
      </w:r>
    </w:p>
    <w:p w:rsidR="00E378B5" w:rsidRDefault="00E378B5" w:rsidP="00E378B5">
      <w:pPr>
        <w:rPr>
          <w:rFonts w:ascii="Arial" w:hAnsi="Arial" w:cs="Arial"/>
          <w:color w:val="000000" w:themeColor="text1"/>
        </w:rPr>
      </w:pPr>
      <w:r>
        <w:rPr>
          <w:rFonts w:ascii="Arial" w:hAnsi="Arial" w:cs="Arial"/>
          <w:color w:val="000000" w:themeColor="text1"/>
        </w:rPr>
        <w:t>CRC</w:t>
      </w:r>
      <w:r>
        <w:rPr>
          <w:rFonts w:ascii="Arial" w:hAnsi="Arial" w:cs="Arial"/>
          <w:color w:val="000000" w:themeColor="text1"/>
        </w:rPr>
        <w:tab/>
      </w:r>
      <w:r>
        <w:rPr>
          <w:rFonts w:ascii="Arial" w:hAnsi="Arial" w:cs="Arial"/>
          <w:color w:val="000000" w:themeColor="text1"/>
        </w:rPr>
        <w:tab/>
        <w:t xml:space="preserve">Cooperative Research Centre </w:t>
      </w:r>
    </w:p>
    <w:p w:rsidR="00E378B5" w:rsidRDefault="00E378B5" w:rsidP="00E378B5">
      <w:pPr>
        <w:rPr>
          <w:rFonts w:ascii="Arial" w:hAnsi="Arial" w:cs="Arial"/>
          <w:color w:val="000000" w:themeColor="text1"/>
        </w:rPr>
      </w:pPr>
      <w:r>
        <w:rPr>
          <w:rFonts w:ascii="Arial" w:hAnsi="Arial" w:cs="Arial"/>
          <w:color w:val="000000" w:themeColor="text1"/>
        </w:rPr>
        <w:t>CRRDC</w:t>
      </w:r>
      <w:r>
        <w:rPr>
          <w:rFonts w:ascii="Arial" w:hAnsi="Arial" w:cs="Arial"/>
          <w:color w:val="000000" w:themeColor="text1"/>
        </w:rPr>
        <w:tab/>
        <w:t xml:space="preserve">Council of Research and Development Corporations  </w:t>
      </w:r>
    </w:p>
    <w:p w:rsidR="00E378B5" w:rsidRPr="00195742" w:rsidRDefault="00E378B5" w:rsidP="00E378B5">
      <w:pPr>
        <w:rPr>
          <w:rFonts w:ascii="Arial" w:hAnsi="Arial" w:cs="Arial"/>
          <w:color w:val="000000" w:themeColor="text1"/>
        </w:rPr>
      </w:pPr>
      <w:r w:rsidRPr="00195742">
        <w:rPr>
          <w:rFonts w:ascii="Arial" w:hAnsi="Arial" w:cs="Arial"/>
          <w:color w:val="000000" w:themeColor="text1"/>
        </w:rPr>
        <w:t>DAF</w:t>
      </w:r>
      <w:r w:rsidRPr="00195742">
        <w:rPr>
          <w:rFonts w:ascii="Arial" w:hAnsi="Arial" w:cs="Arial"/>
          <w:color w:val="000000" w:themeColor="text1"/>
        </w:rPr>
        <w:tab/>
      </w:r>
      <w:r w:rsidRPr="00195742">
        <w:rPr>
          <w:rFonts w:ascii="Arial" w:hAnsi="Arial" w:cs="Arial"/>
          <w:color w:val="000000" w:themeColor="text1"/>
        </w:rPr>
        <w:tab/>
        <w:t>Department of Agriculture and Fisheries, Queensland</w:t>
      </w:r>
    </w:p>
    <w:p w:rsidR="00E378B5" w:rsidRPr="00195742" w:rsidRDefault="00E378B5" w:rsidP="00E378B5">
      <w:pPr>
        <w:rPr>
          <w:rFonts w:ascii="Arial" w:hAnsi="Arial" w:cs="Arial"/>
          <w:color w:val="000000" w:themeColor="text1"/>
        </w:rPr>
      </w:pPr>
      <w:r w:rsidRPr="00195742">
        <w:rPr>
          <w:rFonts w:ascii="Arial" w:hAnsi="Arial" w:cs="Arial"/>
          <w:color w:val="000000" w:themeColor="text1"/>
        </w:rPr>
        <w:t>FRDC</w:t>
      </w:r>
      <w:r w:rsidRPr="00195742">
        <w:rPr>
          <w:rFonts w:ascii="Arial" w:hAnsi="Arial" w:cs="Arial"/>
          <w:color w:val="000000" w:themeColor="text1"/>
        </w:rPr>
        <w:tab/>
      </w:r>
      <w:r w:rsidRPr="00195742">
        <w:rPr>
          <w:rFonts w:ascii="Arial" w:hAnsi="Arial" w:cs="Arial"/>
          <w:color w:val="000000" w:themeColor="text1"/>
        </w:rPr>
        <w:tab/>
        <w:t xml:space="preserve">Fisheries Research and Development Corporation </w:t>
      </w:r>
    </w:p>
    <w:p w:rsidR="00E378B5" w:rsidRDefault="00E378B5" w:rsidP="00E378B5">
      <w:pPr>
        <w:rPr>
          <w:rFonts w:ascii="Arial" w:hAnsi="Arial" w:cs="Arial"/>
        </w:rPr>
      </w:pPr>
      <w:r>
        <w:rPr>
          <w:rFonts w:ascii="Arial" w:hAnsi="Arial" w:cs="Arial"/>
        </w:rPr>
        <w:t>IRR</w:t>
      </w:r>
      <w:r>
        <w:rPr>
          <w:rFonts w:ascii="Arial" w:hAnsi="Arial" w:cs="Arial"/>
        </w:rPr>
        <w:tab/>
      </w:r>
      <w:r>
        <w:rPr>
          <w:rFonts w:ascii="Arial" w:hAnsi="Arial" w:cs="Arial"/>
        </w:rPr>
        <w:tab/>
        <w:t xml:space="preserve">Internal Rate of Return </w:t>
      </w:r>
    </w:p>
    <w:p w:rsidR="00E378B5" w:rsidRPr="00D03CA7" w:rsidRDefault="00E378B5" w:rsidP="00E378B5">
      <w:pPr>
        <w:rPr>
          <w:rFonts w:ascii="Arial" w:hAnsi="Arial" w:cs="Arial"/>
        </w:rPr>
      </w:pPr>
      <w:r w:rsidRPr="00D03CA7">
        <w:rPr>
          <w:rFonts w:ascii="Arial" w:hAnsi="Arial" w:cs="Arial"/>
        </w:rPr>
        <w:t>MIRR</w:t>
      </w:r>
      <w:r w:rsidRPr="00D03CA7">
        <w:rPr>
          <w:rFonts w:ascii="Arial" w:hAnsi="Arial" w:cs="Arial"/>
        </w:rPr>
        <w:tab/>
      </w:r>
      <w:r w:rsidRPr="00D03CA7">
        <w:rPr>
          <w:rFonts w:ascii="Arial" w:hAnsi="Arial" w:cs="Arial"/>
        </w:rPr>
        <w:tab/>
        <w:t>Modified Internal Rate of Return</w:t>
      </w:r>
    </w:p>
    <w:p w:rsidR="00E378B5" w:rsidRPr="007C64BD" w:rsidRDefault="00E378B5" w:rsidP="00E378B5">
      <w:pPr>
        <w:rPr>
          <w:rFonts w:ascii="Arial" w:hAnsi="Arial" w:cs="Arial"/>
        </w:rPr>
      </w:pPr>
      <w:r w:rsidRPr="007C64BD">
        <w:rPr>
          <w:rFonts w:ascii="Arial" w:hAnsi="Arial" w:cs="Arial"/>
        </w:rPr>
        <w:t>NIR</w:t>
      </w:r>
      <w:r w:rsidRPr="007C64BD">
        <w:rPr>
          <w:rFonts w:ascii="Arial" w:hAnsi="Arial" w:cs="Arial"/>
        </w:rPr>
        <w:tab/>
      </w:r>
      <w:r w:rsidRPr="007C64BD">
        <w:rPr>
          <w:rFonts w:ascii="Arial" w:hAnsi="Arial" w:cs="Arial"/>
        </w:rPr>
        <w:tab/>
        <w:t>Near Infrared</w:t>
      </w:r>
    </w:p>
    <w:p w:rsidR="00E378B5" w:rsidRPr="009A7B9D" w:rsidRDefault="00E378B5" w:rsidP="00E378B5">
      <w:pPr>
        <w:rPr>
          <w:rFonts w:ascii="Arial" w:hAnsi="Arial" w:cs="Arial"/>
        </w:rPr>
      </w:pPr>
      <w:r w:rsidRPr="009A7B9D">
        <w:rPr>
          <w:rFonts w:ascii="Arial" w:hAnsi="Arial" w:cs="Arial"/>
        </w:rPr>
        <w:t>NMCIRG</w:t>
      </w:r>
      <w:r w:rsidRPr="009A7B9D">
        <w:rPr>
          <w:rFonts w:ascii="Arial" w:hAnsi="Arial" w:cs="Arial"/>
        </w:rPr>
        <w:tab/>
        <w:t xml:space="preserve">National Mud Crab Industry Reference Group   </w:t>
      </w:r>
    </w:p>
    <w:p w:rsidR="00E378B5" w:rsidRDefault="00E378B5" w:rsidP="00E378B5">
      <w:pPr>
        <w:rPr>
          <w:rFonts w:ascii="Arial" w:hAnsi="Arial" w:cs="Arial"/>
          <w:color w:val="000000" w:themeColor="text1"/>
        </w:rPr>
      </w:pPr>
      <w:r>
        <w:rPr>
          <w:rFonts w:ascii="Arial" w:hAnsi="Arial" w:cs="Arial"/>
          <w:color w:val="000000" w:themeColor="text1"/>
        </w:rPr>
        <w:t>NSW</w:t>
      </w:r>
      <w:r>
        <w:rPr>
          <w:rFonts w:ascii="Arial" w:hAnsi="Arial" w:cs="Arial"/>
          <w:color w:val="000000" w:themeColor="text1"/>
        </w:rPr>
        <w:tab/>
      </w:r>
      <w:r>
        <w:rPr>
          <w:rFonts w:ascii="Arial" w:hAnsi="Arial" w:cs="Arial"/>
          <w:color w:val="000000" w:themeColor="text1"/>
        </w:rPr>
        <w:tab/>
        <w:t xml:space="preserve">New South Wales </w:t>
      </w:r>
    </w:p>
    <w:p w:rsidR="00E378B5" w:rsidRPr="00195742" w:rsidRDefault="00E378B5" w:rsidP="00E378B5">
      <w:pPr>
        <w:rPr>
          <w:rFonts w:ascii="Arial" w:hAnsi="Arial" w:cs="Arial"/>
          <w:color w:val="000000" w:themeColor="text1"/>
        </w:rPr>
      </w:pPr>
      <w:r w:rsidRPr="00195742">
        <w:rPr>
          <w:rFonts w:ascii="Arial" w:hAnsi="Arial" w:cs="Arial"/>
          <w:color w:val="000000" w:themeColor="text1"/>
        </w:rPr>
        <w:t>NT</w:t>
      </w:r>
      <w:r w:rsidRPr="00195742">
        <w:rPr>
          <w:rFonts w:ascii="Arial" w:hAnsi="Arial" w:cs="Arial"/>
          <w:color w:val="000000" w:themeColor="text1"/>
        </w:rPr>
        <w:tab/>
      </w:r>
      <w:r w:rsidRPr="00195742">
        <w:rPr>
          <w:rFonts w:ascii="Arial" w:hAnsi="Arial" w:cs="Arial"/>
          <w:color w:val="000000" w:themeColor="text1"/>
        </w:rPr>
        <w:tab/>
        <w:t xml:space="preserve">Northern Territory </w:t>
      </w:r>
    </w:p>
    <w:p w:rsidR="00E378B5" w:rsidRPr="007C64BD" w:rsidRDefault="00E378B5" w:rsidP="00E378B5">
      <w:pPr>
        <w:rPr>
          <w:rFonts w:ascii="Arial" w:hAnsi="Arial" w:cs="Arial"/>
        </w:rPr>
      </w:pPr>
      <w:r w:rsidRPr="007C64BD">
        <w:rPr>
          <w:rFonts w:ascii="Arial" w:hAnsi="Arial" w:cs="Arial"/>
        </w:rPr>
        <w:t>PFA</w:t>
      </w:r>
      <w:r w:rsidRPr="007C64BD">
        <w:rPr>
          <w:rFonts w:ascii="Arial" w:hAnsi="Arial" w:cs="Arial"/>
        </w:rPr>
        <w:tab/>
      </w:r>
      <w:r w:rsidRPr="007C64BD">
        <w:rPr>
          <w:rFonts w:ascii="Arial" w:hAnsi="Arial" w:cs="Arial"/>
        </w:rPr>
        <w:tab/>
        <w:t xml:space="preserve">Professional Fishermen’s Association </w:t>
      </w:r>
    </w:p>
    <w:p w:rsidR="00E378B5" w:rsidRPr="007C64BD" w:rsidRDefault="00E378B5" w:rsidP="00E378B5">
      <w:pPr>
        <w:rPr>
          <w:rFonts w:ascii="Arial" w:hAnsi="Arial" w:cs="Arial"/>
        </w:rPr>
      </w:pPr>
      <w:r w:rsidRPr="007C64BD">
        <w:rPr>
          <w:rFonts w:ascii="Arial" w:hAnsi="Arial" w:cs="Arial"/>
        </w:rPr>
        <w:t>PVB</w:t>
      </w:r>
      <w:r w:rsidRPr="007C64BD">
        <w:rPr>
          <w:rFonts w:ascii="Arial" w:hAnsi="Arial" w:cs="Arial"/>
        </w:rPr>
        <w:tab/>
      </w:r>
      <w:r w:rsidRPr="007C64BD">
        <w:rPr>
          <w:rFonts w:ascii="Arial" w:hAnsi="Arial" w:cs="Arial"/>
        </w:rPr>
        <w:tab/>
        <w:t>Present Value of Benefits</w:t>
      </w:r>
    </w:p>
    <w:p w:rsidR="00E378B5" w:rsidRPr="00195742" w:rsidRDefault="00E378B5" w:rsidP="00E378B5">
      <w:pPr>
        <w:rPr>
          <w:rFonts w:ascii="Arial" w:hAnsi="Arial" w:cs="Arial"/>
          <w:color w:val="000000" w:themeColor="text1"/>
        </w:rPr>
      </w:pPr>
      <w:r w:rsidRPr="00195742">
        <w:rPr>
          <w:rFonts w:ascii="Arial" w:hAnsi="Arial" w:cs="Arial"/>
          <w:color w:val="000000" w:themeColor="text1"/>
        </w:rPr>
        <w:t>RDC</w:t>
      </w:r>
      <w:r w:rsidRPr="00195742">
        <w:rPr>
          <w:rFonts w:ascii="Arial" w:hAnsi="Arial" w:cs="Arial"/>
          <w:color w:val="000000" w:themeColor="text1"/>
        </w:rPr>
        <w:tab/>
      </w:r>
      <w:r w:rsidRPr="00195742">
        <w:rPr>
          <w:rFonts w:ascii="Arial" w:hAnsi="Arial" w:cs="Arial"/>
          <w:color w:val="000000" w:themeColor="text1"/>
        </w:rPr>
        <w:tab/>
        <w:t>Research and Development Corporation</w:t>
      </w:r>
    </w:p>
    <w:p w:rsidR="00E378B5" w:rsidRPr="007C64BD" w:rsidRDefault="00E378B5" w:rsidP="00E378B5">
      <w:pPr>
        <w:rPr>
          <w:rFonts w:ascii="Arial" w:hAnsi="Arial" w:cs="Arial"/>
        </w:rPr>
      </w:pPr>
      <w:r w:rsidRPr="007C64BD">
        <w:rPr>
          <w:rFonts w:ascii="Arial" w:hAnsi="Arial" w:cs="Arial"/>
        </w:rPr>
        <w:t>R&amp;D</w:t>
      </w:r>
      <w:r w:rsidRPr="007C64BD">
        <w:rPr>
          <w:rFonts w:ascii="Arial" w:hAnsi="Arial" w:cs="Arial"/>
        </w:rPr>
        <w:tab/>
      </w:r>
      <w:r w:rsidRPr="007C64BD">
        <w:rPr>
          <w:rFonts w:ascii="Arial" w:hAnsi="Arial" w:cs="Arial"/>
        </w:rPr>
        <w:tab/>
        <w:t>Research and Development</w:t>
      </w:r>
    </w:p>
    <w:p w:rsidR="00E378B5" w:rsidRPr="007C64BD" w:rsidRDefault="00E378B5" w:rsidP="00E378B5">
      <w:pPr>
        <w:rPr>
          <w:rFonts w:ascii="Arial" w:hAnsi="Arial" w:cs="Arial"/>
        </w:rPr>
      </w:pPr>
      <w:r w:rsidRPr="007C64BD">
        <w:rPr>
          <w:rFonts w:ascii="Arial" w:hAnsi="Arial" w:cs="Arial"/>
        </w:rPr>
        <w:t>RD&amp;E</w:t>
      </w:r>
      <w:r w:rsidRPr="007C64BD">
        <w:rPr>
          <w:rFonts w:ascii="Arial" w:hAnsi="Arial" w:cs="Arial"/>
        </w:rPr>
        <w:tab/>
      </w:r>
      <w:r w:rsidRPr="007C64BD">
        <w:rPr>
          <w:rFonts w:ascii="Arial" w:hAnsi="Arial" w:cs="Arial"/>
        </w:rPr>
        <w:tab/>
        <w:t>Research, Development and Extension</w:t>
      </w:r>
    </w:p>
    <w:p w:rsidR="00E378B5" w:rsidRDefault="00E378B5" w:rsidP="00E378B5">
      <w:pPr>
        <w:rPr>
          <w:rFonts w:ascii="Arial" w:hAnsi="Arial" w:cs="Arial"/>
        </w:rPr>
      </w:pPr>
      <w:r>
        <w:rPr>
          <w:rFonts w:ascii="Arial" w:hAnsi="Arial" w:cs="Arial"/>
        </w:rPr>
        <w:t>QLD</w:t>
      </w:r>
      <w:r>
        <w:rPr>
          <w:rFonts w:ascii="Arial" w:hAnsi="Arial" w:cs="Arial"/>
        </w:rPr>
        <w:tab/>
      </w:r>
      <w:r>
        <w:rPr>
          <w:rFonts w:ascii="Arial" w:hAnsi="Arial" w:cs="Arial"/>
        </w:rPr>
        <w:tab/>
        <w:t>Queensland</w:t>
      </w:r>
    </w:p>
    <w:p w:rsidR="00E378B5" w:rsidRPr="00556A22" w:rsidRDefault="00E378B5" w:rsidP="00E378B5">
      <w:pPr>
        <w:rPr>
          <w:rFonts w:ascii="Arial" w:hAnsi="Arial" w:cs="Arial"/>
        </w:rPr>
      </w:pPr>
      <w:r w:rsidRPr="00556A22">
        <w:rPr>
          <w:rFonts w:ascii="Arial" w:hAnsi="Arial" w:cs="Arial"/>
        </w:rPr>
        <w:t>SFM</w:t>
      </w:r>
      <w:r w:rsidRPr="00556A22">
        <w:rPr>
          <w:rFonts w:ascii="Arial" w:hAnsi="Arial" w:cs="Arial"/>
        </w:rPr>
        <w:tab/>
      </w:r>
      <w:r w:rsidRPr="00556A22">
        <w:rPr>
          <w:rFonts w:ascii="Arial" w:hAnsi="Arial" w:cs="Arial"/>
        </w:rPr>
        <w:tab/>
        <w:t xml:space="preserve">Sydney Fish Market </w:t>
      </w:r>
    </w:p>
    <w:p w:rsidR="00E378B5" w:rsidRPr="00AB5F04" w:rsidRDefault="00E378B5" w:rsidP="00E378B5">
      <w:pPr>
        <w:rPr>
          <w:rFonts w:ascii="Arial" w:hAnsi="Arial" w:cs="Arial"/>
        </w:rPr>
      </w:pPr>
      <w:r w:rsidRPr="00AB5F04">
        <w:rPr>
          <w:rFonts w:ascii="Arial" w:hAnsi="Arial" w:cs="Arial"/>
        </w:rPr>
        <w:t>WTP</w:t>
      </w:r>
      <w:r w:rsidRPr="00AB5F04">
        <w:rPr>
          <w:rFonts w:ascii="Arial" w:hAnsi="Arial" w:cs="Arial"/>
        </w:rPr>
        <w:tab/>
      </w:r>
      <w:r w:rsidRPr="00AB5F04">
        <w:rPr>
          <w:rFonts w:ascii="Arial" w:hAnsi="Arial" w:cs="Arial"/>
        </w:rPr>
        <w:tab/>
        <w:t xml:space="preserve">Willingness to Pay </w:t>
      </w:r>
    </w:p>
    <w:p w:rsidR="00E378B5" w:rsidRDefault="00E378B5" w:rsidP="00E378B5"/>
    <w:p w:rsidR="00E378B5" w:rsidRDefault="00E378B5" w:rsidP="00E378B5"/>
    <w:p w:rsidR="00E378B5" w:rsidRDefault="00E378B5" w:rsidP="00E86ACB"/>
    <w:p w:rsidR="00E378B5" w:rsidRDefault="00E378B5" w:rsidP="00E86ACB"/>
    <w:p w:rsidR="00E378B5" w:rsidRDefault="00E378B5">
      <w:pPr>
        <w:rPr>
          <w:rFonts w:ascii="Arial" w:hAnsi="Arial" w:cs="Arial"/>
          <w:b/>
          <w:sz w:val="44"/>
          <w:szCs w:val="20"/>
        </w:rPr>
      </w:pPr>
      <w:r>
        <w:rPr>
          <w:rFonts w:ascii="Arial" w:hAnsi="Arial" w:cs="Arial"/>
        </w:rPr>
        <w:br w:type="page"/>
      </w:r>
    </w:p>
    <w:p w:rsidR="00E378B5" w:rsidRPr="00E86ACB" w:rsidRDefault="00E378B5" w:rsidP="00E86ACB">
      <w:pPr>
        <w:spacing w:after="240"/>
        <w:rPr>
          <w:rFonts w:ascii="Arial" w:hAnsi="Arial" w:cs="Arial"/>
          <w:b/>
          <w:sz w:val="40"/>
          <w:szCs w:val="40"/>
        </w:rPr>
      </w:pPr>
      <w:bookmarkStart w:id="62" w:name="_Toc486145212"/>
      <w:bookmarkStart w:id="63" w:name="_Toc486145321"/>
      <w:bookmarkStart w:id="64" w:name="_Toc486146237"/>
      <w:r w:rsidRPr="00E86ACB">
        <w:rPr>
          <w:rFonts w:ascii="Arial" w:hAnsi="Arial" w:cs="Arial"/>
          <w:b/>
          <w:sz w:val="40"/>
          <w:szCs w:val="40"/>
        </w:rPr>
        <w:t>Executive Summary</w:t>
      </w:r>
      <w:bookmarkEnd w:id="57"/>
      <w:bookmarkEnd w:id="62"/>
      <w:bookmarkEnd w:id="63"/>
      <w:bookmarkEnd w:id="64"/>
    </w:p>
    <w:p w:rsidR="00E378B5" w:rsidRPr="0094710F" w:rsidRDefault="00E378B5" w:rsidP="00B21607">
      <w:pPr>
        <w:spacing w:after="240"/>
        <w:rPr>
          <w:rFonts w:ascii="Arial" w:hAnsi="Arial" w:cs="Arial"/>
          <w:b/>
          <w:sz w:val="24"/>
        </w:rPr>
      </w:pPr>
      <w:r w:rsidRPr="0094710F">
        <w:rPr>
          <w:rFonts w:ascii="Arial" w:hAnsi="Arial" w:cs="Arial"/>
          <w:b/>
          <w:sz w:val="24"/>
        </w:rPr>
        <w:t xml:space="preserve">The </w:t>
      </w:r>
      <w:r>
        <w:rPr>
          <w:rFonts w:ascii="Arial" w:hAnsi="Arial" w:cs="Arial"/>
          <w:b/>
          <w:sz w:val="24"/>
        </w:rPr>
        <w:t>Project</w:t>
      </w:r>
    </w:p>
    <w:p w:rsidR="00E378B5" w:rsidRPr="0094710F" w:rsidRDefault="00E378B5" w:rsidP="00E378B5">
      <w:pPr>
        <w:rPr>
          <w:rFonts w:ascii="Arial" w:hAnsi="Arial" w:cs="Arial"/>
        </w:rPr>
      </w:pPr>
      <w:r w:rsidRPr="0094710F">
        <w:rPr>
          <w:rFonts w:ascii="Arial" w:hAnsi="Arial" w:cs="Arial"/>
        </w:rPr>
        <w:t xml:space="preserve">This report presents the results of an impact assessment of a Queensland Department of Agriculture and Fisheries (DAF) investment in a project </w:t>
      </w:r>
      <w:r>
        <w:rPr>
          <w:rFonts w:ascii="Arial" w:hAnsi="Arial" w:cs="Arial"/>
        </w:rPr>
        <w:t>to</w:t>
      </w:r>
      <w:r w:rsidRPr="0094710F">
        <w:rPr>
          <w:rFonts w:ascii="Arial" w:hAnsi="Arial" w:cs="Arial"/>
        </w:rPr>
        <w:t xml:space="preserve"> improv</w:t>
      </w:r>
      <w:r>
        <w:rPr>
          <w:rFonts w:ascii="Arial" w:hAnsi="Arial" w:cs="Arial"/>
        </w:rPr>
        <w:t>e</w:t>
      </w:r>
      <w:r w:rsidRPr="0094710F">
        <w:rPr>
          <w:rFonts w:ascii="Arial" w:hAnsi="Arial" w:cs="Arial"/>
        </w:rPr>
        <w:t xml:space="preserve"> the grading scheme for the Australian live mud crab industry. The project was funded by DAF and the Fisheries Research and Development Corporation (FRDC)</w:t>
      </w:r>
      <w:r>
        <w:rPr>
          <w:rFonts w:ascii="Arial" w:hAnsi="Arial" w:cs="Arial"/>
        </w:rPr>
        <w:t xml:space="preserve"> over the period 2014-2016.</w:t>
      </w:r>
      <w:r w:rsidRPr="0094710F">
        <w:rPr>
          <w:rFonts w:ascii="Arial" w:hAnsi="Arial" w:cs="Arial"/>
        </w:rPr>
        <w:t xml:space="preserve">  </w:t>
      </w:r>
    </w:p>
    <w:p w:rsidR="00E378B5" w:rsidRPr="0094710F" w:rsidRDefault="00E378B5" w:rsidP="00E378B5">
      <w:pPr>
        <w:rPr>
          <w:rFonts w:ascii="Arial" w:hAnsi="Arial" w:cs="Arial"/>
          <w:color w:val="FF0000"/>
        </w:rPr>
      </w:pPr>
    </w:p>
    <w:p w:rsidR="00E378B5" w:rsidRPr="0094710F" w:rsidRDefault="00E378B5" w:rsidP="00B21607">
      <w:pPr>
        <w:spacing w:after="240"/>
        <w:rPr>
          <w:rFonts w:ascii="Arial" w:hAnsi="Arial" w:cs="Arial"/>
          <w:b/>
          <w:sz w:val="24"/>
        </w:rPr>
      </w:pPr>
      <w:r w:rsidRPr="0094710F">
        <w:rPr>
          <w:rFonts w:ascii="Arial" w:hAnsi="Arial" w:cs="Arial"/>
          <w:b/>
          <w:sz w:val="24"/>
        </w:rPr>
        <w:t>Methods</w:t>
      </w:r>
    </w:p>
    <w:p w:rsidR="00E378B5" w:rsidRPr="0094710F" w:rsidRDefault="00E378B5" w:rsidP="00E378B5">
      <w:pPr>
        <w:rPr>
          <w:rFonts w:ascii="Arial" w:hAnsi="Arial" w:cs="Arial"/>
        </w:rPr>
      </w:pPr>
      <w:r w:rsidRPr="0094710F">
        <w:rPr>
          <w:rFonts w:ascii="Arial" w:hAnsi="Arial" w:cs="Arial"/>
        </w:rPr>
        <w:t>The project was analysed qualitatively within a logical framework that included activities/outputs, outcomes, and impacts. Impacts were categorised into a triple bottom line framework.</w:t>
      </w:r>
      <w:r>
        <w:rPr>
          <w:rFonts w:ascii="Arial" w:hAnsi="Arial" w:cs="Arial"/>
        </w:rPr>
        <w:t xml:space="preserve"> P</w:t>
      </w:r>
      <w:r w:rsidRPr="0094710F">
        <w:rPr>
          <w:rFonts w:ascii="Arial" w:hAnsi="Arial" w:cs="Arial"/>
        </w:rPr>
        <w:t>rincipal impacts w</w:t>
      </w:r>
      <w:r>
        <w:rPr>
          <w:rFonts w:ascii="Arial" w:hAnsi="Arial" w:cs="Arial"/>
        </w:rPr>
        <w:t>ere</w:t>
      </w:r>
      <w:r w:rsidRPr="0094710F">
        <w:rPr>
          <w:rFonts w:ascii="Arial" w:hAnsi="Arial" w:cs="Arial"/>
        </w:rPr>
        <w:t xml:space="preserve"> then valued. Benefits were </w:t>
      </w:r>
      <w:r>
        <w:rPr>
          <w:rFonts w:ascii="Arial" w:hAnsi="Arial" w:cs="Arial"/>
        </w:rPr>
        <w:t xml:space="preserve">estimated </w:t>
      </w:r>
      <w:r w:rsidRPr="0094710F">
        <w:rPr>
          <w:rFonts w:ascii="Arial" w:hAnsi="Arial" w:cs="Arial"/>
        </w:rPr>
        <w:t>for a range of time frames up to 30 years from the year of last investment in the project. Past and future cash flows in 201</w:t>
      </w:r>
      <w:r>
        <w:rPr>
          <w:rFonts w:ascii="Arial" w:hAnsi="Arial" w:cs="Arial"/>
        </w:rPr>
        <w:t>6</w:t>
      </w:r>
      <w:r w:rsidRPr="0094710F">
        <w:rPr>
          <w:rFonts w:ascii="Arial" w:hAnsi="Arial" w:cs="Arial"/>
        </w:rPr>
        <w:t>/1</w:t>
      </w:r>
      <w:r>
        <w:rPr>
          <w:rFonts w:ascii="Arial" w:hAnsi="Arial" w:cs="Arial"/>
        </w:rPr>
        <w:t>7</w:t>
      </w:r>
      <w:r w:rsidRPr="0094710F">
        <w:rPr>
          <w:rFonts w:ascii="Arial" w:hAnsi="Arial" w:cs="Arial"/>
        </w:rPr>
        <w:t xml:space="preserve"> $ terms were discounted to the year 201</w:t>
      </w:r>
      <w:r>
        <w:rPr>
          <w:rFonts w:ascii="Arial" w:hAnsi="Arial" w:cs="Arial"/>
        </w:rPr>
        <w:t>6</w:t>
      </w:r>
      <w:r w:rsidRPr="0094710F">
        <w:rPr>
          <w:rFonts w:ascii="Arial" w:hAnsi="Arial" w:cs="Arial"/>
        </w:rPr>
        <w:t>/1</w:t>
      </w:r>
      <w:r>
        <w:rPr>
          <w:rFonts w:ascii="Arial" w:hAnsi="Arial" w:cs="Arial"/>
        </w:rPr>
        <w:t>7</w:t>
      </w:r>
      <w:r w:rsidRPr="0094710F">
        <w:rPr>
          <w:rFonts w:ascii="Arial" w:hAnsi="Arial" w:cs="Arial"/>
        </w:rPr>
        <w:t xml:space="preserve"> using a discount rate of 5% to estimate the investment criteria.</w:t>
      </w:r>
    </w:p>
    <w:p w:rsidR="00E378B5" w:rsidRPr="0094710F" w:rsidRDefault="00E378B5" w:rsidP="00E378B5">
      <w:pPr>
        <w:rPr>
          <w:rFonts w:ascii="Arial" w:hAnsi="Arial" w:cs="Arial"/>
        </w:rPr>
      </w:pPr>
    </w:p>
    <w:p w:rsidR="00E378B5" w:rsidRPr="0094710F" w:rsidRDefault="00E378B5" w:rsidP="00B21607">
      <w:pPr>
        <w:spacing w:after="240"/>
        <w:rPr>
          <w:rFonts w:ascii="Arial" w:hAnsi="Arial" w:cs="Arial"/>
          <w:b/>
          <w:sz w:val="24"/>
        </w:rPr>
      </w:pPr>
      <w:r w:rsidRPr="0094710F">
        <w:rPr>
          <w:rFonts w:ascii="Arial" w:hAnsi="Arial" w:cs="Arial"/>
          <w:b/>
          <w:sz w:val="24"/>
        </w:rPr>
        <w:t>Impacts</w:t>
      </w:r>
    </w:p>
    <w:p w:rsidR="00E378B5" w:rsidRPr="0094710F" w:rsidRDefault="00E378B5" w:rsidP="00E378B5">
      <w:pPr>
        <w:rPr>
          <w:rFonts w:ascii="Arial" w:hAnsi="Arial" w:cs="Arial"/>
        </w:rPr>
      </w:pPr>
      <w:r w:rsidRPr="0094710F">
        <w:rPr>
          <w:rFonts w:ascii="Arial" w:hAnsi="Arial" w:cs="Arial"/>
        </w:rPr>
        <w:t>The major impact identified was of a financial nature. However, some social and environmental impacts also were identified but not valued</w:t>
      </w:r>
      <w:r w:rsidRPr="00C02DDF">
        <w:rPr>
          <w:rFonts w:ascii="Arial" w:hAnsi="Arial" w:cs="Arial"/>
        </w:rPr>
        <w:t xml:space="preserve">. It is expected the </w:t>
      </w:r>
      <w:r>
        <w:rPr>
          <w:rFonts w:ascii="Arial" w:hAnsi="Arial" w:cs="Arial"/>
        </w:rPr>
        <w:t xml:space="preserve">Australian </w:t>
      </w:r>
      <w:r w:rsidRPr="00C02DDF">
        <w:rPr>
          <w:rFonts w:ascii="Arial" w:hAnsi="Arial" w:cs="Arial"/>
        </w:rPr>
        <w:t xml:space="preserve">commercial mud crab industry </w:t>
      </w:r>
      <w:r w:rsidRPr="0094710F">
        <w:rPr>
          <w:rFonts w:ascii="Arial" w:hAnsi="Arial" w:cs="Arial"/>
        </w:rPr>
        <w:t>will be the primary beneficiary of the investment.</w:t>
      </w:r>
    </w:p>
    <w:p w:rsidR="00E378B5" w:rsidRPr="0094710F" w:rsidRDefault="00E378B5" w:rsidP="00E378B5">
      <w:pPr>
        <w:rPr>
          <w:rFonts w:ascii="Arial" w:hAnsi="Arial" w:cs="Arial"/>
        </w:rPr>
      </w:pPr>
    </w:p>
    <w:p w:rsidR="00E378B5" w:rsidRPr="0094710F" w:rsidRDefault="00E378B5" w:rsidP="00B21607">
      <w:pPr>
        <w:spacing w:after="240"/>
        <w:rPr>
          <w:rFonts w:ascii="Arial" w:hAnsi="Arial" w:cs="Arial"/>
          <w:b/>
          <w:sz w:val="24"/>
        </w:rPr>
      </w:pPr>
      <w:r w:rsidRPr="0094710F">
        <w:rPr>
          <w:rFonts w:ascii="Arial" w:hAnsi="Arial" w:cs="Arial"/>
          <w:b/>
          <w:sz w:val="24"/>
        </w:rPr>
        <w:t>Investment Criteria</w:t>
      </w:r>
    </w:p>
    <w:p w:rsidR="00E378B5" w:rsidRPr="007E45C8" w:rsidRDefault="00E378B5" w:rsidP="00E378B5">
      <w:pPr>
        <w:pStyle w:val="Header"/>
        <w:rPr>
          <w:rFonts w:ascii="Arial" w:hAnsi="Arial" w:cs="Arial"/>
          <w:color w:val="000000" w:themeColor="text1"/>
        </w:rPr>
      </w:pPr>
      <w:r w:rsidRPr="007E45C8">
        <w:rPr>
          <w:rFonts w:ascii="Arial" w:hAnsi="Arial" w:cs="Arial"/>
          <w:color w:val="000000" w:themeColor="text1"/>
        </w:rPr>
        <w:t>Total funding from all sources for the project was $0.6 million (present value terms). The value of benefits was estimated at $</w:t>
      </w:r>
      <w:r>
        <w:rPr>
          <w:rFonts w:ascii="Arial" w:hAnsi="Arial" w:cs="Arial"/>
          <w:color w:val="000000" w:themeColor="text1"/>
        </w:rPr>
        <w:t>20.6</w:t>
      </w:r>
      <w:r w:rsidRPr="007E45C8">
        <w:rPr>
          <w:rFonts w:ascii="Arial" w:hAnsi="Arial" w:cs="Arial"/>
          <w:color w:val="000000" w:themeColor="text1"/>
        </w:rPr>
        <w:t xml:space="preserve"> million (present value terms). This gave an estimated net present value of $</w:t>
      </w:r>
      <w:r>
        <w:rPr>
          <w:rFonts w:ascii="Arial" w:hAnsi="Arial" w:cs="Arial"/>
          <w:color w:val="000000" w:themeColor="text1"/>
        </w:rPr>
        <w:t>20.0</w:t>
      </w:r>
      <w:r w:rsidRPr="007E45C8">
        <w:rPr>
          <w:rFonts w:ascii="Arial" w:hAnsi="Arial" w:cs="Arial"/>
          <w:color w:val="000000" w:themeColor="text1"/>
        </w:rPr>
        <w:t xml:space="preserve"> million, and a benefit-cost ratio of 3</w:t>
      </w:r>
      <w:r>
        <w:rPr>
          <w:rFonts w:ascii="Arial" w:hAnsi="Arial" w:cs="Arial"/>
          <w:color w:val="000000" w:themeColor="text1"/>
        </w:rPr>
        <w:t>3</w:t>
      </w:r>
      <w:r w:rsidRPr="007E45C8">
        <w:rPr>
          <w:rFonts w:ascii="Arial" w:hAnsi="Arial" w:cs="Arial"/>
          <w:color w:val="000000" w:themeColor="text1"/>
        </w:rPr>
        <w:t xml:space="preserve"> to 1. </w:t>
      </w:r>
    </w:p>
    <w:p w:rsidR="00E378B5" w:rsidRPr="0094710F" w:rsidRDefault="00E378B5" w:rsidP="00E378B5">
      <w:pPr>
        <w:rPr>
          <w:rFonts w:ascii="Arial" w:hAnsi="Arial" w:cs="Arial"/>
        </w:rPr>
      </w:pPr>
    </w:p>
    <w:p w:rsidR="00E378B5" w:rsidRPr="0094710F" w:rsidRDefault="00E378B5">
      <w:pPr>
        <w:rPr>
          <w:rFonts w:ascii="Arial" w:hAnsi="Arial" w:cs="Arial"/>
          <w:b/>
          <w:sz w:val="44"/>
          <w:szCs w:val="20"/>
        </w:rPr>
      </w:pPr>
      <w:r w:rsidRPr="0094710F">
        <w:rPr>
          <w:rFonts w:ascii="Arial" w:hAnsi="Arial" w:cs="Arial"/>
        </w:rPr>
        <w:br w:type="page"/>
      </w:r>
    </w:p>
    <w:p w:rsidR="00E378B5" w:rsidRPr="00E86ACB" w:rsidRDefault="00E378B5" w:rsidP="00E86ACB">
      <w:pPr>
        <w:spacing w:after="240"/>
        <w:rPr>
          <w:rFonts w:ascii="Arial" w:hAnsi="Arial" w:cs="Arial"/>
          <w:b/>
          <w:sz w:val="40"/>
          <w:szCs w:val="40"/>
        </w:rPr>
      </w:pPr>
      <w:bookmarkStart w:id="65" w:name="_Toc442159247"/>
      <w:bookmarkStart w:id="66" w:name="_Toc486145213"/>
      <w:bookmarkStart w:id="67" w:name="_Toc486145322"/>
      <w:bookmarkStart w:id="68" w:name="_Toc486146238"/>
      <w:r w:rsidRPr="00E86ACB">
        <w:rPr>
          <w:rFonts w:ascii="Arial" w:hAnsi="Arial" w:cs="Arial"/>
          <w:b/>
          <w:sz w:val="40"/>
          <w:szCs w:val="40"/>
        </w:rPr>
        <w:t>1. Methods</w:t>
      </w:r>
      <w:bookmarkEnd w:id="65"/>
      <w:bookmarkEnd w:id="66"/>
      <w:bookmarkEnd w:id="67"/>
      <w:bookmarkEnd w:id="68"/>
    </w:p>
    <w:p w:rsidR="00E378B5" w:rsidRPr="0094710F" w:rsidRDefault="00E378B5" w:rsidP="005173A2">
      <w:pPr>
        <w:spacing w:after="240"/>
        <w:rPr>
          <w:rFonts w:ascii="Arial" w:hAnsi="Arial" w:cs="Arial"/>
        </w:rPr>
      </w:pPr>
      <w:r w:rsidRPr="0094710F">
        <w:rPr>
          <w:rFonts w:ascii="Arial" w:hAnsi="Arial" w:cs="Arial"/>
        </w:rPr>
        <w:t xml:space="preserve">The evaluation approach follows general evaluation guidelines that are now well entrenched within the Australian primary industry research sector including </w:t>
      </w:r>
      <w:r>
        <w:rPr>
          <w:rFonts w:ascii="Arial" w:hAnsi="Arial" w:cs="Arial"/>
        </w:rPr>
        <w:t>Research and Development Corporations (</w:t>
      </w:r>
      <w:r w:rsidRPr="0094710F">
        <w:rPr>
          <w:rFonts w:ascii="Arial" w:hAnsi="Arial" w:cs="Arial"/>
        </w:rPr>
        <w:t>RDCs</w:t>
      </w:r>
      <w:r>
        <w:rPr>
          <w:rFonts w:ascii="Arial" w:hAnsi="Arial" w:cs="Arial"/>
        </w:rPr>
        <w:t>)</w:t>
      </w:r>
      <w:r w:rsidRPr="0094710F">
        <w:rPr>
          <w:rFonts w:ascii="Arial" w:hAnsi="Arial" w:cs="Arial"/>
        </w:rPr>
        <w:t>, Cooperative Research Centres (CRCs), State Departments of Agriculture, and some Universities. This impact assessment uses Cost-Benefit Analysis (CBA)</w:t>
      </w:r>
      <w:r>
        <w:rPr>
          <w:rFonts w:ascii="Arial" w:hAnsi="Arial" w:cs="Arial"/>
        </w:rPr>
        <w:t xml:space="preserve"> as its principal tool</w:t>
      </w:r>
      <w:r w:rsidRPr="0094710F">
        <w:rPr>
          <w:rFonts w:ascii="Arial" w:hAnsi="Arial" w:cs="Arial"/>
        </w:rPr>
        <w:t>. Th</w:t>
      </w:r>
      <w:r>
        <w:rPr>
          <w:rFonts w:ascii="Arial" w:hAnsi="Arial" w:cs="Arial"/>
        </w:rPr>
        <w:t>e</w:t>
      </w:r>
      <w:r w:rsidRPr="0094710F">
        <w:rPr>
          <w:rFonts w:ascii="Arial" w:hAnsi="Arial" w:cs="Arial"/>
        </w:rPr>
        <w:t xml:space="preserve"> </w:t>
      </w:r>
      <w:r>
        <w:rPr>
          <w:rFonts w:ascii="Arial" w:hAnsi="Arial" w:cs="Arial"/>
        </w:rPr>
        <w:t xml:space="preserve">approach included </w:t>
      </w:r>
      <w:r w:rsidRPr="0094710F">
        <w:rPr>
          <w:rFonts w:ascii="Arial" w:hAnsi="Arial" w:cs="Arial"/>
        </w:rPr>
        <w:t>both qualitative and quantitative</w:t>
      </w:r>
      <w:r>
        <w:rPr>
          <w:rFonts w:ascii="Arial" w:hAnsi="Arial" w:cs="Arial"/>
        </w:rPr>
        <w:t xml:space="preserve"> descriptions </w:t>
      </w:r>
      <w:r w:rsidRPr="0094710F">
        <w:rPr>
          <w:rFonts w:ascii="Arial" w:hAnsi="Arial" w:cs="Arial"/>
        </w:rPr>
        <w:t xml:space="preserve">that are in accord with the evaluation guidelines of the Council of Research and Development Corporations (CRRDC, 2014). </w:t>
      </w:r>
    </w:p>
    <w:p w:rsidR="00E378B5" w:rsidRPr="0094710F" w:rsidRDefault="00E378B5" w:rsidP="005173A2">
      <w:pPr>
        <w:spacing w:after="240"/>
        <w:rPr>
          <w:rFonts w:ascii="Arial" w:hAnsi="Arial" w:cs="Arial"/>
          <w:szCs w:val="22"/>
        </w:rPr>
      </w:pPr>
      <w:r w:rsidRPr="0094710F">
        <w:rPr>
          <w:rFonts w:ascii="Arial" w:hAnsi="Arial" w:cs="Arial"/>
          <w:szCs w:val="22"/>
        </w:rPr>
        <w:t xml:space="preserve">The evaluation process involved identifying and briefly describing </w:t>
      </w:r>
      <w:r>
        <w:rPr>
          <w:rFonts w:ascii="Arial" w:hAnsi="Arial" w:cs="Arial"/>
          <w:szCs w:val="22"/>
        </w:rPr>
        <w:t xml:space="preserve">project </w:t>
      </w:r>
      <w:r w:rsidRPr="0094710F">
        <w:rPr>
          <w:rFonts w:ascii="Arial" w:hAnsi="Arial" w:cs="Arial"/>
          <w:szCs w:val="22"/>
        </w:rPr>
        <w:t>objectives, activities</w:t>
      </w:r>
      <w:r>
        <w:rPr>
          <w:rFonts w:ascii="Arial" w:hAnsi="Arial" w:cs="Arial"/>
          <w:szCs w:val="22"/>
        </w:rPr>
        <w:t xml:space="preserve"> and</w:t>
      </w:r>
      <w:r w:rsidRPr="0094710F">
        <w:rPr>
          <w:rFonts w:ascii="Arial" w:hAnsi="Arial" w:cs="Arial"/>
          <w:szCs w:val="22"/>
        </w:rPr>
        <w:t xml:space="preserve"> outputs, outcomes, and impacts</w:t>
      </w:r>
      <w:r>
        <w:rPr>
          <w:rFonts w:ascii="Arial" w:hAnsi="Arial" w:cs="Arial"/>
          <w:szCs w:val="22"/>
        </w:rPr>
        <w:t>.</w:t>
      </w:r>
      <w:r w:rsidRPr="0094710F">
        <w:rPr>
          <w:rFonts w:ascii="Arial" w:hAnsi="Arial" w:cs="Arial"/>
          <w:szCs w:val="22"/>
        </w:rPr>
        <w:t xml:space="preserve"> The principal economic, environmental and social </w:t>
      </w:r>
      <w:r w:rsidRPr="005173A2">
        <w:rPr>
          <w:rFonts w:ascii="Arial" w:hAnsi="Arial" w:cs="Arial"/>
        </w:rPr>
        <w:t>impacts</w:t>
      </w:r>
      <w:r w:rsidRPr="0094710F">
        <w:rPr>
          <w:rFonts w:ascii="Arial" w:hAnsi="Arial" w:cs="Arial"/>
          <w:szCs w:val="22"/>
        </w:rPr>
        <w:t xml:space="preserve"> are then summarised in a triple bottom line framework. </w:t>
      </w:r>
    </w:p>
    <w:p w:rsidR="00E378B5" w:rsidRPr="00F21760" w:rsidRDefault="00E378B5" w:rsidP="005173A2">
      <w:pPr>
        <w:spacing w:after="240"/>
        <w:rPr>
          <w:rFonts w:ascii="Arial" w:hAnsi="Arial" w:cs="Arial"/>
          <w:szCs w:val="22"/>
        </w:rPr>
      </w:pPr>
      <w:r w:rsidRPr="0094710F">
        <w:rPr>
          <w:rFonts w:ascii="Arial" w:hAnsi="Arial" w:cs="Arial"/>
          <w:szCs w:val="22"/>
        </w:rPr>
        <w:t xml:space="preserve">Some, but not all, of the impacts identified </w:t>
      </w:r>
      <w:r>
        <w:rPr>
          <w:rFonts w:ascii="Arial" w:hAnsi="Arial" w:cs="Arial"/>
          <w:szCs w:val="22"/>
        </w:rPr>
        <w:t xml:space="preserve">were </w:t>
      </w:r>
      <w:r w:rsidRPr="0094710F">
        <w:rPr>
          <w:rFonts w:ascii="Arial" w:hAnsi="Arial" w:cs="Arial"/>
          <w:szCs w:val="22"/>
        </w:rPr>
        <w:t xml:space="preserve">then valued in monetary terms. </w:t>
      </w:r>
      <w:r w:rsidRPr="00F21760">
        <w:rPr>
          <w:rFonts w:ascii="Arial" w:hAnsi="Arial" w:cs="Arial"/>
          <w:szCs w:val="22"/>
        </w:rPr>
        <w:t xml:space="preserve">The decision not to value certain impacts was due either to a shortage of necessary evidence/data, a high degree of </w:t>
      </w:r>
      <w:r w:rsidRPr="005173A2">
        <w:rPr>
          <w:rFonts w:ascii="Arial" w:hAnsi="Arial" w:cs="Arial"/>
        </w:rPr>
        <w:t>uncertainty</w:t>
      </w:r>
      <w:r w:rsidRPr="00F21760">
        <w:rPr>
          <w:rFonts w:ascii="Arial" w:hAnsi="Arial" w:cs="Arial"/>
          <w:szCs w:val="22"/>
        </w:rPr>
        <w:t xml:space="preserve"> surrounding </w:t>
      </w:r>
      <w:r>
        <w:rPr>
          <w:rFonts w:ascii="Arial" w:hAnsi="Arial" w:cs="Arial"/>
          <w:szCs w:val="22"/>
        </w:rPr>
        <w:t xml:space="preserve">the </w:t>
      </w:r>
      <w:r w:rsidRPr="00F21760">
        <w:rPr>
          <w:rFonts w:ascii="Arial" w:hAnsi="Arial" w:cs="Arial"/>
          <w:szCs w:val="22"/>
        </w:rPr>
        <w:t xml:space="preserve">potential impact, or the likely low relative significance of the benefit compared to those that were valued. The impacts valued </w:t>
      </w:r>
      <w:r>
        <w:rPr>
          <w:rFonts w:ascii="Arial" w:hAnsi="Arial" w:cs="Arial"/>
          <w:szCs w:val="22"/>
        </w:rPr>
        <w:t xml:space="preserve">therefore </w:t>
      </w:r>
      <w:r w:rsidRPr="00F21760">
        <w:rPr>
          <w:rFonts w:ascii="Arial" w:hAnsi="Arial" w:cs="Arial"/>
          <w:szCs w:val="22"/>
        </w:rPr>
        <w:t>are deemed to represent the principal benefits delivered by the project.</w:t>
      </w:r>
    </w:p>
    <w:p w:rsidR="00E378B5" w:rsidRPr="00E86ACB" w:rsidRDefault="00E378B5" w:rsidP="00E86ACB">
      <w:pPr>
        <w:spacing w:after="240"/>
        <w:rPr>
          <w:rFonts w:ascii="Arial" w:hAnsi="Arial" w:cs="Arial"/>
          <w:b/>
          <w:sz w:val="40"/>
          <w:szCs w:val="40"/>
        </w:rPr>
      </w:pPr>
      <w:bookmarkStart w:id="69" w:name="_Toc442159248"/>
      <w:bookmarkStart w:id="70" w:name="_Toc486145214"/>
      <w:bookmarkStart w:id="71" w:name="_Toc486145323"/>
      <w:bookmarkStart w:id="72" w:name="_Toc486146239"/>
      <w:r w:rsidRPr="00E86ACB">
        <w:rPr>
          <w:rFonts w:ascii="Arial" w:hAnsi="Arial" w:cs="Arial"/>
          <w:b/>
          <w:sz w:val="40"/>
          <w:szCs w:val="40"/>
        </w:rPr>
        <w:t xml:space="preserve">2. Background </w:t>
      </w:r>
      <w:bookmarkEnd w:id="69"/>
      <w:r w:rsidRPr="00E86ACB">
        <w:rPr>
          <w:rFonts w:ascii="Arial" w:hAnsi="Arial" w:cs="Arial"/>
          <w:b/>
          <w:sz w:val="40"/>
          <w:szCs w:val="40"/>
        </w:rPr>
        <w:t>and Rationale</w:t>
      </w:r>
      <w:bookmarkEnd w:id="70"/>
      <w:bookmarkEnd w:id="71"/>
      <w:bookmarkEnd w:id="72"/>
      <w:r w:rsidRPr="00E86ACB">
        <w:rPr>
          <w:rFonts w:ascii="Arial" w:hAnsi="Arial" w:cs="Arial"/>
          <w:b/>
          <w:sz w:val="40"/>
          <w:szCs w:val="40"/>
        </w:rPr>
        <w:t xml:space="preserve"> </w:t>
      </w:r>
    </w:p>
    <w:p w:rsidR="00E378B5" w:rsidRPr="0094710F" w:rsidRDefault="00E378B5" w:rsidP="005173A2">
      <w:pPr>
        <w:spacing w:after="240"/>
        <w:rPr>
          <w:rFonts w:ascii="Arial" w:eastAsiaTheme="majorEastAsia" w:hAnsi="Arial" w:cs="Arial"/>
          <w:b/>
          <w:bCs/>
          <w:sz w:val="24"/>
        </w:rPr>
      </w:pPr>
      <w:r w:rsidRPr="0094710F">
        <w:rPr>
          <w:rFonts w:ascii="Arial" w:eastAsiaTheme="majorEastAsia" w:hAnsi="Arial" w:cs="Arial"/>
          <w:b/>
          <w:bCs/>
          <w:sz w:val="24"/>
        </w:rPr>
        <w:t xml:space="preserve">Background  </w:t>
      </w:r>
    </w:p>
    <w:p w:rsidR="00E378B5" w:rsidRDefault="00E378B5" w:rsidP="005173A2">
      <w:pPr>
        <w:spacing w:after="240"/>
        <w:rPr>
          <w:rFonts w:ascii="Arial" w:eastAsiaTheme="majorEastAsia" w:hAnsi="Arial" w:cs="Arial"/>
          <w:bCs/>
        </w:rPr>
      </w:pPr>
      <w:r>
        <w:rPr>
          <w:rFonts w:ascii="Arial" w:eastAsiaTheme="majorEastAsia" w:hAnsi="Arial" w:cs="Arial"/>
          <w:bCs/>
        </w:rPr>
        <w:t xml:space="preserve">The Australian wild catch mud crab industry is a significant fisheries industry. </w:t>
      </w:r>
      <w:r w:rsidRPr="0094710F">
        <w:rPr>
          <w:rFonts w:ascii="Arial" w:eastAsiaTheme="majorEastAsia" w:hAnsi="Arial" w:cs="Arial"/>
          <w:bCs/>
        </w:rPr>
        <w:t xml:space="preserve">Participants in the </w:t>
      </w:r>
      <w:r>
        <w:rPr>
          <w:rFonts w:ascii="Arial" w:eastAsiaTheme="majorEastAsia" w:hAnsi="Arial" w:cs="Arial"/>
          <w:bCs/>
        </w:rPr>
        <w:t xml:space="preserve">industry </w:t>
      </w:r>
      <w:r w:rsidRPr="0094710F">
        <w:rPr>
          <w:rFonts w:ascii="Arial" w:eastAsiaTheme="majorEastAsia" w:hAnsi="Arial" w:cs="Arial"/>
          <w:bCs/>
        </w:rPr>
        <w:t xml:space="preserve">include recreational </w:t>
      </w:r>
      <w:r>
        <w:rPr>
          <w:rFonts w:ascii="Arial" w:eastAsiaTheme="majorEastAsia" w:hAnsi="Arial" w:cs="Arial"/>
          <w:bCs/>
        </w:rPr>
        <w:t>crabbers</w:t>
      </w:r>
      <w:r w:rsidRPr="0094710F">
        <w:rPr>
          <w:rFonts w:ascii="Arial" w:eastAsiaTheme="majorEastAsia" w:hAnsi="Arial" w:cs="Arial"/>
          <w:bCs/>
        </w:rPr>
        <w:t xml:space="preserve">, commercial </w:t>
      </w:r>
      <w:r>
        <w:rPr>
          <w:rFonts w:ascii="Arial" w:eastAsiaTheme="majorEastAsia" w:hAnsi="Arial" w:cs="Arial"/>
          <w:bCs/>
        </w:rPr>
        <w:t>crabbers</w:t>
      </w:r>
      <w:r w:rsidRPr="0094710F">
        <w:rPr>
          <w:rFonts w:ascii="Arial" w:eastAsiaTheme="majorEastAsia" w:hAnsi="Arial" w:cs="Arial"/>
          <w:bCs/>
        </w:rPr>
        <w:t xml:space="preserve"> and indigenous </w:t>
      </w:r>
      <w:r>
        <w:rPr>
          <w:rFonts w:ascii="Arial" w:eastAsiaTheme="majorEastAsia" w:hAnsi="Arial" w:cs="Arial"/>
          <w:bCs/>
        </w:rPr>
        <w:t>crabbers</w:t>
      </w:r>
      <w:r w:rsidRPr="0094710F">
        <w:rPr>
          <w:rFonts w:ascii="Arial" w:eastAsiaTheme="majorEastAsia" w:hAnsi="Arial" w:cs="Arial"/>
          <w:bCs/>
        </w:rPr>
        <w:t xml:space="preserve">. The </w:t>
      </w:r>
      <w:r>
        <w:rPr>
          <w:rFonts w:ascii="Arial" w:eastAsiaTheme="majorEastAsia" w:hAnsi="Arial" w:cs="Arial"/>
          <w:bCs/>
        </w:rPr>
        <w:t xml:space="preserve">mud crab fishery </w:t>
      </w:r>
      <w:r w:rsidRPr="0094710F">
        <w:rPr>
          <w:rFonts w:ascii="Arial" w:eastAsiaTheme="majorEastAsia" w:hAnsi="Arial" w:cs="Arial"/>
          <w:bCs/>
        </w:rPr>
        <w:t xml:space="preserve">extends from northern Australia </w:t>
      </w:r>
      <w:r>
        <w:rPr>
          <w:rFonts w:ascii="Arial" w:eastAsiaTheme="majorEastAsia" w:hAnsi="Arial" w:cs="Arial"/>
          <w:bCs/>
        </w:rPr>
        <w:t xml:space="preserve">including </w:t>
      </w:r>
      <w:r w:rsidRPr="0094710F">
        <w:rPr>
          <w:rFonts w:ascii="Arial" w:eastAsiaTheme="majorEastAsia" w:hAnsi="Arial" w:cs="Arial"/>
          <w:bCs/>
        </w:rPr>
        <w:t>Western Australia and the Northern Territory</w:t>
      </w:r>
      <w:r>
        <w:rPr>
          <w:rFonts w:ascii="Arial" w:eastAsiaTheme="majorEastAsia" w:hAnsi="Arial" w:cs="Arial"/>
          <w:bCs/>
        </w:rPr>
        <w:t xml:space="preserve"> (NT)</w:t>
      </w:r>
      <w:r w:rsidRPr="0094710F">
        <w:rPr>
          <w:rFonts w:ascii="Arial" w:eastAsiaTheme="majorEastAsia" w:hAnsi="Arial" w:cs="Arial"/>
          <w:bCs/>
        </w:rPr>
        <w:t xml:space="preserve">, through Queensland </w:t>
      </w:r>
      <w:r>
        <w:rPr>
          <w:rFonts w:ascii="Arial" w:eastAsiaTheme="majorEastAsia" w:hAnsi="Arial" w:cs="Arial"/>
          <w:bCs/>
        </w:rPr>
        <w:t xml:space="preserve">(QLD) </w:t>
      </w:r>
      <w:r w:rsidRPr="0094710F">
        <w:rPr>
          <w:rFonts w:ascii="Arial" w:eastAsiaTheme="majorEastAsia" w:hAnsi="Arial" w:cs="Arial"/>
          <w:bCs/>
        </w:rPr>
        <w:t>and into New South Wales</w:t>
      </w:r>
      <w:r>
        <w:rPr>
          <w:rFonts w:ascii="Arial" w:eastAsiaTheme="majorEastAsia" w:hAnsi="Arial" w:cs="Arial"/>
          <w:bCs/>
        </w:rPr>
        <w:t xml:space="preserve"> (NSW).</w:t>
      </w:r>
    </w:p>
    <w:p w:rsidR="00E378B5" w:rsidRDefault="00E378B5" w:rsidP="005173A2">
      <w:pPr>
        <w:spacing w:after="240"/>
        <w:rPr>
          <w:rFonts w:ascii="Arial" w:eastAsiaTheme="majorEastAsia" w:hAnsi="Arial" w:cs="Arial"/>
          <w:bCs/>
        </w:rPr>
      </w:pPr>
      <w:r w:rsidRPr="000C1968">
        <w:rPr>
          <w:rFonts w:ascii="Arial" w:eastAsiaTheme="majorEastAsia" w:hAnsi="Arial" w:cs="Arial"/>
          <w:bCs/>
        </w:rPr>
        <w:t xml:space="preserve">The total annual </w:t>
      </w:r>
      <w:r>
        <w:rPr>
          <w:rFonts w:ascii="Arial" w:eastAsiaTheme="majorEastAsia" w:hAnsi="Arial" w:cs="Arial"/>
          <w:bCs/>
        </w:rPr>
        <w:t xml:space="preserve">commercial harvest of mud crabs </w:t>
      </w:r>
      <w:r w:rsidRPr="000C1968">
        <w:rPr>
          <w:rFonts w:ascii="Arial" w:eastAsiaTheme="majorEastAsia" w:hAnsi="Arial" w:cs="Arial"/>
          <w:bCs/>
        </w:rPr>
        <w:t xml:space="preserve">varies but is in the order of 1,600 tonnes (FRDC, 2016a) having a value of around $40 million (1,600 tonnes x </w:t>
      </w:r>
      <w:r>
        <w:rPr>
          <w:rFonts w:ascii="Arial" w:eastAsiaTheme="majorEastAsia" w:hAnsi="Arial" w:cs="Arial"/>
          <w:bCs/>
        </w:rPr>
        <w:t xml:space="preserve">a conservative average value of </w:t>
      </w:r>
      <w:r w:rsidRPr="000C1968">
        <w:rPr>
          <w:rFonts w:ascii="Arial" w:eastAsiaTheme="majorEastAsia" w:hAnsi="Arial" w:cs="Arial"/>
          <w:bCs/>
        </w:rPr>
        <w:t>$25 per kg at harvest). Q</w:t>
      </w:r>
      <w:r>
        <w:rPr>
          <w:rFonts w:ascii="Arial" w:eastAsiaTheme="majorEastAsia" w:hAnsi="Arial" w:cs="Arial"/>
          <w:bCs/>
        </w:rPr>
        <w:t xml:space="preserve">LD and NSW </w:t>
      </w:r>
      <w:r w:rsidRPr="000C1968">
        <w:rPr>
          <w:rFonts w:ascii="Arial" w:eastAsiaTheme="majorEastAsia" w:hAnsi="Arial" w:cs="Arial"/>
          <w:bCs/>
        </w:rPr>
        <w:t xml:space="preserve">provide most of the annual commercial catch. A significant part of the total </w:t>
      </w:r>
      <w:r>
        <w:rPr>
          <w:rFonts w:ascii="Arial" w:eastAsiaTheme="majorEastAsia" w:hAnsi="Arial" w:cs="Arial"/>
          <w:bCs/>
        </w:rPr>
        <w:t xml:space="preserve">harvest </w:t>
      </w:r>
      <w:r w:rsidRPr="000C1968">
        <w:rPr>
          <w:rFonts w:ascii="Arial" w:eastAsiaTheme="majorEastAsia" w:hAnsi="Arial" w:cs="Arial"/>
          <w:bCs/>
        </w:rPr>
        <w:t>is for recreational and indigenous pur</w:t>
      </w:r>
      <w:r>
        <w:rPr>
          <w:rFonts w:ascii="Arial" w:eastAsiaTheme="majorEastAsia" w:hAnsi="Arial" w:cs="Arial"/>
          <w:bCs/>
        </w:rPr>
        <w:t>suits.</w:t>
      </w:r>
    </w:p>
    <w:p w:rsidR="00E378B5" w:rsidRPr="00992AAA" w:rsidRDefault="00E378B5" w:rsidP="00A0699E">
      <w:pPr>
        <w:spacing w:after="240"/>
        <w:rPr>
          <w:rFonts w:ascii="Arial" w:eastAsiaTheme="majorEastAsia" w:hAnsi="Arial" w:cs="Arial"/>
          <w:bCs/>
          <w:color w:val="000000" w:themeColor="text1"/>
        </w:rPr>
      </w:pPr>
      <w:r w:rsidRPr="00992AAA">
        <w:rPr>
          <w:rFonts w:ascii="Arial" w:eastAsiaTheme="majorEastAsia" w:hAnsi="Arial" w:cs="Arial"/>
          <w:bCs/>
          <w:color w:val="000000" w:themeColor="text1"/>
        </w:rPr>
        <w:t xml:space="preserve">Exact </w:t>
      </w:r>
      <w:r w:rsidRPr="005173A2">
        <w:rPr>
          <w:rFonts w:ascii="Arial" w:eastAsiaTheme="majorEastAsia" w:hAnsi="Arial" w:cs="Arial"/>
          <w:bCs/>
        </w:rPr>
        <w:t>production</w:t>
      </w:r>
      <w:r w:rsidRPr="00992AAA">
        <w:rPr>
          <w:rFonts w:ascii="Arial" w:eastAsiaTheme="majorEastAsia" w:hAnsi="Arial" w:cs="Arial"/>
          <w:bCs/>
          <w:color w:val="000000" w:themeColor="text1"/>
        </w:rPr>
        <w:t xml:space="preserve"> figures are difficult to ascertain as the usual source of such</w:t>
      </w:r>
      <w:r w:rsidR="00A0699E">
        <w:rPr>
          <w:rFonts w:ascii="Arial" w:eastAsiaTheme="majorEastAsia" w:hAnsi="Arial" w:cs="Arial"/>
          <w:bCs/>
          <w:color w:val="000000" w:themeColor="text1"/>
        </w:rPr>
        <w:t xml:space="preserve"> </w:t>
      </w:r>
      <w:r w:rsidRPr="00992AAA">
        <w:rPr>
          <w:rFonts w:ascii="Arial" w:eastAsiaTheme="majorEastAsia" w:hAnsi="Arial" w:cs="Arial"/>
          <w:bCs/>
          <w:color w:val="000000" w:themeColor="text1"/>
        </w:rPr>
        <w:t>data collection, the Australian Bureau of Agriculture and Resource Economics and</w:t>
      </w:r>
      <w:r w:rsidR="00A0699E">
        <w:rPr>
          <w:rFonts w:ascii="Arial" w:eastAsiaTheme="majorEastAsia" w:hAnsi="Arial" w:cs="Arial"/>
          <w:bCs/>
          <w:color w:val="000000" w:themeColor="text1"/>
        </w:rPr>
        <w:t xml:space="preserve"> </w:t>
      </w:r>
      <w:r w:rsidRPr="00992AAA">
        <w:rPr>
          <w:rFonts w:ascii="Arial" w:eastAsiaTheme="majorEastAsia" w:hAnsi="Arial" w:cs="Arial"/>
          <w:bCs/>
          <w:color w:val="000000" w:themeColor="text1"/>
        </w:rPr>
        <w:t>Sciences (ABARES) does not differentiate mud crab</w:t>
      </w:r>
      <w:r>
        <w:rPr>
          <w:rFonts w:ascii="Arial" w:eastAsiaTheme="majorEastAsia" w:hAnsi="Arial" w:cs="Arial"/>
          <w:bCs/>
          <w:color w:val="000000" w:themeColor="text1"/>
        </w:rPr>
        <w:t>s</w:t>
      </w:r>
      <w:r w:rsidRPr="00992AAA">
        <w:rPr>
          <w:rFonts w:ascii="Arial" w:eastAsiaTheme="majorEastAsia" w:hAnsi="Arial" w:cs="Arial"/>
          <w:bCs/>
          <w:color w:val="000000" w:themeColor="text1"/>
        </w:rPr>
        <w:t xml:space="preserve"> as a separate </w:t>
      </w:r>
      <w:r>
        <w:rPr>
          <w:rFonts w:ascii="Arial" w:eastAsiaTheme="majorEastAsia" w:hAnsi="Arial" w:cs="Arial"/>
          <w:bCs/>
          <w:color w:val="000000" w:themeColor="text1"/>
        </w:rPr>
        <w:t xml:space="preserve">species; they are included </w:t>
      </w:r>
      <w:r w:rsidRPr="00992AAA">
        <w:rPr>
          <w:rFonts w:ascii="Arial" w:eastAsiaTheme="majorEastAsia" w:hAnsi="Arial" w:cs="Arial"/>
          <w:bCs/>
          <w:color w:val="000000" w:themeColor="text1"/>
        </w:rPr>
        <w:t>under the combined grouping of</w:t>
      </w:r>
      <w:r>
        <w:rPr>
          <w:rFonts w:ascii="Arial" w:eastAsiaTheme="majorEastAsia" w:hAnsi="Arial" w:cs="Arial"/>
          <w:bCs/>
          <w:color w:val="000000" w:themeColor="text1"/>
        </w:rPr>
        <w:t xml:space="preserve"> </w:t>
      </w:r>
      <w:r w:rsidRPr="00992AAA">
        <w:rPr>
          <w:rFonts w:ascii="Arial" w:eastAsiaTheme="majorEastAsia" w:hAnsi="Arial" w:cs="Arial"/>
          <w:bCs/>
          <w:color w:val="000000" w:themeColor="text1"/>
        </w:rPr>
        <w:t>‘</w:t>
      </w:r>
      <w:r>
        <w:rPr>
          <w:rFonts w:ascii="Arial" w:eastAsiaTheme="majorEastAsia" w:hAnsi="Arial" w:cs="Arial"/>
          <w:bCs/>
          <w:color w:val="000000" w:themeColor="text1"/>
        </w:rPr>
        <w:t>crab</w:t>
      </w:r>
      <w:r w:rsidRPr="00992AAA">
        <w:rPr>
          <w:rFonts w:ascii="Arial" w:eastAsiaTheme="majorEastAsia" w:hAnsi="Arial" w:cs="Arial"/>
          <w:bCs/>
          <w:color w:val="000000" w:themeColor="text1"/>
        </w:rPr>
        <w:t xml:space="preserve">’ which also contains sand and spanner </w:t>
      </w:r>
      <w:r>
        <w:rPr>
          <w:rFonts w:ascii="Arial" w:eastAsiaTheme="majorEastAsia" w:hAnsi="Arial" w:cs="Arial"/>
          <w:bCs/>
          <w:color w:val="000000" w:themeColor="text1"/>
        </w:rPr>
        <w:t>crabs</w:t>
      </w:r>
      <w:r w:rsidRPr="00992AAA">
        <w:rPr>
          <w:rFonts w:ascii="Arial" w:eastAsiaTheme="majorEastAsia" w:hAnsi="Arial" w:cs="Arial"/>
          <w:bCs/>
          <w:color w:val="000000" w:themeColor="text1"/>
        </w:rPr>
        <w:t xml:space="preserve"> (Poole et al, 2012). </w:t>
      </w:r>
    </w:p>
    <w:p w:rsidR="00E378B5" w:rsidRDefault="00E378B5" w:rsidP="005173A2">
      <w:pPr>
        <w:spacing w:after="240"/>
        <w:rPr>
          <w:rFonts w:ascii="Arial" w:eastAsiaTheme="majorEastAsia" w:hAnsi="Arial" w:cs="Arial"/>
          <w:bCs/>
          <w:color w:val="000000" w:themeColor="text1"/>
        </w:rPr>
      </w:pPr>
      <w:r w:rsidRPr="00556A22">
        <w:rPr>
          <w:rFonts w:ascii="Arial" w:eastAsiaTheme="majorEastAsia" w:hAnsi="Arial" w:cs="Arial"/>
          <w:bCs/>
          <w:color w:val="000000" w:themeColor="text1"/>
        </w:rPr>
        <w:t>In comparison to the production and value of the mainstream Australian crustacean wild catch (prawns and lobsters)</w:t>
      </w:r>
      <w:r>
        <w:rPr>
          <w:rFonts w:ascii="Arial" w:eastAsiaTheme="majorEastAsia" w:hAnsi="Arial" w:cs="Arial"/>
          <w:bCs/>
          <w:color w:val="000000" w:themeColor="text1"/>
        </w:rPr>
        <w:t>,</w:t>
      </w:r>
      <w:r w:rsidRPr="00556A22">
        <w:rPr>
          <w:rFonts w:ascii="Arial" w:eastAsiaTheme="majorEastAsia" w:hAnsi="Arial" w:cs="Arial"/>
          <w:bCs/>
          <w:color w:val="000000" w:themeColor="text1"/>
        </w:rPr>
        <w:t xml:space="preserve"> </w:t>
      </w:r>
      <w:r>
        <w:rPr>
          <w:rFonts w:ascii="Arial" w:eastAsiaTheme="majorEastAsia" w:hAnsi="Arial" w:cs="Arial"/>
          <w:bCs/>
          <w:color w:val="000000" w:themeColor="text1"/>
        </w:rPr>
        <w:t>crabs</w:t>
      </w:r>
      <w:r w:rsidRPr="00556A22">
        <w:rPr>
          <w:rFonts w:ascii="Arial" w:eastAsiaTheme="majorEastAsia" w:hAnsi="Arial" w:cs="Arial"/>
          <w:bCs/>
          <w:color w:val="000000" w:themeColor="text1"/>
        </w:rPr>
        <w:t xml:space="preserve"> are relatively minor. Nevertheless, the mud crab fishery in the NT is one of the most valuable wild catch fisheries in that jurisdiction</w:t>
      </w:r>
      <w:r>
        <w:rPr>
          <w:rFonts w:ascii="Arial" w:eastAsiaTheme="majorEastAsia" w:hAnsi="Arial" w:cs="Arial"/>
          <w:bCs/>
          <w:color w:val="000000" w:themeColor="text1"/>
        </w:rPr>
        <w:t>.</w:t>
      </w:r>
      <w:r w:rsidRPr="00556A22">
        <w:rPr>
          <w:rFonts w:ascii="Arial" w:eastAsiaTheme="majorEastAsia" w:hAnsi="Arial" w:cs="Arial"/>
          <w:bCs/>
          <w:color w:val="000000" w:themeColor="text1"/>
        </w:rPr>
        <w:t xml:space="preserve"> </w:t>
      </w:r>
      <w:r>
        <w:rPr>
          <w:rFonts w:ascii="Arial" w:eastAsiaTheme="majorEastAsia" w:hAnsi="Arial" w:cs="Arial"/>
          <w:bCs/>
          <w:color w:val="000000" w:themeColor="text1"/>
        </w:rPr>
        <w:t>F</w:t>
      </w:r>
      <w:r w:rsidRPr="00556A22">
        <w:rPr>
          <w:rFonts w:ascii="Arial" w:eastAsiaTheme="majorEastAsia" w:hAnsi="Arial" w:cs="Arial"/>
          <w:bCs/>
          <w:color w:val="000000" w:themeColor="text1"/>
        </w:rPr>
        <w:t>or example, in the year ended June 2014, mud crab production constituted 15 per cent of a total NT wild-catch production by value of $31 million (ABARES, 2014, p22).</w:t>
      </w:r>
    </w:p>
    <w:p w:rsidR="00E378B5" w:rsidRDefault="00E378B5" w:rsidP="005173A2">
      <w:pPr>
        <w:spacing w:after="240"/>
        <w:rPr>
          <w:rFonts w:ascii="Arial" w:hAnsi="Arial" w:cs="Arial"/>
          <w:color w:val="000000" w:themeColor="text1"/>
        </w:rPr>
      </w:pPr>
      <w:r w:rsidRPr="00992AAA">
        <w:rPr>
          <w:rFonts w:ascii="Arial" w:eastAsiaTheme="majorEastAsia" w:hAnsi="Arial" w:cs="Arial"/>
          <w:bCs/>
          <w:color w:val="000000" w:themeColor="text1"/>
        </w:rPr>
        <w:t>Poole at al</w:t>
      </w:r>
      <w:r>
        <w:rPr>
          <w:rFonts w:ascii="Arial" w:eastAsiaTheme="majorEastAsia" w:hAnsi="Arial" w:cs="Arial"/>
          <w:bCs/>
          <w:color w:val="000000" w:themeColor="text1"/>
        </w:rPr>
        <w:t>.</w:t>
      </w:r>
      <w:r w:rsidRPr="00992AAA">
        <w:rPr>
          <w:rFonts w:ascii="Arial" w:eastAsiaTheme="majorEastAsia" w:hAnsi="Arial" w:cs="Arial"/>
          <w:bCs/>
          <w:color w:val="000000" w:themeColor="text1"/>
        </w:rPr>
        <w:t xml:space="preserve"> (2012) report that o</w:t>
      </w:r>
      <w:r w:rsidRPr="00992AAA">
        <w:rPr>
          <w:rFonts w:ascii="Arial" w:hAnsi="Arial" w:cs="Arial"/>
          <w:color w:val="000000" w:themeColor="text1"/>
        </w:rPr>
        <w:t>ver the four years up to 2012, the</w:t>
      </w:r>
      <w:r>
        <w:rPr>
          <w:rFonts w:ascii="Arial" w:hAnsi="Arial" w:cs="Arial"/>
          <w:color w:val="000000" w:themeColor="text1"/>
        </w:rPr>
        <w:t xml:space="preserve"> </w:t>
      </w:r>
      <w:r w:rsidRPr="00992AAA">
        <w:rPr>
          <w:rFonts w:ascii="Arial" w:hAnsi="Arial" w:cs="Arial"/>
          <w:color w:val="000000" w:themeColor="text1"/>
        </w:rPr>
        <w:t xml:space="preserve">value of mud </w:t>
      </w:r>
      <w:r>
        <w:rPr>
          <w:rFonts w:ascii="Arial" w:hAnsi="Arial" w:cs="Arial"/>
          <w:color w:val="000000" w:themeColor="text1"/>
        </w:rPr>
        <w:t>crabs</w:t>
      </w:r>
      <w:r w:rsidRPr="00992AAA">
        <w:rPr>
          <w:rFonts w:ascii="Arial" w:hAnsi="Arial" w:cs="Arial"/>
          <w:color w:val="000000" w:themeColor="text1"/>
        </w:rPr>
        <w:t xml:space="preserve"> sold through the Sydney Fish Market (SFM) increased to</w:t>
      </w:r>
      <w:r>
        <w:rPr>
          <w:rFonts w:ascii="Arial" w:hAnsi="Arial" w:cs="Arial"/>
          <w:color w:val="000000" w:themeColor="text1"/>
        </w:rPr>
        <w:t xml:space="preserve"> </w:t>
      </w:r>
      <w:r w:rsidRPr="00992AAA">
        <w:rPr>
          <w:rFonts w:ascii="Arial" w:hAnsi="Arial" w:cs="Arial"/>
          <w:color w:val="000000" w:themeColor="text1"/>
        </w:rPr>
        <w:t>number one positioning</w:t>
      </w:r>
      <w:r>
        <w:rPr>
          <w:rFonts w:ascii="Arial" w:hAnsi="Arial" w:cs="Arial"/>
          <w:color w:val="000000" w:themeColor="text1"/>
        </w:rPr>
        <w:t>, with a value</w:t>
      </w:r>
      <w:r w:rsidRPr="00992AAA">
        <w:rPr>
          <w:rFonts w:ascii="Arial" w:hAnsi="Arial" w:cs="Arial"/>
          <w:color w:val="000000" w:themeColor="text1"/>
        </w:rPr>
        <w:t xml:space="preserve"> close to $10M. </w:t>
      </w:r>
      <w:r w:rsidRPr="005173A2">
        <w:rPr>
          <w:rFonts w:ascii="Arial" w:eastAsiaTheme="majorEastAsia" w:hAnsi="Arial" w:cs="Arial"/>
          <w:bCs/>
          <w:color w:val="000000" w:themeColor="text1"/>
        </w:rPr>
        <w:t>The</w:t>
      </w:r>
      <w:r>
        <w:rPr>
          <w:rFonts w:ascii="Arial" w:hAnsi="Arial" w:cs="Arial"/>
          <w:color w:val="000000" w:themeColor="text1"/>
        </w:rPr>
        <w:t xml:space="preserve"> then c</w:t>
      </w:r>
      <w:r w:rsidRPr="00992AAA">
        <w:rPr>
          <w:rFonts w:ascii="Arial" w:hAnsi="Arial" w:cs="Arial"/>
          <w:color w:val="000000" w:themeColor="text1"/>
        </w:rPr>
        <w:t>urrent 2012 SFM data show</w:t>
      </w:r>
      <w:r>
        <w:rPr>
          <w:rFonts w:ascii="Arial" w:hAnsi="Arial" w:cs="Arial"/>
          <w:color w:val="000000" w:themeColor="text1"/>
        </w:rPr>
        <w:t>ed</w:t>
      </w:r>
      <w:r w:rsidRPr="00992AAA">
        <w:rPr>
          <w:rFonts w:ascii="Arial" w:hAnsi="Arial" w:cs="Arial"/>
          <w:color w:val="000000" w:themeColor="text1"/>
        </w:rPr>
        <w:t xml:space="preserve"> that</w:t>
      </w:r>
      <w:r>
        <w:rPr>
          <w:rFonts w:ascii="Arial" w:hAnsi="Arial" w:cs="Arial"/>
          <w:color w:val="000000" w:themeColor="text1"/>
        </w:rPr>
        <w:t xml:space="preserve"> </w:t>
      </w:r>
      <w:r w:rsidRPr="00992AAA">
        <w:rPr>
          <w:rFonts w:ascii="Arial" w:hAnsi="Arial" w:cs="Arial"/>
          <w:color w:val="000000" w:themeColor="text1"/>
        </w:rPr>
        <w:t xml:space="preserve">mud </w:t>
      </w:r>
      <w:r>
        <w:rPr>
          <w:rFonts w:ascii="Arial" w:hAnsi="Arial" w:cs="Arial"/>
          <w:color w:val="000000" w:themeColor="text1"/>
        </w:rPr>
        <w:t>crabs</w:t>
      </w:r>
      <w:r w:rsidRPr="00992AAA">
        <w:rPr>
          <w:rFonts w:ascii="Arial" w:hAnsi="Arial" w:cs="Arial"/>
          <w:color w:val="000000" w:themeColor="text1"/>
        </w:rPr>
        <w:t xml:space="preserve"> </w:t>
      </w:r>
      <w:r>
        <w:rPr>
          <w:rFonts w:ascii="Arial" w:hAnsi="Arial" w:cs="Arial"/>
          <w:color w:val="000000" w:themeColor="text1"/>
        </w:rPr>
        <w:t>were</w:t>
      </w:r>
      <w:r w:rsidRPr="00992AAA">
        <w:rPr>
          <w:rFonts w:ascii="Arial" w:hAnsi="Arial" w:cs="Arial"/>
          <w:color w:val="000000" w:themeColor="text1"/>
        </w:rPr>
        <w:t xml:space="preserve"> also the most important product commodity through the </w:t>
      </w:r>
      <w:r>
        <w:rPr>
          <w:rFonts w:ascii="Arial" w:hAnsi="Arial" w:cs="Arial"/>
          <w:color w:val="000000" w:themeColor="text1"/>
        </w:rPr>
        <w:t xml:space="preserve">SFM </w:t>
      </w:r>
      <w:r w:rsidRPr="00992AAA">
        <w:rPr>
          <w:rFonts w:ascii="Arial" w:hAnsi="Arial" w:cs="Arial"/>
          <w:color w:val="000000" w:themeColor="text1"/>
        </w:rPr>
        <w:t>by</w:t>
      </w:r>
      <w:r>
        <w:rPr>
          <w:rFonts w:ascii="Arial" w:hAnsi="Arial" w:cs="Arial"/>
          <w:color w:val="000000" w:themeColor="text1"/>
        </w:rPr>
        <w:t xml:space="preserve"> </w:t>
      </w:r>
      <w:r w:rsidRPr="00992AAA">
        <w:rPr>
          <w:rFonts w:ascii="Arial" w:hAnsi="Arial" w:cs="Arial"/>
          <w:color w:val="000000" w:themeColor="text1"/>
        </w:rPr>
        <w:t>volume.</w:t>
      </w:r>
      <w:r>
        <w:rPr>
          <w:rFonts w:ascii="Arial" w:hAnsi="Arial" w:cs="Arial"/>
          <w:color w:val="000000" w:themeColor="text1"/>
        </w:rPr>
        <w:t xml:space="preserve"> </w:t>
      </w:r>
      <w:r w:rsidRPr="001F7380">
        <w:rPr>
          <w:rFonts w:ascii="Arial" w:hAnsi="Arial" w:cs="Arial"/>
          <w:color w:val="000000" w:themeColor="text1"/>
        </w:rPr>
        <w:t>SFM is the major wholesaler of mud crab in Australia and runs the only live auction</w:t>
      </w:r>
      <w:r>
        <w:rPr>
          <w:rFonts w:ascii="Arial" w:hAnsi="Arial" w:cs="Arial"/>
          <w:color w:val="000000" w:themeColor="text1"/>
        </w:rPr>
        <w:t xml:space="preserve"> </w:t>
      </w:r>
      <w:r w:rsidRPr="001F7380">
        <w:rPr>
          <w:rFonts w:ascii="Arial" w:hAnsi="Arial" w:cs="Arial"/>
          <w:color w:val="000000" w:themeColor="text1"/>
        </w:rPr>
        <w:t>as the sale mechanism.</w:t>
      </w:r>
      <w:r>
        <w:rPr>
          <w:rFonts w:ascii="Arial" w:hAnsi="Arial" w:cs="Arial"/>
          <w:color w:val="000000" w:themeColor="text1"/>
        </w:rPr>
        <w:t xml:space="preserve"> Poole et al (2012) also state:</w:t>
      </w:r>
    </w:p>
    <w:p w:rsidR="00E378B5" w:rsidRPr="00A31872" w:rsidRDefault="00E378B5" w:rsidP="00E378B5">
      <w:pPr>
        <w:rPr>
          <w:rFonts w:ascii="Arial" w:hAnsi="Arial" w:cs="Arial"/>
          <w:i/>
          <w:color w:val="000000" w:themeColor="text1"/>
        </w:rPr>
      </w:pPr>
      <w:r>
        <w:rPr>
          <w:rFonts w:ascii="Arial" w:hAnsi="Arial" w:cs="Arial"/>
          <w:i/>
          <w:color w:val="000000" w:themeColor="text1"/>
        </w:rPr>
        <w:t>‘</w:t>
      </w:r>
      <w:r w:rsidRPr="00A31872">
        <w:rPr>
          <w:rFonts w:ascii="Arial" w:hAnsi="Arial" w:cs="Arial"/>
          <w:i/>
          <w:color w:val="000000" w:themeColor="text1"/>
        </w:rPr>
        <w:t>Mud crab is a highly valuable resource for commercial fisheries in the northern half</w:t>
      </w:r>
    </w:p>
    <w:p w:rsidR="00E378B5" w:rsidRPr="00A31872" w:rsidRDefault="00E378B5" w:rsidP="00E378B5">
      <w:pPr>
        <w:rPr>
          <w:rFonts w:ascii="Arial" w:hAnsi="Arial" w:cs="Arial"/>
          <w:i/>
          <w:color w:val="000000" w:themeColor="text1"/>
        </w:rPr>
      </w:pPr>
      <w:r w:rsidRPr="00A31872">
        <w:rPr>
          <w:rFonts w:ascii="Arial" w:hAnsi="Arial" w:cs="Arial"/>
          <w:i/>
          <w:color w:val="000000" w:themeColor="text1"/>
        </w:rPr>
        <w:t>of Australia, currently returning $35M to the harvest sector and an estimate of over</w:t>
      </w:r>
    </w:p>
    <w:p w:rsidR="00E378B5" w:rsidRPr="00A31872" w:rsidRDefault="00E378B5" w:rsidP="00A0699E">
      <w:pPr>
        <w:spacing w:after="240"/>
        <w:rPr>
          <w:rFonts w:ascii="Arial" w:hAnsi="Arial" w:cs="Arial"/>
          <w:i/>
          <w:color w:val="000000" w:themeColor="text1"/>
        </w:rPr>
      </w:pPr>
      <w:r w:rsidRPr="00A31872">
        <w:rPr>
          <w:rFonts w:ascii="Arial" w:hAnsi="Arial" w:cs="Arial"/>
          <w:i/>
          <w:color w:val="000000" w:themeColor="text1"/>
        </w:rPr>
        <w:t>$100M within the retail/restaurant sector</w:t>
      </w:r>
      <w:r>
        <w:rPr>
          <w:rFonts w:ascii="Arial" w:hAnsi="Arial" w:cs="Arial"/>
          <w:i/>
          <w:color w:val="000000" w:themeColor="text1"/>
        </w:rPr>
        <w:t>’</w:t>
      </w:r>
      <w:r w:rsidRPr="00A31872">
        <w:rPr>
          <w:rFonts w:ascii="Arial" w:hAnsi="Arial" w:cs="Arial"/>
          <w:i/>
          <w:color w:val="000000" w:themeColor="text1"/>
        </w:rPr>
        <w:t>.</w:t>
      </w:r>
    </w:p>
    <w:p w:rsidR="00E378B5" w:rsidRDefault="00E378B5" w:rsidP="00A0699E">
      <w:pPr>
        <w:spacing w:after="240"/>
        <w:rPr>
          <w:rFonts w:ascii="Arial" w:eastAsiaTheme="majorEastAsia" w:hAnsi="Arial" w:cs="Arial"/>
          <w:bCs/>
        </w:rPr>
      </w:pPr>
      <w:r>
        <w:rPr>
          <w:rFonts w:ascii="Arial" w:eastAsiaTheme="majorEastAsia" w:hAnsi="Arial" w:cs="Arial"/>
          <w:bCs/>
        </w:rPr>
        <w:t xml:space="preserve">Most mud crab fisheries are considered “sustainable” (FRDC, 2016a), except for the Western Gulf (considered a transitional depleting stock) and the Estuary General fishery in NSW (considered undefined). </w:t>
      </w:r>
    </w:p>
    <w:p w:rsidR="00E378B5" w:rsidRDefault="00E378B5" w:rsidP="00A0699E">
      <w:pPr>
        <w:spacing w:after="240"/>
        <w:rPr>
          <w:rFonts w:ascii="Arial" w:eastAsiaTheme="majorEastAsia" w:hAnsi="Arial" w:cs="Arial"/>
          <w:bCs/>
        </w:rPr>
      </w:pPr>
      <w:r w:rsidRPr="0094710F">
        <w:rPr>
          <w:rFonts w:ascii="Arial" w:eastAsiaTheme="majorEastAsia" w:hAnsi="Arial" w:cs="Arial"/>
          <w:bCs/>
        </w:rPr>
        <w:t xml:space="preserve">There are regulations on the mud crab </w:t>
      </w:r>
      <w:r>
        <w:rPr>
          <w:rFonts w:ascii="Arial" w:eastAsiaTheme="majorEastAsia" w:hAnsi="Arial" w:cs="Arial"/>
          <w:bCs/>
        </w:rPr>
        <w:t>harvest. Regulations general vary between fisheries. F</w:t>
      </w:r>
      <w:r w:rsidRPr="0094710F">
        <w:rPr>
          <w:rFonts w:ascii="Arial" w:eastAsiaTheme="majorEastAsia" w:hAnsi="Arial" w:cs="Arial"/>
          <w:bCs/>
        </w:rPr>
        <w:t xml:space="preserve">or example, female mud </w:t>
      </w:r>
      <w:r>
        <w:rPr>
          <w:rFonts w:ascii="Arial" w:eastAsiaTheme="majorEastAsia" w:hAnsi="Arial" w:cs="Arial"/>
          <w:bCs/>
        </w:rPr>
        <w:t>crabs</w:t>
      </w:r>
      <w:r w:rsidRPr="0094710F">
        <w:rPr>
          <w:rFonts w:ascii="Arial" w:eastAsiaTheme="majorEastAsia" w:hAnsi="Arial" w:cs="Arial"/>
          <w:bCs/>
        </w:rPr>
        <w:t xml:space="preserve"> cannot be </w:t>
      </w:r>
      <w:r>
        <w:rPr>
          <w:rFonts w:ascii="Arial" w:eastAsiaTheme="majorEastAsia" w:hAnsi="Arial" w:cs="Arial"/>
          <w:bCs/>
        </w:rPr>
        <w:t xml:space="preserve">harvested in Queensland fisheries and minimum </w:t>
      </w:r>
      <w:r w:rsidRPr="0094710F">
        <w:rPr>
          <w:rFonts w:ascii="Arial" w:eastAsiaTheme="majorEastAsia" w:hAnsi="Arial" w:cs="Arial"/>
          <w:bCs/>
        </w:rPr>
        <w:t>size</w:t>
      </w:r>
      <w:r>
        <w:rPr>
          <w:rFonts w:ascii="Arial" w:eastAsiaTheme="majorEastAsia" w:hAnsi="Arial" w:cs="Arial"/>
          <w:bCs/>
        </w:rPr>
        <w:t xml:space="preserve"> constraints exist in all fisheries. </w:t>
      </w:r>
    </w:p>
    <w:p w:rsidR="00E378B5" w:rsidRDefault="00E378B5" w:rsidP="00A0699E">
      <w:pPr>
        <w:spacing w:after="240"/>
        <w:rPr>
          <w:rFonts w:ascii="Arial" w:eastAsiaTheme="majorEastAsia" w:hAnsi="Arial" w:cs="Arial"/>
          <w:bCs/>
        </w:rPr>
      </w:pPr>
      <w:r>
        <w:rPr>
          <w:rFonts w:ascii="Arial" w:eastAsiaTheme="majorEastAsia" w:hAnsi="Arial" w:cs="Arial"/>
          <w:bCs/>
        </w:rPr>
        <w:t xml:space="preserve">The largest commercial fisheries by tonnage are the Gulf of Carpentaria and the East Coast fishery (both in QLD jurisdictions) making up about 75% of the total Australian commercial catch as estimated subjectively from the catch chart in FRDC (2016a). This would be followed by NSW and then the NT, with Western Australia making only a minor contribution. </w:t>
      </w:r>
    </w:p>
    <w:p w:rsidR="00E378B5" w:rsidRPr="0094710F" w:rsidRDefault="00E378B5" w:rsidP="00A0699E">
      <w:pPr>
        <w:spacing w:after="240"/>
        <w:rPr>
          <w:rFonts w:ascii="Arial" w:eastAsiaTheme="majorEastAsia" w:hAnsi="Arial" w:cs="Arial"/>
          <w:b/>
          <w:bCs/>
          <w:sz w:val="24"/>
        </w:rPr>
      </w:pPr>
      <w:r w:rsidRPr="0094710F">
        <w:rPr>
          <w:rFonts w:ascii="Arial" w:eastAsiaTheme="majorEastAsia" w:hAnsi="Arial" w:cs="Arial"/>
          <w:b/>
          <w:bCs/>
          <w:sz w:val="24"/>
        </w:rPr>
        <w:t xml:space="preserve">Rationale for the </w:t>
      </w:r>
      <w:r>
        <w:rPr>
          <w:rFonts w:ascii="Arial" w:eastAsiaTheme="majorEastAsia" w:hAnsi="Arial" w:cs="Arial"/>
          <w:b/>
          <w:bCs/>
          <w:sz w:val="24"/>
        </w:rPr>
        <w:t>P</w:t>
      </w:r>
      <w:r w:rsidRPr="0094710F">
        <w:rPr>
          <w:rFonts w:ascii="Arial" w:eastAsiaTheme="majorEastAsia" w:hAnsi="Arial" w:cs="Arial"/>
          <w:b/>
          <w:bCs/>
          <w:sz w:val="24"/>
        </w:rPr>
        <w:t xml:space="preserve">roject </w:t>
      </w:r>
    </w:p>
    <w:p w:rsidR="00E378B5" w:rsidRDefault="00E378B5" w:rsidP="00A0699E">
      <w:pPr>
        <w:spacing w:after="240"/>
        <w:rPr>
          <w:rFonts w:ascii="Arial" w:hAnsi="Arial" w:cs="Arial"/>
          <w:lang w:eastAsia="en-AU"/>
        </w:rPr>
      </w:pPr>
      <w:r w:rsidRPr="00C244C7">
        <w:rPr>
          <w:rFonts w:ascii="Arial" w:hAnsi="Arial" w:cs="Arial"/>
          <w:lang w:eastAsia="en-AU"/>
        </w:rPr>
        <w:t>A new Australian Industry Live Mud Crab Grading Scheme (AILMCGS</w:t>
      </w:r>
      <w:r>
        <w:rPr>
          <w:rFonts w:ascii="Arial" w:hAnsi="Arial" w:cs="Arial"/>
          <w:lang w:eastAsia="en-AU"/>
        </w:rPr>
        <w:t xml:space="preserve"> Version 1</w:t>
      </w:r>
      <w:r w:rsidRPr="00C244C7">
        <w:rPr>
          <w:rFonts w:ascii="Arial" w:hAnsi="Arial" w:cs="Arial"/>
          <w:lang w:eastAsia="en-AU"/>
        </w:rPr>
        <w:t>) had been developed and implemented in 2012</w:t>
      </w:r>
      <w:r>
        <w:rPr>
          <w:rFonts w:ascii="Arial" w:hAnsi="Arial" w:cs="Arial"/>
          <w:lang w:eastAsia="en-AU"/>
        </w:rPr>
        <w:t>. This scheme was a result of a previous FRDC project 2011/225, entitled – ‘Using industry expertise to develop a National Grading Scheme’.</w:t>
      </w:r>
      <w:r w:rsidRPr="00C244C7">
        <w:rPr>
          <w:rFonts w:ascii="Arial" w:hAnsi="Arial" w:cs="Arial"/>
          <w:lang w:eastAsia="en-AU"/>
        </w:rPr>
        <w:t xml:space="preserve"> </w:t>
      </w:r>
      <w:r>
        <w:rPr>
          <w:rFonts w:ascii="Arial" w:hAnsi="Arial" w:cs="Arial"/>
          <w:lang w:eastAsia="en-AU"/>
        </w:rPr>
        <w:t xml:space="preserve">Before this first Australia-wide scheme, different grading schemes operated for crabs caught in different regions. </w:t>
      </w:r>
    </w:p>
    <w:p w:rsidR="00E378B5" w:rsidRDefault="00E378B5" w:rsidP="00A0699E">
      <w:pPr>
        <w:spacing w:after="240"/>
        <w:rPr>
          <w:rFonts w:ascii="Arial" w:hAnsi="Arial" w:cs="Arial"/>
          <w:lang w:eastAsia="en-AU"/>
        </w:rPr>
      </w:pPr>
      <w:r>
        <w:rPr>
          <w:rFonts w:ascii="Arial" w:hAnsi="Arial" w:cs="Arial"/>
          <w:lang w:eastAsia="en-AU"/>
        </w:rPr>
        <w:t>AILMCGS Version 1 was developed by the National Mud Crab Industry Reference Group NMCIRG). In the new scheme, c</w:t>
      </w:r>
      <w:r w:rsidRPr="00C244C7">
        <w:rPr>
          <w:rFonts w:ascii="Arial" w:hAnsi="Arial" w:cs="Arial"/>
          <w:lang w:eastAsia="en-AU"/>
        </w:rPr>
        <w:t xml:space="preserve">rab lots were graded A, B, and C </w:t>
      </w:r>
      <w:r>
        <w:rPr>
          <w:rFonts w:ascii="Arial" w:hAnsi="Arial" w:cs="Arial"/>
          <w:lang w:eastAsia="en-AU"/>
        </w:rPr>
        <w:t xml:space="preserve">based on </w:t>
      </w:r>
      <w:r w:rsidRPr="00C244C7">
        <w:rPr>
          <w:rFonts w:ascii="Arial" w:hAnsi="Arial" w:cs="Arial"/>
          <w:lang w:eastAsia="en-AU"/>
        </w:rPr>
        <w:t>various criteria</w:t>
      </w:r>
      <w:r>
        <w:rPr>
          <w:rFonts w:ascii="Arial" w:hAnsi="Arial" w:cs="Arial"/>
          <w:lang w:eastAsia="en-AU"/>
        </w:rPr>
        <w:t>. The development of the scheme and its final design is described in Calogeras et al (2012) and summarised in Figure 1.</w:t>
      </w:r>
    </w:p>
    <w:p w:rsidR="00E378B5" w:rsidRPr="00E86ACB" w:rsidRDefault="00E378B5" w:rsidP="00E86ACB">
      <w:pPr>
        <w:pStyle w:val="Caption"/>
        <w:spacing w:after="240"/>
        <w:jc w:val="center"/>
        <w:rPr>
          <w:rFonts w:ascii="Arial" w:hAnsi="Arial"/>
          <w:b w:val="0"/>
          <w:i/>
          <w:color w:val="000000" w:themeColor="text1"/>
          <w:sz w:val="22"/>
          <w:szCs w:val="22"/>
        </w:rPr>
      </w:pPr>
      <w:bookmarkStart w:id="73" w:name="_Toc476387759"/>
      <w:r w:rsidRPr="00E86ACB">
        <w:rPr>
          <w:rFonts w:ascii="Arial" w:hAnsi="Arial"/>
          <w:b w:val="0"/>
          <w:color w:val="000000" w:themeColor="text1"/>
          <w:sz w:val="22"/>
          <w:szCs w:val="22"/>
        </w:rPr>
        <w:t xml:space="preserve">Figure </w:t>
      </w:r>
      <w:r w:rsidRPr="00E86ACB">
        <w:rPr>
          <w:rFonts w:ascii="Arial" w:hAnsi="Arial"/>
          <w:b w:val="0"/>
          <w:i/>
          <w:color w:val="000000" w:themeColor="text1"/>
          <w:sz w:val="22"/>
          <w:szCs w:val="22"/>
        </w:rPr>
        <w:fldChar w:fldCharType="begin"/>
      </w:r>
      <w:r w:rsidRPr="00E86ACB">
        <w:rPr>
          <w:rFonts w:ascii="Arial" w:hAnsi="Arial"/>
          <w:b w:val="0"/>
          <w:color w:val="000000" w:themeColor="text1"/>
          <w:sz w:val="22"/>
          <w:szCs w:val="22"/>
        </w:rPr>
        <w:instrText xml:space="preserve"> SEQ Figure \* ARABIC </w:instrText>
      </w:r>
      <w:r w:rsidRPr="00E86ACB">
        <w:rPr>
          <w:rFonts w:ascii="Arial" w:hAnsi="Arial"/>
          <w:b w:val="0"/>
          <w:i/>
          <w:color w:val="000000" w:themeColor="text1"/>
          <w:sz w:val="22"/>
          <w:szCs w:val="22"/>
        </w:rPr>
        <w:fldChar w:fldCharType="separate"/>
      </w:r>
      <w:r w:rsidR="00DF217D">
        <w:rPr>
          <w:rFonts w:ascii="Arial" w:hAnsi="Arial"/>
          <w:b w:val="0"/>
          <w:noProof/>
          <w:color w:val="000000" w:themeColor="text1"/>
          <w:sz w:val="22"/>
          <w:szCs w:val="22"/>
        </w:rPr>
        <w:t>1</w:t>
      </w:r>
      <w:r w:rsidRPr="00E86ACB">
        <w:rPr>
          <w:rFonts w:ascii="Arial" w:hAnsi="Arial"/>
          <w:b w:val="0"/>
          <w:i/>
          <w:color w:val="000000" w:themeColor="text1"/>
          <w:sz w:val="22"/>
          <w:szCs w:val="22"/>
        </w:rPr>
        <w:fldChar w:fldCharType="end"/>
      </w:r>
      <w:r w:rsidRPr="00E86ACB">
        <w:rPr>
          <w:rFonts w:ascii="Arial" w:hAnsi="Arial"/>
          <w:b w:val="0"/>
          <w:color w:val="000000" w:themeColor="text1"/>
          <w:sz w:val="22"/>
          <w:szCs w:val="22"/>
        </w:rPr>
        <w:t>: Schematic Diagram for Version 1 of the Grading Scheme</w:t>
      </w:r>
      <w:bookmarkEnd w:id="73"/>
    </w:p>
    <w:p w:rsidR="00E378B5" w:rsidRDefault="00E378B5" w:rsidP="00A0699E">
      <w:pPr>
        <w:spacing w:after="240"/>
        <w:rPr>
          <w:rFonts w:ascii="Arial" w:hAnsi="Arial" w:cs="Arial"/>
          <w:color w:val="FF0000"/>
          <w:lang w:eastAsia="en-AU"/>
        </w:rPr>
      </w:pPr>
      <w:r>
        <w:rPr>
          <w:noProof/>
          <w:lang w:eastAsia="en-AU"/>
        </w:rPr>
        <w:drawing>
          <wp:inline distT="0" distB="0" distL="0" distR="0" wp14:anchorId="5EB71A87" wp14:editId="31819A37">
            <wp:extent cx="5731510" cy="4039870"/>
            <wp:effectExtent l="0" t="0" r="254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39870"/>
                    </a:xfrm>
                    <a:prstGeom prst="rect">
                      <a:avLst/>
                    </a:prstGeom>
                    <a:noFill/>
                    <a:ln>
                      <a:noFill/>
                    </a:ln>
                  </pic:spPr>
                </pic:pic>
              </a:graphicData>
            </a:graphic>
          </wp:inline>
        </w:drawing>
      </w:r>
    </w:p>
    <w:p w:rsidR="00E378B5" w:rsidRPr="00C244C7" w:rsidRDefault="00E378B5" w:rsidP="00A0699E">
      <w:pPr>
        <w:spacing w:after="240"/>
        <w:rPr>
          <w:rFonts w:ascii="Arial" w:hAnsi="Arial" w:cs="Arial"/>
          <w:lang w:eastAsia="en-AU"/>
        </w:rPr>
      </w:pPr>
      <w:r w:rsidRPr="00C244C7">
        <w:rPr>
          <w:rFonts w:ascii="Arial" w:hAnsi="Arial" w:cs="Arial"/>
          <w:lang w:eastAsia="en-AU"/>
        </w:rPr>
        <w:t xml:space="preserve">After the implementation of the </w:t>
      </w:r>
      <w:r>
        <w:rPr>
          <w:rFonts w:ascii="Arial" w:hAnsi="Arial" w:cs="Arial"/>
          <w:lang w:eastAsia="en-AU"/>
        </w:rPr>
        <w:t xml:space="preserve">national </w:t>
      </w:r>
      <w:r w:rsidRPr="00C244C7">
        <w:rPr>
          <w:rFonts w:ascii="Arial" w:hAnsi="Arial" w:cs="Arial"/>
          <w:lang w:eastAsia="en-AU"/>
        </w:rPr>
        <w:t xml:space="preserve">scheme, there was industry concern </w:t>
      </w:r>
      <w:r>
        <w:rPr>
          <w:rFonts w:ascii="Arial" w:hAnsi="Arial" w:cs="Arial"/>
          <w:lang w:eastAsia="en-AU"/>
        </w:rPr>
        <w:t xml:space="preserve">about </w:t>
      </w:r>
      <w:r w:rsidRPr="00C244C7">
        <w:rPr>
          <w:rFonts w:ascii="Arial" w:hAnsi="Arial" w:cs="Arial"/>
          <w:lang w:eastAsia="en-AU"/>
        </w:rPr>
        <w:t xml:space="preserve">some aspects </w:t>
      </w:r>
      <w:r>
        <w:rPr>
          <w:rFonts w:ascii="Arial" w:hAnsi="Arial" w:cs="Arial"/>
          <w:lang w:eastAsia="en-AU"/>
        </w:rPr>
        <w:t>f</w:t>
      </w:r>
      <w:r w:rsidRPr="00C244C7">
        <w:rPr>
          <w:rFonts w:ascii="Arial" w:hAnsi="Arial" w:cs="Arial"/>
          <w:lang w:eastAsia="en-AU"/>
        </w:rPr>
        <w:t xml:space="preserve">rom both </w:t>
      </w:r>
      <w:r>
        <w:rPr>
          <w:rFonts w:ascii="Arial" w:hAnsi="Arial" w:cs="Arial"/>
          <w:lang w:eastAsia="en-AU"/>
        </w:rPr>
        <w:t xml:space="preserve">crabbers and others </w:t>
      </w:r>
      <w:r w:rsidRPr="00C244C7">
        <w:rPr>
          <w:rFonts w:ascii="Arial" w:hAnsi="Arial" w:cs="Arial"/>
          <w:lang w:eastAsia="en-AU"/>
        </w:rPr>
        <w:t xml:space="preserve">along the supply chain to market. These concerns focused on </w:t>
      </w:r>
      <w:r w:rsidRPr="00CF0DD8">
        <w:rPr>
          <w:rFonts w:ascii="Arial" w:hAnsi="Arial" w:cs="Arial"/>
          <w:lang w:eastAsia="en-AU"/>
        </w:rPr>
        <w:t xml:space="preserve">incorrect </w:t>
      </w:r>
      <w:r w:rsidRPr="00C244C7">
        <w:rPr>
          <w:rFonts w:ascii="Arial" w:hAnsi="Arial" w:cs="Arial"/>
          <w:lang w:eastAsia="en-AU"/>
        </w:rPr>
        <w:t xml:space="preserve">use of </w:t>
      </w:r>
      <w:r w:rsidRPr="00CF0DD8">
        <w:rPr>
          <w:rFonts w:ascii="Arial" w:hAnsi="Arial" w:cs="Arial"/>
          <w:lang w:eastAsia="en-AU"/>
        </w:rPr>
        <w:t>the scheme to</w:t>
      </w:r>
      <w:r w:rsidRPr="00C244C7">
        <w:rPr>
          <w:rFonts w:ascii="Arial" w:hAnsi="Arial" w:cs="Arial"/>
          <w:lang w:eastAsia="en-AU"/>
        </w:rPr>
        <w:t xml:space="preserve"> </w:t>
      </w:r>
      <w:r w:rsidRPr="00CF0DD8">
        <w:rPr>
          <w:rFonts w:ascii="Arial" w:hAnsi="Arial" w:cs="Arial"/>
          <w:lang w:eastAsia="en-AU"/>
        </w:rPr>
        <w:t>manipulate price</w:t>
      </w:r>
      <w:r w:rsidRPr="00C244C7">
        <w:rPr>
          <w:rFonts w:ascii="Arial" w:hAnsi="Arial" w:cs="Arial"/>
          <w:lang w:eastAsia="en-AU"/>
        </w:rPr>
        <w:t>s.  One key concern centred on a misinterpretation of the thumb test. This test was effected by applying pressure to the carapace of the crab to gauge its strength and hence the expected meat yield. It was suspected that the resulting interpretation of the thumb test to gauge meat yield interacted with differences in varying environmental conditions between crab supply regions</w:t>
      </w:r>
      <w:r>
        <w:rPr>
          <w:rFonts w:ascii="Arial" w:hAnsi="Arial" w:cs="Arial"/>
          <w:lang w:eastAsia="en-AU"/>
        </w:rPr>
        <w:t>, e.g. crab</w:t>
      </w:r>
      <w:r w:rsidRPr="00C244C7">
        <w:rPr>
          <w:rFonts w:ascii="Arial" w:hAnsi="Arial" w:cs="Arial"/>
          <w:lang w:eastAsia="en-AU"/>
        </w:rPr>
        <w:t xml:space="preserve"> with high meat yields also could have weak carapaces depending on rainfall and salinity levels</w:t>
      </w:r>
      <w:r>
        <w:rPr>
          <w:rFonts w:ascii="Arial" w:hAnsi="Arial" w:cs="Arial"/>
          <w:lang w:eastAsia="en-AU"/>
        </w:rPr>
        <w:t xml:space="preserve"> in those regions</w:t>
      </w:r>
      <w:r w:rsidRPr="00C244C7">
        <w:rPr>
          <w:rFonts w:ascii="Arial" w:hAnsi="Arial" w:cs="Arial"/>
          <w:lang w:eastAsia="en-AU"/>
        </w:rPr>
        <w:t>.</w:t>
      </w:r>
      <w:r>
        <w:rPr>
          <w:rFonts w:ascii="Arial" w:hAnsi="Arial" w:cs="Arial"/>
          <w:lang w:eastAsia="en-AU"/>
        </w:rPr>
        <w:t xml:space="preserve"> The seasonal and regional differences and their grading outcomes needed further confirmation. </w:t>
      </w:r>
      <w:r w:rsidRPr="00C244C7">
        <w:rPr>
          <w:rFonts w:ascii="Arial" w:hAnsi="Arial" w:cs="Arial"/>
          <w:lang w:eastAsia="en-AU"/>
        </w:rPr>
        <w:t xml:space="preserve">  </w:t>
      </w:r>
    </w:p>
    <w:p w:rsidR="00E378B5" w:rsidRPr="00CF0DD8" w:rsidRDefault="00E378B5" w:rsidP="00A0699E">
      <w:pPr>
        <w:spacing w:after="240"/>
        <w:rPr>
          <w:rFonts w:ascii="Arial" w:hAnsi="Arial" w:cs="Arial"/>
          <w:lang w:eastAsia="en-AU"/>
        </w:rPr>
      </w:pPr>
      <w:r>
        <w:rPr>
          <w:rFonts w:ascii="Arial" w:hAnsi="Arial" w:cs="Arial"/>
          <w:lang w:eastAsia="en-AU"/>
        </w:rPr>
        <w:t>It was recognised that hand testing was practical and the tool of choice in the industry for a product that had to be sold live. Given this constraint, an increase in precision of testing procedures that allowed for regional and other differences was required to minimise misinterpretations, damage to the crab and loss of product</w:t>
      </w:r>
      <w:r w:rsidRPr="00CF0DD8">
        <w:rPr>
          <w:rFonts w:ascii="Arial" w:hAnsi="Arial" w:cs="Arial"/>
          <w:lang w:eastAsia="en-AU"/>
        </w:rPr>
        <w:t>.</w:t>
      </w:r>
    </w:p>
    <w:p w:rsidR="00E378B5" w:rsidRDefault="00E378B5" w:rsidP="00A0699E">
      <w:pPr>
        <w:spacing w:after="240"/>
        <w:rPr>
          <w:rFonts w:ascii="Arial" w:hAnsi="Arial" w:cs="Arial"/>
          <w:lang w:eastAsia="en-AU"/>
        </w:rPr>
      </w:pPr>
      <w:r w:rsidRPr="00C244C7">
        <w:rPr>
          <w:rFonts w:ascii="Arial" w:hAnsi="Arial" w:cs="Arial"/>
          <w:lang w:eastAsia="en-AU"/>
        </w:rPr>
        <w:t xml:space="preserve">Also, </w:t>
      </w:r>
      <w:r>
        <w:rPr>
          <w:rFonts w:ascii="Arial" w:hAnsi="Arial" w:cs="Arial"/>
          <w:lang w:eastAsia="en-AU"/>
        </w:rPr>
        <w:t xml:space="preserve">at the same time as </w:t>
      </w:r>
      <w:r w:rsidRPr="00396A6D">
        <w:rPr>
          <w:rFonts w:ascii="Arial" w:hAnsi="Arial" w:cs="Arial"/>
          <w:lang w:eastAsia="en-AU"/>
        </w:rPr>
        <w:t xml:space="preserve">AILMCGS </w:t>
      </w:r>
      <w:r>
        <w:rPr>
          <w:rFonts w:ascii="Arial" w:hAnsi="Arial" w:cs="Arial"/>
          <w:lang w:eastAsia="en-AU"/>
        </w:rPr>
        <w:t xml:space="preserve">was introduced, </w:t>
      </w:r>
      <w:r w:rsidRPr="00C244C7">
        <w:rPr>
          <w:rFonts w:ascii="Arial" w:hAnsi="Arial" w:cs="Arial"/>
          <w:lang w:eastAsia="en-AU"/>
        </w:rPr>
        <w:t>t</w:t>
      </w:r>
      <w:r w:rsidRPr="00CF0DD8">
        <w:rPr>
          <w:rFonts w:ascii="Arial" w:hAnsi="Arial" w:cs="Arial"/>
          <w:lang w:eastAsia="en-AU"/>
        </w:rPr>
        <w:t xml:space="preserve">he </w:t>
      </w:r>
      <w:r w:rsidRPr="00C244C7">
        <w:rPr>
          <w:rFonts w:ascii="Arial" w:hAnsi="Arial" w:cs="Arial"/>
          <w:lang w:eastAsia="en-AU"/>
        </w:rPr>
        <w:t xml:space="preserve">SFM </w:t>
      </w:r>
      <w:r w:rsidRPr="00CF0DD8">
        <w:rPr>
          <w:rFonts w:ascii="Arial" w:hAnsi="Arial" w:cs="Arial"/>
          <w:lang w:eastAsia="en-AU"/>
        </w:rPr>
        <w:t>changed th</w:t>
      </w:r>
      <w:r w:rsidRPr="00C244C7">
        <w:rPr>
          <w:rFonts w:ascii="Arial" w:hAnsi="Arial" w:cs="Arial"/>
          <w:lang w:eastAsia="en-AU"/>
        </w:rPr>
        <w:t>e</w:t>
      </w:r>
      <w:r w:rsidRPr="00CF0DD8">
        <w:rPr>
          <w:rFonts w:ascii="Arial" w:hAnsi="Arial" w:cs="Arial"/>
          <w:lang w:eastAsia="en-AU"/>
        </w:rPr>
        <w:t xml:space="preserve"> auction</w:t>
      </w:r>
      <w:r w:rsidRPr="00C244C7">
        <w:rPr>
          <w:rFonts w:ascii="Arial" w:hAnsi="Arial" w:cs="Arial"/>
          <w:lang w:eastAsia="en-AU"/>
        </w:rPr>
        <w:t xml:space="preserve">ing process for mud </w:t>
      </w:r>
      <w:r>
        <w:rPr>
          <w:rFonts w:ascii="Arial" w:hAnsi="Arial" w:cs="Arial"/>
          <w:lang w:eastAsia="en-AU"/>
        </w:rPr>
        <w:t>crabs</w:t>
      </w:r>
      <w:r w:rsidRPr="00C244C7">
        <w:rPr>
          <w:rFonts w:ascii="Arial" w:hAnsi="Arial" w:cs="Arial"/>
          <w:lang w:eastAsia="en-AU"/>
        </w:rPr>
        <w:t xml:space="preserve"> to one that limited the inspection by buyers before the auction. The bidding process was also changed from highest bid to a form of Dutch auction. These selling changes resulted in auction bids being largely based on knowledge of the quality and accuracy of the previous grading by each supplier.</w:t>
      </w:r>
    </w:p>
    <w:p w:rsidR="00E378B5" w:rsidRPr="00C244C7" w:rsidRDefault="00E378B5" w:rsidP="00A0699E">
      <w:pPr>
        <w:spacing w:after="240"/>
        <w:rPr>
          <w:rFonts w:ascii="Arial" w:hAnsi="Arial" w:cs="Arial"/>
          <w:lang w:eastAsia="en-AU"/>
        </w:rPr>
      </w:pPr>
      <w:r w:rsidRPr="00C244C7">
        <w:rPr>
          <w:rFonts w:ascii="Arial" w:hAnsi="Arial" w:cs="Arial"/>
          <w:lang w:eastAsia="en-AU"/>
        </w:rPr>
        <w:t>An additional rationale for the project on improving the grading process emanated from an earlier Seafood CRC project aimed at increasing the sustainable use the</w:t>
      </w:r>
      <w:r>
        <w:rPr>
          <w:rFonts w:ascii="Arial" w:hAnsi="Arial" w:cs="Arial"/>
          <w:lang w:eastAsia="en-AU"/>
        </w:rPr>
        <w:t xml:space="preserve"> of the </w:t>
      </w:r>
      <w:r w:rsidRPr="00C244C7">
        <w:rPr>
          <w:rFonts w:ascii="Arial" w:hAnsi="Arial" w:cs="Arial"/>
          <w:lang w:eastAsia="en-AU"/>
        </w:rPr>
        <w:t xml:space="preserve">mud crab resource by recovering revenue from </w:t>
      </w:r>
      <w:r>
        <w:rPr>
          <w:rFonts w:ascii="Arial" w:hAnsi="Arial" w:cs="Arial"/>
          <w:lang w:eastAsia="en-AU"/>
        </w:rPr>
        <w:t>crabs</w:t>
      </w:r>
      <w:r w:rsidRPr="00C244C7">
        <w:rPr>
          <w:rFonts w:ascii="Arial" w:hAnsi="Arial" w:cs="Arial"/>
          <w:lang w:eastAsia="en-AU"/>
        </w:rPr>
        <w:t xml:space="preserve"> rejected at market. This CRC project was aimed at recovering </w:t>
      </w:r>
      <w:r>
        <w:rPr>
          <w:rFonts w:ascii="Arial" w:hAnsi="Arial" w:cs="Arial"/>
          <w:lang w:eastAsia="en-AU"/>
        </w:rPr>
        <w:t>crabs</w:t>
      </w:r>
      <w:r w:rsidRPr="00C244C7">
        <w:rPr>
          <w:rFonts w:ascii="Arial" w:hAnsi="Arial" w:cs="Arial"/>
          <w:lang w:eastAsia="en-AU"/>
        </w:rPr>
        <w:t xml:space="preserve"> rejected or downgraded at market and not likely to survive further in the supply chain. Previously the SFM had not accepted C grade </w:t>
      </w:r>
      <w:r>
        <w:rPr>
          <w:rFonts w:ascii="Arial" w:hAnsi="Arial" w:cs="Arial"/>
          <w:lang w:eastAsia="en-AU"/>
        </w:rPr>
        <w:t>crabs</w:t>
      </w:r>
      <w:r w:rsidRPr="00C244C7">
        <w:rPr>
          <w:rFonts w:ascii="Arial" w:hAnsi="Arial" w:cs="Arial"/>
          <w:lang w:eastAsia="en-AU"/>
        </w:rPr>
        <w:t xml:space="preserve"> but was considering doing so with the assistance of its own trial and was ascertaining the impact of such a move on the price of A and B grade </w:t>
      </w:r>
      <w:r>
        <w:rPr>
          <w:rFonts w:ascii="Arial" w:hAnsi="Arial" w:cs="Arial"/>
          <w:lang w:eastAsia="en-AU"/>
        </w:rPr>
        <w:t>crabs</w:t>
      </w:r>
      <w:r w:rsidRPr="00C244C7">
        <w:rPr>
          <w:rFonts w:ascii="Arial" w:hAnsi="Arial" w:cs="Arial"/>
          <w:lang w:eastAsia="en-AU"/>
        </w:rPr>
        <w:t>.</w:t>
      </w:r>
      <w:r w:rsidRPr="00C244C7">
        <w:rPr>
          <w:rFonts w:ascii="Arial" w:hAnsi="Arial" w:cs="Arial"/>
        </w:rPr>
        <w:t xml:space="preserve"> </w:t>
      </w:r>
      <w:r>
        <w:rPr>
          <w:rFonts w:ascii="Arial" w:hAnsi="Arial" w:cs="Arial"/>
        </w:rPr>
        <w:t>R</w:t>
      </w:r>
      <w:r w:rsidRPr="00FE6943">
        <w:rPr>
          <w:rFonts w:ascii="Arial" w:hAnsi="Arial" w:cs="Arial"/>
        </w:rPr>
        <w:t xml:space="preserve">ecently moulted </w:t>
      </w:r>
      <w:r>
        <w:rPr>
          <w:rFonts w:ascii="Arial" w:hAnsi="Arial" w:cs="Arial"/>
        </w:rPr>
        <w:t>crab</w:t>
      </w:r>
      <w:r w:rsidRPr="00FE6943">
        <w:rPr>
          <w:rFonts w:ascii="Arial" w:hAnsi="Arial" w:cs="Arial"/>
        </w:rPr>
        <w:t xml:space="preserve"> </w:t>
      </w:r>
      <w:r>
        <w:rPr>
          <w:rFonts w:ascii="Arial" w:hAnsi="Arial" w:cs="Arial"/>
        </w:rPr>
        <w:t xml:space="preserve">can be slow and show signs of weakness and hence </w:t>
      </w:r>
      <w:r w:rsidRPr="00FE6943">
        <w:rPr>
          <w:rFonts w:ascii="Arial" w:hAnsi="Arial" w:cs="Arial"/>
        </w:rPr>
        <w:t>f</w:t>
      </w:r>
      <w:r>
        <w:rPr>
          <w:rFonts w:ascii="Arial" w:hAnsi="Arial" w:cs="Arial"/>
        </w:rPr>
        <w:t>ell</w:t>
      </w:r>
      <w:r w:rsidRPr="00FE6943">
        <w:rPr>
          <w:rFonts w:ascii="Arial" w:hAnsi="Arial" w:cs="Arial"/>
        </w:rPr>
        <w:t xml:space="preserve"> into the ‘C’ grade category</w:t>
      </w:r>
      <w:r>
        <w:rPr>
          <w:rFonts w:ascii="Arial" w:hAnsi="Arial" w:cs="Arial"/>
        </w:rPr>
        <w:t>. Returning n</w:t>
      </w:r>
      <w:r w:rsidRPr="00C244C7">
        <w:rPr>
          <w:rFonts w:ascii="Arial" w:hAnsi="Arial" w:cs="Arial"/>
          <w:lang w:eastAsia="en-AU"/>
        </w:rPr>
        <w:t xml:space="preserve">ewly moulted </w:t>
      </w:r>
      <w:r>
        <w:rPr>
          <w:rFonts w:ascii="Arial" w:hAnsi="Arial" w:cs="Arial"/>
          <w:lang w:eastAsia="en-AU"/>
        </w:rPr>
        <w:t>crab</w:t>
      </w:r>
      <w:r w:rsidRPr="00C244C7">
        <w:rPr>
          <w:rFonts w:ascii="Arial" w:hAnsi="Arial" w:cs="Arial"/>
          <w:lang w:eastAsia="en-AU"/>
        </w:rPr>
        <w:t xml:space="preserve"> to the water is viewed as </w:t>
      </w:r>
      <w:r>
        <w:rPr>
          <w:rFonts w:ascii="Arial" w:hAnsi="Arial" w:cs="Arial"/>
          <w:lang w:eastAsia="en-AU"/>
        </w:rPr>
        <w:t xml:space="preserve">industry </w:t>
      </w:r>
      <w:r w:rsidRPr="00C244C7">
        <w:rPr>
          <w:rFonts w:ascii="Arial" w:hAnsi="Arial" w:cs="Arial"/>
          <w:lang w:eastAsia="en-AU"/>
        </w:rPr>
        <w:t xml:space="preserve">best practice but does not always occur particularly with inexperienced or part-time </w:t>
      </w:r>
      <w:r>
        <w:rPr>
          <w:rFonts w:ascii="Arial" w:hAnsi="Arial" w:cs="Arial"/>
          <w:lang w:eastAsia="en-AU"/>
        </w:rPr>
        <w:t>crabbers</w:t>
      </w:r>
      <w:r w:rsidRPr="00C244C7">
        <w:rPr>
          <w:rFonts w:ascii="Arial" w:hAnsi="Arial" w:cs="Arial"/>
          <w:lang w:eastAsia="en-AU"/>
        </w:rPr>
        <w:t xml:space="preserve">. </w:t>
      </w:r>
    </w:p>
    <w:p w:rsidR="00E378B5" w:rsidRPr="00E86ACB" w:rsidRDefault="00E378B5" w:rsidP="00E86ACB">
      <w:pPr>
        <w:spacing w:after="240"/>
        <w:rPr>
          <w:rFonts w:ascii="Arial" w:hAnsi="Arial" w:cs="Arial"/>
          <w:b/>
          <w:sz w:val="40"/>
          <w:szCs w:val="40"/>
        </w:rPr>
      </w:pPr>
      <w:bookmarkStart w:id="74" w:name="_Toc486145215"/>
      <w:bookmarkStart w:id="75" w:name="_Toc486145324"/>
      <w:bookmarkStart w:id="76" w:name="_Toc486146240"/>
      <w:r w:rsidRPr="00E86ACB">
        <w:rPr>
          <w:rFonts w:ascii="Arial" w:hAnsi="Arial" w:cs="Arial"/>
          <w:b/>
          <w:sz w:val="40"/>
          <w:szCs w:val="40"/>
        </w:rPr>
        <w:t>3. Project Details</w:t>
      </w:r>
      <w:bookmarkEnd w:id="74"/>
      <w:bookmarkEnd w:id="75"/>
      <w:bookmarkEnd w:id="76"/>
      <w:r w:rsidRPr="00E86ACB">
        <w:rPr>
          <w:rFonts w:ascii="Arial" w:hAnsi="Arial" w:cs="Arial"/>
          <w:b/>
          <w:sz w:val="40"/>
          <w:szCs w:val="40"/>
        </w:rPr>
        <w:t xml:space="preserve"> </w:t>
      </w:r>
    </w:p>
    <w:p w:rsidR="00E378B5" w:rsidRDefault="00E378B5" w:rsidP="00A0699E">
      <w:pPr>
        <w:spacing w:after="240"/>
        <w:rPr>
          <w:rFonts w:ascii="Arial" w:eastAsiaTheme="majorEastAsia" w:hAnsi="Arial" w:cs="Arial"/>
          <w:b/>
          <w:bCs/>
          <w:sz w:val="24"/>
        </w:rPr>
      </w:pPr>
      <w:r>
        <w:rPr>
          <w:rFonts w:ascii="Arial" w:eastAsiaTheme="majorEastAsia" w:hAnsi="Arial" w:cs="Arial"/>
          <w:b/>
          <w:bCs/>
          <w:sz w:val="24"/>
        </w:rPr>
        <w:t>Summary</w:t>
      </w:r>
    </w:p>
    <w:tbl>
      <w:tblPr>
        <w:tblStyle w:val="TableGrid"/>
        <w:tblW w:w="0" w:type="auto"/>
        <w:tblLook w:val="04A0" w:firstRow="1" w:lastRow="0" w:firstColumn="1" w:lastColumn="0" w:noHBand="0" w:noVBand="1"/>
      </w:tblPr>
      <w:tblGrid>
        <w:gridCol w:w="9016"/>
      </w:tblGrid>
      <w:tr w:rsidR="00E378B5" w:rsidTr="00E378B5">
        <w:trPr>
          <w:trHeight w:val="1722"/>
        </w:trPr>
        <w:tc>
          <w:tcPr>
            <w:tcW w:w="9016" w:type="dxa"/>
          </w:tcPr>
          <w:p w:rsidR="00E378B5" w:rsidRPr="003B660D" w:rsidRDefault="00E378B5" w:rsidP="00E378B5">
            <w:pPr>
              <w:widowControl w:val="0"/>
              <w:tabs>
                <w:tab w:val="left" w:pos="110"/>
              </w:tabs>
              <w:autoSpaceDE w:val="0"/>
              <w:autoSpaceDN w:val="0"/>
              <w:adjustRightInd w:val="0"/>
              <w:spacing w:before="101"/>
              <w:rPr>
                <w:rFonts w:ascii="Arial" w:eastAsiaTheme="majorEastAsia" w:hAnsi="Arial" w:cs="Arial"/>
                <w:bCs/>
                <w:sz w:val="22"/>
                <w:szCs w:val="22"/>
              </w:rPr>
            </w:pPr>
            <w:r w:rsidRPr="003B660D">
              <w:rPr>
                <w:rFonts w:ascii="Arial" w:eastAsiaTheme="majorEastAsia" w:hAnsi="Arial" w:cs="Arial"/>
                <w:bCs/>
                <w:sz w:val="22"/>
                <w:szCs w:val="22"/>
              </w:rPr>
              <w:t>Title: Building precision into the Australian Industry Live Mud Crab Grading Scheme (AILMCGS) through addressing grading and regional anomalies</w:t>
            </w:r>
          </w:p>
          <w:p w:rsidR="00E378B5" w:rsidRPr="003B660D" w:rsidRDefault="00E378B5" w:rsidP="00E378B5">
            <w:pPr>
              <w:widowControl w:val="0"/>
              <w:tabs>
                <w:tab w:val="left" w:pos="110"/>
              </w:tabs>
              <w:autoSpaceDE w:val="0"/>
              <w:autoSpaceDN w:val="0"/>
              <w:adjustRightInd w:val="0"/>
              <w:spacing w:before="101"/>
              <w:rPr>
                <w:rFonts w:ascii="Arial" w:eastAsiaTheme="majorEastAsia" w:hAnsi="Arial" w:cs="Arial"/>
                <w:bCs/>
                <w:sz w:val="22"/>
                <w:szCs w:val="22"/>
              </w:rPr>
            </w:pPr>
            <w:r w:rsidRPr="003B660D">
              <w:rPr>
                <w:rFonts w:ascii="Arial" w:eastAsiaTheme="majorEastAsia" w:hAnsi="Arial" w:cs="Arial"/>
                <w:bCs/>
                <w:sz w:val="22"/>
                <w:szCs w:val="22"/>
              </w:rPr>
              <w:t xml:space="preserve">Research Organisation: Department of Agriculture and Fisheries, Queensland </w:t>
            </w:r>
          </w:p>
          <w:p w:rsidR="00E378B5" w:rsidRPr="003B660D" w:rsidRDefault="00E378B5" w:rsidP="00E378B5">
            <w:pPr>
              <w:widowControl w:val="0"/>
              <w:tabs>
                <w:tab w:val="left" w:pos="110"/>
              </w:tabs>
              <w:autoSpaceDE w:val="0"/>
              <w:autoSpaceDN w:val="0"/>
              <w:adjustRightInd w:val="0"/>
              <w:spacing w:before="101"/>
              <w:rPr>
                <w:rFonts w:ascii="Arial" w:eastAsiaTheme="majorEastAsia" w:hAnsi="Arial" w:cs="Arial"/>
                <w:bCs/>
                <w:sz w:val="22"/>
                <w:szCs w:val="22"/>
              </w:rPr>
            </w:pPr>
            <w:r w:rsidRPr="003B660D">
              <w:rPr>
                <w:rFonts w:ascii="Arial" w:eastAsiaTheme="majorEastAsia" w:hAnsi="Arial" w:cs="Arial"/>
                <w:bCs/>
                <w:sz w:val="22"/>
                <w:szCs w:val="22"/>
              </w:rPr>
              <w:t xml:space="preserve">Principal Investigator: John Mayze   </w:t>
            </w:r>
          </w:p>
          <w:p w:rsidR="00E378B5" w:rsidRDefault="00E378B5" w:rsidP="00E378B5">
            <w:pPr>
              <w:widowControl w:val="0"/>
              <w:tabs>
                <w:tab w:val="left" w:pos="110"/>
              </w:tabs>
              <w:autoSpaceDE w:val="0"/>
              <w:autoSpaceDN w:val="0"/>
              <w:adjustRightInd w:val="0"/>
              <w:spacing w:before="101"/>
              <w:rPr>
                <w:rFonts w:ascii="Arial" w:eastAsiaTheme="majorEastAsia" w:hAnsi="Arial" w:cs="Arial"/>
                <w:bCs/>
              </w:rPr>
            </w:pPr>
            <w:r w:rsidRPr="003B660D">
              <w:rPr>
                <w:rFonts w:ascii="Arial" w:eastAsiaTheme="majorEastAsia" w:hAnsi="Arial" w:cs="Arial"/>
                <w:bCs/>
                <w:sz w:val="22"/>
                <w:szCs w:val="22"/>
              </w:rPr>
              <w:t>Period of Funding:  July 2014 to May 2016</w:t>
            </w:r>
          </w:p>
        </w:tc>
      </w:tr>
    </w:tbl>
    <w:p w:rsidR="00E378B5" w:rsidRDefault="00E378B5" w:rsidP="00E378B5">
      <w:pPr>
        <w:rPr>
          <w:rFonts w:ascii="Arial" w:eastAsiaTheme="majorEastAsia" w:hAnsi="Arial" w:cs="Arial"/>
          <w:b/>
          <w:bCs/>
          <w:sz w:val="24"/>
        </w:rPr>
      </w:pPr>
    </w:p>
    <w:p w:rsidR="00E378B5" w:rsidRPr="00CC53ED" w:rsidRDefault="00E378B5" w:rsidP="00A0699E">
      <w:pPr>
        <w:spacing w:after="240"/>
        <w:rPr>
          <w:rFonts w:ascii="Arial" w:eastAsiaTheme="majorEastAsia" w:hAnsi="Arial" w:cs="Arial"/>
          <w:b/>
          <w:bCs/>
          <w:sz w:val="24"/>
        </w:rPr>
      </w:pPr>
      <w:r w:rsidRPr="00CC53ED">
        <w:rPr>
          <w:rFonts w:ascii="Arial" w:eastAsiaTheme="majorEastAsia" w:hAnsi="Arial" w:cs="Arial"/>
          <w:b/>
          <w:bCs/>
          <w:sz w:val="24"/>
        </w:rPr>
        <w:t xml:space="preserve">Objectives   </w:t>
      </w:r>
    </w:p>
    <w:p w:rsidR="00E378B5" w:rsidRPr="00CC53ED" w:rsidRDefault="00E378B5" w:rsidP="00E378B5">
      <w:pPr>
        <w:rPr>
          <w:rFonts w:ascii="Arial" w:eastAsiaTheme="majorEastAsia" w:hAnsi="Arial" w:cs="Arial"/>
          <w:bCs/>
        </w:rPr>
      </w:pPr>
      <w:r w:rsidRPr="00CC53ED">
        <w:rPr>
          <w:rFonts w:ascii="Arial" w:eastAsiaTheme="majorEastAsia" w:hAnsi="Arial" w:cs="Arial"/>
          <w:bCs/>
        </w:rPr>
        <w:t>The objectives of the project were</w:t>
      </w:r>
      <w:r w:rsidR="00A0699E">
        <w:rPr>
          <w:rFonts w:ascii="Arial" w:eastAsiaTheme="majorEastAsia" w:hAnsi="Arial" w:cs="Arial"/>
          <w:bCs/>
        </w:rPr>
        <w:t>:</w:t>
      </w:r>
    </w:p>
    <w:p w:rsidR="00E378B5" w:rsidRPr="00A0699E" w:rsidRDefault="00E378B5" w:rsidP="000D5A34">
      <w:pPr>
        <w:pStyle w:val="ListParagraph"/>
        <w:numPr>
          <w:ilvl w:val="0"/>
          <w:numId w:val="67"/>
        </w:numPr>
        <w:rPr>
          <w:rFonts w:ascii="Arial" w:eastAsiaTheme="majorEastAsia" w:hAnsi="Arial" w:cs="Arial"/>
          <w:bCs/>
        </w:rPr>
      </w:pPr>
      <w:r w:rsidRPr="00A0699E">
        <w:rPr>
          <w:rFonts w:ascii="Arial" w:eastAsiaTheme="majorEastAsia" w:hAnsi="Arial" w:cs="Arial"/>
          <w:bCs/>
        </w:rPr>
        <w:t>To attain a defined and precise assessment method of shell hardness using the current Australian Industry Live Mud Crab Grading Scheme (AILMCGS) across whole of industry.</w:t>
      </w:r>
    </w:p>
    <w:p w:rsidR="00E378B5" w:rsidRPr="00A0699E" w:rsidRDefault="00E378B5" w:rsidP="000D5A34">
      <w:pPr>
        <w:pStyle w:val="ListParagraph"/>
        <w:numPr>
          <w:ilvl w:val="0"/>
          <w:numId w:val="67"/>
        </w:numPr>
        <w:rPr>
          <w:rFonts w:ascii="Arial" w:eastAsiaTheme="majorEastAsia" w:hAnsi="Arial" w:cs="Arial"/>
          <w:bCs/>
        </w:rPr>
      </w:pPr>
      <w:r w:rsidRPr="00A0699E">
        <w:rPr>
          <w:rFonts w:ascii="Arial" w:eastAsiaTheme="majorEastAsia" w:hAnsi="Arial" w:cs="Arial"/>
          <w:bCs/>
        </w:rPr>
        <w:t>To identify objective technologies and/or develop methodologies to support grading assessment within the AILMCGS.</w:t>
      </w:r>
    </w:p>
    <w:p w:rsidR="00E378B5" w:rsidRPr="00A0699E" w:rsidRDefault="00E378B5" w:rsidP="000D5A34">
      <w:pPr>
        <w:pStyle w:val="ListParagraph"/>
        <w:numPr>
          <w:ilvl w:val="0"/>
          <w:numId w:val="67"/>
        </w:numPr>
        <w:rPr>
          <w:rFonts w:ascii="Arial" w:eastAsiaTheme="majorEastAsia" w:hAnsi="Arial" w:cs="Arial"/>
          <w:bCs/>
        </w:rPr>
      </w:pPr>
      <w:r w:rsidRPr="00A0699E">
        <w:rPr>
          <w:rFonts w:ascii="Arial" w:eastAsiaTheme="majorEastAsia" w:hAnsi="Arial" w:cs="Arial"/>
          <w:bCs/>
        </w:rPr>
        <w:t>To substantiate seasonal and/or regional grading anomalies within the AILMCGS and explore strategies to address them.</w:t>
      </w:r>
    </w:p>
    <w:p w:rsidR="00E378B5" w:rsidRPr="00A0699E" w:rsidRDefault="00E378B5" w:rsidP="000D5A34">
      <w:pPr>
        <w:pStyle w:val="ListParagraph"/>
        <w:numPr>
          <w:ilvl w:val="0"/>
          <w:numId w:val="67"/>
        </w:numPr>
        <w:rPr>
          <w:rFonts w:ascii="Arial" w:eastAsiaTheme="majorEastAsia" w:hAnsi="Arial" w:cs="Arial"/>
          <w:bCs/>
        </w:rPr>
      </w:pPr>
      <w:r w:rsidRPr="00A0699E">
        <w:rPr>
          <w:rFonts w:ascii="Arial" w:eastAsiaTheme="majorEastAsia" w:hAnsi="Arial" w:cs="Arial"/>
          <w:bCs/>
        </w:rPr>
        <w:t xml:space="preserve">To increase profitability across industry through equity of grading practices and reduced product downgrades and wastage.  </w:t>
      </w:r>
    </w:p>
    <w:p w:rsidR="00E378B5" w:rsidRDefault="00E378B5" w:rsidP="00E378B5">
      <w:pPr>
        <w:rPr>
          <w:rFonts w:eastAsiaTheme="majorEastAsia"/>
          <w:b/>
          <w:bCs/>
        </w:rPr>
      </w:pPr>
    </w:p>
    <w:p w:rsidR="00E378B5" w:rsidRPr="00F91146" w:rsidRDefault="00E378B5" w:rsidP="00A0699E">
      <w:pPr>
        <w:spacing w:after="240"/>
        <w:rPr>
          <w:rFonts w:ascii="Arial" w:eastAsiaTheme="majorEastAsia" w:hAnsi="Arial" w:cs="Arial"/>
          <w:b/>
          <w:bCs/>
          <w:sz w:val="24"/>
        </w:rPr>
      </w:pPr>
      <w:r w:rsidRPr="00F91146">
        <w:rPr>
          <w:rFonts w:ascii="Arial" w:eastAsiaTheme="majorEastAsia" w:hAnsi="Arial" w:cs="Arial"/>
          <w:b/>
          <w:bCs/>
          <w:sz w:val="24"/>
        </w:rPr>
        <w:t xml:space="preserve">Logical Framework </w:t>
      </w:r>
    </w:p>
    <w:p w:rsidR="00E86ACB" w:rsidRDefault="00E378B5" w:rsidP="00A0699E">
      <w:pPr>
        <w:spacing w:after="240"/>
        <w:rPr>
          <w:rFonts w:ascii="Arial" w:eastAsiaTheme="majorEastAsia" w:hAnsi="Arial" w:cs="Arial"/>
          <w:bCs/>
        </w:rPr>
      </w:pPr>
      <w:r w:rsidRPr="00D04886">
        <w:rPr>
          <w:rFonts w:ascii="Arial" w:eastAsiaTheme="majorEastAsia" w:hAnsi="Arial" w:cs="Arial"/>
          <w:bCs/>
        </w:rPr>
        <w:t xml:space="preserve">Table 1 provides a description of the </w:t>
      </w:r>
      <w:r>
        <w:rPr>
          <w:rFonts w:ascii="Arial" w:eastAsiaTheme="majorEastAsia" w:hAnsi="Arial" w:cs="Arial"/>
          <w:bCs/>
        </w:rPr>
        <w:t xml:space="preserve">project in a </w:t>
      </w:r>
      <w:r w:rsidRPr="00D04886">
        <w:rPr>
          <w:rFonts w:ascii="Arial" w:eastAsiaTheme="majorEastAsia" w:hAnsi="Arial" w:cs="Arial"/>
          <w:bCs/>
        </w:rPr>
        <w:t>logical framework</w:t>
      </w:r>
      <w:r>
        <w:rPr>
          <w:rFonts w:ascii="Arial" w:eastAsiaTheme="majorEastAsia" w:hAnsi="Arial" w:cs="Arial"/>
          <w:bCs/>
        </w:rPr>
        <w:t xml:space="preserve"> devel</w:t>
      </w:r>
      <w:r w:rsidRPr="00D04886">
        <w:rPr>
          <w:rFonts w:ascii="Arial" w:eastAsiaTheme="majorEastAsia" w:hAnsi="Arial" w:cs="Arial"/>
          <w:bCs/>
        </w:rPr>
        <w:t xml:space="preserve">oped for the project. </w:t>
      </w:r>
    </w:p>
    <w:p w:rsidR="00E378B5" w:rsidRPr="00E86ACB" w:rsidRDefault="00E378B5" w:rsidP="00E86ACB">
      <w:pPr>
        <w:pStyle w:val="Caption"/>
        <w:spacing w:after="240"/>
        <w:jc w:val="center"/>
        <w:rPr>
          <w:rFonts w:ascii="Arial" w:eastAsiaTheme="majorEastAsia" w:hAnsi="Arial"/>
          <w:b w:val="0"/>
          <w:bCs w:val="0"/>
          <w:i/>
          <w:color w:val="000000" w:themeColor="text1"/>
          <w:sz w:val="22"/>
          <w:szCs w:val="22"/>
        </w:rPr>
      </w:pPr>
      <w:bookmarkStart w:id="77" w:name="_Toc475103023"/>
      <w:bookmarkStart w:id="78" w:name="_Toc476387747"/>
      <w:r w:rsidRPr="00E86ACB">
        <w:rPr>
          <w:rFonts w:ascii="Arial" w:hAnsi="Arial"/>
          <w:b w:val="0"/>
          <w:color w:val="000000" w:themeColor="text1"/>
          <w:sz w:val="22"/>
          <w:szCs w:val="22"/>
        </w:rPr>
        <w:t xml:space="preserve">Table </w:t>
      </w:r>
      <w:r w:rsidRPr="00E86ACB">
        <w:rPr>
          <w:rFonts w:ascii="Arial" w:hAnsi="Arial"/>
          <w:b w:val="0"/>
          <w:i/>
          <w:color w:val="000000" w:themeColor="text1"/>
          <w:sz w:val="22"/>
          <w:szCs w:val="22"/>
        </w:rPr>
        <w:fldChar w:fldCharType="begin"/>
      </w:r>
      <w:r w:rsidRPr="00E86ACB">
        <w:rPr>
          <w:rFonts w:ascii="Arial" w:hAnsi="Arial"/>
          <w:b w:val="0"/>
          <w:color w:val="000000" w:themeColor="text1"/>
          <w:sz w:val="22"/>
          <w:szCs w:val="22"/>
        </w:rPr>
        <w:instrText xml:space="preserve"> SEQ Table \* ARABIC </w:instrText>
      </w:r>
      <w:r w:rsidRPr="00E86ACB">
        <w:rPr>
          <w:rFonts w:ascii="Arial" w:hAnsi="Arial"/>
          <w:b w:val="0"/>
          <w:i/>
          <w:color w:val="000000" w:themeColor="text1"/>
          <w:sz w:val="22"/>
          <w:szCs w:val="22"/>
        </w:rPr>
        <w:fldChar w:fldCharType="separate"/>
      </w:r>
      <w:r w:rsidR="00DF217D">
        <w:rPr>
          <w:rFonts w:ascii="Arial" w:hAnsi="Arial"/>
          <w:b w:val="0"/>
          <w:noProof/>
          <w:color w:val="000000" w:themeColor="text1"/>
          <w:sz w:val="22"/>
          <w:szCs w:val="22"/>
        </w:rPr>
        <w:t>1</w:t>
      </w:r>
      <w:r w:rsidRPr="00E86ACB">
        <w:rPr>
          <w:rFonts w:ascii="Arial" w:hAnsi="Arial"/>
          <w:b w:val="0"/>
          <w:i/>
          <w:color w:val="000000" w:themeColor="text1"/>
          <w:sz w:val="22"/>
          <w:szCs w:val="22"/>
        </w:rPr>
        <w:fldChar w:fldCharType="end"/>
      </w:r>
      <w:r w:rsidRPr="00E86ACB">
        <w:rPr>
          <w:rFonts w:ascii="Arial" w:hAnsi="Arial"/>
          <w:b w:val="0"/>
          <w:color w:val="000000" w:themeColor="text1"/>
          <w:sz w:val="22"/>
          <w:szCs w:val="22"/>
        </w:rPr>
        <w:t>: Logical Framework</w:t>
      </w:r>
      <w:bookmarkEnd w:id="77"/>
      <w:bookmarkEnd w:id="78"/>
    </w:p>
    <w:tbl>
      <w:tblPr>
        <w:tblStyle w:val="TableGrid"/>
        <w:tblW w:w="9478" w:type="dxa"/>
        <w:tblLook w:val="04A0" w:firstRow="1" w:lastRow="0" w:firstColumn="1" w:lastColumn="0" w:noHBand="0" w:noVBand="1"/>
      </w:tblPr>
      <w:tblGrid>
        <w:gridCol w:w="1762"/>
        <w:gridCol w:w="7716"/>
      </w:tblGrid>
      <w:tr w:rsidR="00E378B5" w:rsidRPr="00D04886" w:rsidTr="00E378B5">
        <w:tc>
          <w:tcPr>
            <w:tcW w:w="1762" w:type="dxa"/>
          </w:tcPr>
          <w:p w:rsidR="00E378B5" w:rsidRPr="00593D5A" w:rsidRDefault="00E378B5" w:rsidP="00E378B5">
            <w:pPr>
              <w:rPr>
                <w:rFonts w:ascii="Arial" w:hAnsi="Arial" w:cs="Arial"/>
                <w:sz w:val="22"/>
                <w:szCs w:val="22"/>
              </w:rPr>
            </w:pPr>
            <w:r w:rsidRPr="00593D5A">
              <w:rPr>
                <w:rFonts w:ascii="Arial" w:hAnsi="Arial" w:cs="Arial"/>
                <w:sz w:val="22"/>
                <w:szCs w:val="22"/>
              </w:rPr>
              <w:t>Activities and Outputs</w:t>
            </w:r>
          </w:p>
        </w:tc>
        <w:tc>
          <w:tcPr>
            <w:tcW w:w="7716" w:type="dxa"/>
          </w:tcPr>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 xml:space="preserve">An industry-driven project Steering Committee was selected with representation from key industry supply chain sectors and regions to ensure project objectives were met. </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 xml:space="preserve">The project involved the Professional Fishermen’s Association (PFA) and the Sydney Fish Market (SFM), who both provided support and direction.   </w:t>
            </w:r>
          </w:p>
          <w:p w:rsidR="00E378B5" w:rsidRPr="006159F3" w:rsidRDefault="00E378B5" w:rsidP="000F22FE">
            <w:pPr>
              <w:pStyle w:val="ListParagraph"/>
              <w:numPr>
                <w:ilvl w:val="0"/>
                <w:numId w:val="10"/>
              </w:numPr>
              <w:suppressAutoHyphens/>
              <w:autoSpaceDE w:val="0"/>
              <w:autoSpaceDN w:val="0"/>
              <w:adjustRightInd w:val="0"/>
              <w:spacing w:after="120"/>
              <w:rPr>
                <w:rFonts w:ascii="Arial" w:hAnsi="Arial" w:cs="Arial"/>
                <w:sz w:val="22"/>
                <w:szCs w:val="22"/>
              </w:rPr>
            </w:pPr>
            <w:r w:rsidRPr="006159F3">
              <w:rPr>
                <w:rFonts w:ascii="Arial" w:hAnsi="Arial" w:cs="Arial"/>
                <w:sz w:val="22"/>
                <w:szCs w:val="22"/>
              </w:rPr>
              <w:t xml:space="preserve">An initial survey on the level of knowledge of the scheme by industry established that 83% of respondents involved in the various mud crab supply chains were aware of the Live Mud Crab Grading Scheme and supported the concept of having such a grading scheme; however, there was a high level of dissatisfaction with elements of the scheme such as the thumb pressure testing and its use and impacts along the supply chain.  </w:t>
            </w:r>
          </w:p>
          <w:p w:rsidR="00E378B5" w:rsidRPr="006159F3" w:rsidRDefault="00E378B5" w:rsidP="000F22FE">
            <w:pPr>
              <w:pStyle w:val="ListParagraph"/>
              <w:numPr>
                <w:ilvl w:val="0"/>
                <w:numId w:val="10"/>
              </w:numPr>
              <w:suppressAutoHyphens/>
              <w:autoSpaceDE w:val="0"/>
              <w:autoSpaceDN w:val="0"/>
              <w:adjustRightInd w:val="0"/>
              <w:spacing w:after="120"/>
              <w:rPr>
                <w:rFonts w:ascii="Arial" w:hAnsi="Arial" w:cs="Arial"/>
                <w:sz w:val="22"/>
                <w:szCs w:val="22"/>
              </w:rPr>
            </w:pPr>
            <w:r w:rsidRPr="006159F3">
              <w:rPr>
                <w:rFonts w:ascii="Arial" w:hAnsi="Arial" w:cs="Arial"/>
                <w:sz w:val="22"/>
                <w:szCs w:val="22"/>
              </w:rPr>
              <w:t xml:space="preserve">Results of the survey were distributed to survey responders and other industry groups. </w:t>
            </w:r>
          </w:p>
          <w:p w:rsidR="00E378B5" w:rsidRPr="006159F3" w:rsidRDefault="00E378B5" w:rsidP="000F22FE">
            <w:pPr>
              <w:pStyle w:val="ListParagraph"/>
              <w:numPr>
                <w:ilvl w:val="0"/>
                <w:numId w:val="10"/>
              </w:numPr>
              <w:suppressAutoHyphens/>
              <w:autoSpaceDE w:val="0"/>
              <w:autoSpaceDN w:val="0"/>
              <w:adjustRightInd w:val="0"/>
              <w:spacing w:after="120"/>
              <w:rPr>
                <w:rFonts w:ascii="Arial" w:hAnsi="Arial" w:cs="Arial"/>
                <w:sz w:val="22"/>
                <w:szCs w:val="22"/>
              </w:rPr>
            </w:pPr>
            <w:r w:rsidRPr="006159F3">
              <w:rPr>
                <w:rFonts w:ascii="Arial" w:hAnsi="Arial" w:cs="Arial"/>
                <w:sz w:val="22"/>
                <w:szCs w:val="22"/>
              </w:rPr>
              <w:t xml:space="preserve">One-on-one interviews were held with key SFM buyer agents and the individuals within the harvest sectors. </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Visits to several NSW Fishermen’s Cooperatives investigated the differences in flex on the top and underside carapaces and identified the lack of the resulting alignment with A, B and C gradings and the associated meat yields. It was concluded there was a poor alignment.</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 xml:space="preserve">As the AILMCGS relied on thumb pressure tests on both top and underside carapaces, many crabs were being </w:t>
            </w:r>
            <w:r>
              <w:rPr>
                <w:rFonts w:ascii="Arial" w:hAnsi="Arial" w:cs="Arial"/>
                <w:sz w:val="22"/>
                <w:szCs w:val="22"/>
              </w:rPr>
              <w:t>down</w:t>
            </w:r>
            <w:r w:rsidRPr="006159F3">
              <w:rPr>
                <w:rFonts w:ascii="Arial" w:hAnsi="Arial" w:cs="Arial"/>
                <w:sz w:val="22"/>
                <w:szCs w:val="22"/>
              </w:rPr>
              <w:t>graded whereas their meat yield was high.</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This resulted in the AILMCGS being changed with Version 2 no longer using the ‘top of carapace flex test’ for grading male mud crabs.</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Regional anomalies of crabs with high meat yields and shells</w:t>
            </w:r>
            <w:r>
              <w:rPr>
                <w:rFonts w:ascii="Arial" w:hAnsi="Arial" w:cs="Arial"/>
                <w:sz w:val="22"/>
                <w:szCs w:val="22"/>
              </w:rPr>
              <w:t xml:space="preserve"> not fully hardened</w:t>
            </w:r>
            <w:r w:rsidRPr="006159F3">
              <w:rPr>
                <w:rFonts w:ascii="Arial" w:hAnsi="Arial" w:cs="Arial"/>
                <w:sz w:val="22"/>
                <w:szCs w:val="22"/>
              </w:rPr>
              <w:t xml:space="preserve"> were observed most frequently in mud crabs harvested from NSW estuarine waters. </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Research trials carried out by the project demonstrated that such anomalies were not related to low salinities as previously hypothesised. The investigation showed that environmental salinity difference did not appear to affect mud crab shell hardness.</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A survey of participants in the crab supply chain and of consumers was carried out. This showed that the relationship between satisfaction levels and willingness to pay (WTP) for the different crab grades was strong for participants along the supply chain but less strong for consumers. However, generally all respondents’ WTP values for C Grade crab were lower than the price attained at auction, so suggesting that the sale of C Grade crab was having an overall negative effect on consumer satisfaction, and lowered the likelihood of a return purchase.</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 xml:space="preserve">An investigation was made into the parameters of mud crabs that could better predict meat yields. It was found that methods based on shell hardness and those methods based on total protein measured by the refractive index, were consistent for female crabs but not for male crabs. </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It was also found that heavier crabs with larger, wider and heavier claws have lower meat yield percentages, but that lighter smaller crabs with smaller claws had higher percentages.</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 xml:space="preserve">These findings were incorporated into Version 2 and then Version 3 of the revised scheme (See Figures 2 and 3 following this table). </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 xml:space="preserve">The major change made in Version 2 compared to Version 1 (the original scheme) was the removal of the assessment of ‘çlick’ for female crabs (bottom dark blue boxes in Figure 1) due to agreement by industry sectors that this measurement was highly subjective (Sue Poole, pers. comm., 2017). The schematic also was simplified with details of quality attributes described in separate text instead of in the diagram. </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 xml:space="preserve">The major change made in Version 3 relative to Version 2 was that it was recognised that more latitude was necessary within grades so that the thresholds were slightly widened. This was agreed at an industry forum attended by representatives from all sectors (Sue Poole, pers. comm., 2017). These changes were indicated in the Version 3 Diagram by agreed wording in dark blue boxes (above for male crabs) and in green boxes (below for female crabs).   </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Various objective methods for predicting meat yield from live crabs were investigated including measurements of protein levels using refractive indices, X-rays methods, candling (imaging via use of light), near infrared (NIR) methods also involving light, and acoustic velocity (the speed that sound moves through the crab).</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 xml:space="preserve">Some technical progress was made with these methods but, at the end of the project, an objective test had yet to be developed and applied commercially. </w:t>
            </w:r>
          </w:p>
          <w:p w:rsidR="00E378B5" w:rsidRPr="006159F3" w:rsidRDefault="00E378B5" w:rsidP="000F22FE">
            <w:pPr>
              <w:pStyle w:val="ListParagraph"/>
              <w:numPr>
                <w:ilvl w:val="0"/>
                <w:numId w:val="10"/>
              </w:numPr>
              <w:autoSpaceDE w:val="0"/>
              <w:autoSpaceDN w:val="0"/>
              <w:adjustRightInd w:val="0"/>
              <w:spacing w:after="120"/>
              <w:rPr>
                <w:rFonts w:ascii="Arial" w:hAnsi="Arial" w:cs="Arial"/>
                <w:sz w:val="22"/>
                <w:szCs w:val="22"/>
              </w:rPr>
            </w:pPr>
            <w:r w:rsidRPr="006159F3">
              <w:rPr>
                <w:rFonts w:ascii="Arial" w:hAnsi="Arial" w:cs="Arial"/>
                <w:sz w:val="22"/>
                <w:szCs w:val="22"/>
              </w:rPr>
              <w:t>Two technologies showed promise for future development as useful predictive tools. These were acoustic velocity and NIR methods; it was found that the NIR instrument was reported as a good predictor of percentage meat yield and grades.</w:t>
            </w:r>
          </w:p>
        </w:tc>
      </w:tr>
      <w:tr w:rsidR="00E378B5" w:rsidRPr="00D04886" w:rsidTr="00E378B5">
        <w:tc>
          <w:tcPr>
            <w:tcW w:w="1762" w:type="dxa"/>
          </w:tcPr>
          <w:p w:rsidR="00E378B5" w:rsidRPr="006B48C7" w:rsidRDefault="00E378B5" w:rsidP="00E378B5">
            <w:pPr>
              <w:rPr>
                <w:rFonts w:ascii="Arial" w:hAnsi="Arial" w:cs="Arial"/>
                <w:sz w:val="22"/>
                <w:szCs w:val="22"/>
              </w:rPr>
            </w:pPr>
            <w:r w:rsidRPr="006B48C7">
              <w:rPr>
                <w:rFonts w:ascii="Arial" w:hAnsi="Arial" w:cs="Arial"/>
                <w:sz w:val="22"/>
                <w:szCs w:val="22"/>
              </w:rPr>
              <w:t>Outcomes</w:t>
            </w:r>
          </w:p>
        </w:tc>
        <w:tc>
          <w:tcPr>
            <w:tcW w:w="7716" w:type="dxa"/>
          </w:tcPr>
          <w:p w:rsidR="00E378B5" w:rsidRPr="006159F3" w:rsidRDefault="00E378B5" w:rsidP="000F22FE">
            <w:pPr>
              <w:pStyle w:val="ListParagraph"/>
              <w:numPr>
                <w:ilvl w:val="0"/>
                <w:numId w:val="18"/>
              </w:numPr>
              <w:suppressAutoHyphens/>
              <w:rPr>
                <w:rFonts w:ascii="Arial" w:hAnsi="Arial" w:cs="Arial"/>
                <w:sz w:val="22"/>
                <w:szCs w:val="22"/>
              </w:rPr>
            </w:pPr>
            <w:r w:rsidRPr="006159F3">
              <w:rPr>
                <w:rFonts w:ascii="Arial" w:hAnsi="Arial" w:cs="Arial"/>
                <w:sz w:val="22"/>
                <w:szCs w:val="22"/>
              </w:rPr>
              <w:t>On 5 September 2016, partly resulting from the DAF project, SF</w:t>
            </w:r>
            <w:r>
              <w:rPr>
                <w:rFonts w:ascii="Arial" w:hAnsi="Arial" w:cs="Arial"/>
                <w:sz w:val="22"/>
                <w:szCs w:val="22"/>
              </w:rPr>
              <w:t xml:space="preserve">M </w:t>
            </w:r>
            <w:r w:rsidRPr="006159F3">
              <w:rPr>
                <w:rFonts w:ascii="Arial" w:hAnsi="Arial" w:cs="Arial"/>
                <w:sz w:val="22"/>
                <w:szCs w:val="22"/>
              </w:rPr>
              <w:t>advised that the flex test was detrimental to the mud crab and that the downgrading of mud crabs based on shell hardness (flex test) would no longer be permitted at the Sydney auction.</w:t>
            </w:r>
          </w:p>
          <w:p w:rsidR="00E378B5" w:rsidRPr="006159F3" w:rsidRDefault="00E378B5" w:rsidP="000F22FE">
            <w:pPr>
              <w:pStyle w:val="ListParagraph"/>
              <w:numPr>
                <w:ilvl w:val="0"/>
                <w:numId w:val="18"/>
              </w:numPr>
              <w:suppressAutoHyphens/>
              <w:rPr>
                <w:rFonts w:ascii="Arial" w:hAnsi="Arial" w:cs="Arial"/>
                <w:sz w:val="22"/>
                <w:szCs w:val="22"/>
              </w:rPr>
            </w:pPr>
            <w:r w:rsidRPr="006159F3">
              <w:rPr>
                <w:rFonts w:ascii="Arial" w:hAnsi="Arial" w:cs="Arial"/>
                <w:sz w:val="22"/>
                <w:szCs w:val="22"/>
              </w:rPr>
              <w:t xml:space="preserve">SFM also advised that the grading of crabs was now considered the responsibility of the crabber and SFM wold no longer be involved in grading the crabs. All boxes in future would be listed for auction with the grade quoted by the supplier.  </w:t>
            </w:r>
          </w:p>
          <w:p w:rsidR="00E378B5" w:rsidRPr="006159F3" w:rsidRDefault="00E378B5" w:rsidP="000F22FE">
            <w:pPr>
              <w:pStyle w:val="ListParagraph"/>
              <w:numPr>
                <w:ilvl w:val="0"/>
                <w:numId w:val="18"/>
              </w:numPr>
              <w:suppressAutoHyphens/>
              <w:rPr>
                <w:rFonts w:ascii="Arial" w:hAnsi="Arial" w:cs="Arial"/>
                <w:sz w:val="22"/>
                <w:szCs w:val="22"/>
              </w:rPr>
            </w:pPr>
            <w:r w:rsidRPr="006159F3">
              <w:rPr>
                <w:rFonts w:ascii="Arial" w:hAnsi="Arial" w:cs="Arial"/>
                <w:sz w:val="22"/>
                <w:szCs w:val="22"/>
              </w:rPr>
              <w:t xml:space="preserve">The improvement in ‘A’ grade and ‘C’ grade parameters in Version 3 of the scheme was expected to alleviate the incongruities in the variations between meat fullness and shell hardness. </w:t>
            </w:r>
          </w:p>
          <w:p w:rsidR="00E378B5" w:rsidRPr="006159F3" w:rsidRDefault="00E378B5" w:rsidP="000F22FE">
            <w:pPr>
              <w:pStyle w:val="ListParagraph"/>
              <w:numPr>
                <w:ilvl w:val="0"/>
                <w:numId w:val="18"/>
              </w:numPr>
              <w:suppressAutoHyphens/>
              <w:rPr>
                <w:rFonts w:ascii="Arial" w:hAnsi="Arial" w:cs="Arial"/>
                <w:sz w:val="22"/>
                <w:szCs w:val="22"/>
              </w:rPr>
            </w:pPr>
            <w:r w:rsidRPr="006159F3">
              <w:rPr>
                <w:rFonts w:ascii="Arial" w:hAnsi="Arial" w:cs="Arial"/>
                <w:sz w:val="22"/>
                <w:szCs w:val="22"/>
              </w:rPr>
              <w:t>Through changes in criteria to be used in grading, the project provided an increased level of confidence in the grading scheme and encouraged crabbers to grade crabs in accord with the new revised scheme.</w:t>
            </w:r>
          </w:p>
          <w:p w:rsidR="00E378B5" w:rsidRPr="006159F3" w:rsidRDefault="00E378B5" w:rsidP="000F22FE">
            <w:pPr>
              <w:pStyle w:val="ListParagraph"/>
              <w:numPr>
                <w:ilvl w:val="0"/>
                <w:numId w:val="18"/>
              </w:numPr>
              <w:suppressAutoHyphens/>
              <w:rPr>
                <w:rFonts w:ascii="Arial" w:hAnsi="Arial" w:cs="Arial"/>
                <w:sz w:val="22"/>
                <w:szCs w:val="22"/>
              </w:rPr>
            </w:pPr>
            <w:r w:rsidRPr="006159F3">
              <w:rPr>
                <w:rFonts w:ascii="Arial" w:hAnsi="Arial" w:cs="Arial"/>
                <w:sz w:val="22"/>
                <w:szCs w:val="22"/>
              </w:rPr>
              <w:t xml:space="preserve">As crabbers and other parts of the supply chain were very closely involved in the project and its activities and outputs, Version 3 of the scheme was adopted quickly by a large proportion of the industry. </w:t>
            </w:r>
          </w:p>
          <w:p w:rsidR="00E378B5" w:rsidRPr="006159F3" w:rsidRDefault="00E378B5" w:rsidP="000F22FE">
            <w:pPr>
              <w:pStyle w:val="ListParagraph"/>
              <w:numPr>
                <w:ilvl w:val="0"/>
                <w:numId w:val="18"/>
              </w:numPr>
              <w:suppressAutoHyphens/>
              <w:rPr>
                <w:rFonts w:ascii="Arial" w:hAnsi="Arial" w:cs="Arial"/>
                <w:sz w:val="22"/>
                <w:szCs w:val="22"/>
              </w:rPr>
            </w:pPr>
            <w:r w:rsidRPr="006159F3">
              <w:rPr>
                <w:rFonts w:ascii="Arial" w:hAnsi="Arial" w:cs="Arial"/>
                <w:sz w:val="22"/>
                <w:szCs w:val="22"/>
              </w:rPr>
              <w:t>A positive animal welfare outcome was also delivered by the project.  Although the crab only has a short life after passing through the supply chain, the multiple squeezing of crabs along the chain can sometimes break the shell resulting in death or injury of the crabs.</w:t>
            </w:r>
          </w:p>
          <w:p w:rsidR="00E378B5" w:rsidRPr="006159F3" w:rsidRDefault="00E378B5" w:rsidP="000F22FE">
            <w:pPr>
              <w:pStyle w:val="ListParagraph"/>
              <w:numPr>
                <w:ilvl w:val="0"/>
                <w:numId w:val="18"/>
              </w:numPr>
              <w:suppressAutoHyphens/>
              <w:rPr>
                <w:rFonts w:ascii="Arial" w:hAnsi="Arial" w:cs="Arial"/>
                <w:sz w:val="22"/>
                <w:szCs w:val="22"/>
              </w:rPr>
            </w:pPr>
            <w:r w:rsidRPr="006159F3">
              <w:rPr>
                <w:rFonts w:ascii="Arial" w:hAnsi="Arial" w:cs="Arial"/>
                <w:sz w:val="22"/>
                <w:szCs w:val="22"/>
              </w:rPr>
              <w:t xml:space="preserve">A recommendation was made by the project that all efforts should be made to continue to encourage all crabber groups to release newly moulted crab at the point of harvest. This was expected to raise awareness and contribute to some marginal increase in the ‘release’ practice, and potentially to an increase in resource sustainability.  </w:t>
            </w:r>
          </w:p>
          <w:p w:rsidR="00E378B5" w:rsidRPr="006159F3" w:rsidRDefault="00E378B5" w:rsidP="000F22FE">
            <w:pPr>
              <w:pStyle w:val="ListParagraph"/>
              <w:numPr>
                <w:ilvl w:val="0"/>
                <w:numId w:val="16"/>
              </w:numPr>
              <w:suppressAutoHyphens/>
              <w:rPr>
                <w:rFonts w:ascii="Arial" w:hAnsi="Arial" w:cs="Arial"/>
                <w:sz w:val="22"/>
                <w:szCs w:val="22"/>
              </w:rPr>
            </w:pPr>
            <w:r w:rsidRPr="006159F3">
              <w:rPr>
                <w:rFonts w:ascii="Arial" w:hAnsi="Arial" w:cs="Arial"/>
                <w:sz w:val="22"/>
                <w:szCs w:val="22"/>
              </w:rPr>
              <w:t>The perceived anomalies of the impact of salinity on shell strength were addressed in both Version 2 and Version 3 of the revised scheme. The findings did not support any relationship between shell strength and salinity.</w:t>
            </w:r>
          </w:p>
          <w:p w:rsidR="00E378B5" w:rsidRPr="006159F3" w:rsidRDefault="00E378B5" w:rsidP="000F22FE">
            <w:pPr>
              <w:pStyle w:val="ListParagraph"/>
              <w:numPr>
                <w:ilvl w:val="0"/>
                <w:numId w:val="18"/>
              </w:numPr>
              <w:suppressAutoHyphens/>
              <w:rPr>
                <w:rFonts w:ascii="Arial" w:hAnsi="Arial" w:cs="Arial"/>
                <w:sz w:val="22"/>
                <w:szCs w:val="22"/>
              </w:rPr>
            </w:pPr>
            <w:r w:rsidRPr="006159F3">
              <w:rPr>
                <w:rFonts w:ascii="Arial" w:hAnsi="Arial" w:cs="Arial"/>
                <w:sz w:val="22"/>
                <w:szCs w:val="22"/>
              </w:rPr>
              <w:t>The project gave positive re-enforcement to the NMCIRG as a valuable industry group to tackle other cross-industry issues in the future.</w:t>
            </w:r>
          </w:p>
        </w:tc>
      </w:tr>
      <w:tr w:rsidR="00E378B5" w:rsidRPr="00D04886" w:rsidTr="00E378B5">
        <w:tc>
          <w:tcPr>
            <w:tcW w:w="1762" w:type="dxa"/>
          </w:tcPr>
          <w:p w:rsidR="00E378B5" w:rsidRPr="00D04886" w:rsidRDefault="00E378B5" w:rsidP="00E378B5">
            <w:pPr>
              <w:rPr>
                <w:rFonts w:ascii="Arial" w:hAnsi="Arial" w:cs="Arial"/>
                <w:sz w:val="22"/>
                <w:szCs w:val="22"/>
              </w:rPr>
            </w:pPr>
            <w:r w:rsidRPr="00D04886">
              <w:rPr>
                <w:rFonts w:ascii="Arial" w:hAnsi="Arial" w:cs="Arial"/>
                <w:sz w:val="22"/>
                <w:szCs w:val="22"/>
              </w:rPr>
              <w:t>Impacts</w:t>
            </w:r>
          </w:p>
        </w:tc>
        <w:tc>
          <w:tcPr>
            <w:tcW w:w="7716" w:type="dxa"/>
          </w:tcPr>
          <w:p w:rsidR="00E378B5" w:rsidRDefault="00E378B5" w:rsidP="000F22FE">
            <w:pPr>
              <w:pStyle w:val="ListParagraph"/>
              <w:numPr>
                <w:ilvl w:val="0"/>
                <w:numId w:val="17"/>
              </w:numPr>
              <w:suppressAutoHyphens/>
              <w:ind w:left="360"/>
              <w:rPr>
                <w:rFonts w:ascii="Arial" w:hAnsi="Arial" w:cs="Arial"/>
                <w:sz w:val="22"/>
                <w:szCs w:val="22"/>
              </w:rPr>
            </w:pPr>
            <w:r w:rsidRPr="003410C5">
              <w:rPr>
                <w:rFonts w:ascii="Arial" w:hAnsi="Arial" w:cs="Arial"/>
                <w:sz w:val="22"/>
                <w:szCs w:val="22"/>
              </w:rPr>
              <w:t>Reduced product downgrades so that prices received better reflect</w:t>
            </w:r>
            <w:r>
              <w:rPr>
                <w:rFonts w:ascii="Arial" w:hAnsi="Arial" w:cs="Arial"/>
                <w:sz w:val="22"/>
                <w:szCs w:val="22"/>
              </w:rPr>
              <w:t>ed</w:t>
            </w:r>
            <w:r w:rsidRPr="003410C5">
              <w:rPr>
                <w:rFonts w:ascii="Arial" w:hAnsi="Arial" w:cs="Arial"/>
                <w:sz w:val="22"/>
                <w:szCs w:val="22"/>
              </w:rPr>
              <w:t xml:space="preserve"> actual value.</w:t>
            </w:r>
          </w:p>
          <w:p w:rsidR="00E378B5" w:rsidRDefault="00E378B5" w:rsidP="000F22FE">
            <w:pPr>
              <w:pStyle w:val="ListParagraph"/>
              <w:numPr>
                <w:ilvl w:val="0"/>
                <w:numId w:val="17"/>
              </w:numPr>
              <w:suppressAutoHyphens/>
              <w:ind w:left="360"/>
              <w:rPr>
                <w:rFonts w:ascii="Arial" w:hAnsi="Arial" w:cs="Arial"/>
                <w:color w:val="000000" w:themeColor="text1"/>
                <w:sz w:val="22"/>
                <w:szCs w:val="22"/>
              </w:rPr>
            </w:pPr>
            <w:r w:rsidRPr="00FA143B">
              <w:rPr>
                <w:rFonts w:ascii="Arial" w:hAnsi="Arial" w:cs="Arial"/>
                <w:color w:val="000000" w:themeColor="text1"/>
                <w:sz w:val="22"/>
                <w:szCs w:val="22"/>
              </w:rPr>
              <w:t>Analyses of the potential revenue resulting from this refinement of the scheme indicate an increase of $2.18/kg for male crab</w:t>
            </w:r>
            <w:r>
              <w:rPr>
                <w:rFonts w:ascii="Arial" w:hAnsi="Arial" w:cs="Arial"/>
                <w:color w:val="000000" w:themeColor="text1"/>
                <w:sz w:val="22"/>
                <w:szCs w:val="22"/>
              </w:rPr>
              <w:t>s</w:t>
            </w:r>
            <w:r w:rsidRPr="00FA143B">
              <w:rPr>
                <w:rFonts w:ascii="Arial" w:hAnsi="Arial" w:cs="Arial"/>
                <w:color w:val="000000" w:themeColor="text1"/>
                <w:sz w:val="22"/>
                <w:szCs w:val="22"/>
              </w:rPr>
              <w:t xml:space="preserve"> and $2.80/kg for female crab</w:t>
            </w:r>
            <w:r>
              <w:rPr>
                <w:rFonts w:ascii="Arial" w:hAnsi="Arial" w:cs="Arial"/>
                <w:color w:val="000000" w:themeColor="text1"/>
                <w:sz w:val="22"/>
                <w:szCs w:val="22"/>
              </w:rPr>
              <w:t>s</w:t>
            </w:r>
            <w:r w:rsidRPr="00FA143B">
              <w:rPr>
                <w:rFonts w:ascii="Arial" w:hAnsi="Arial" w:cs="Arial"/>
                <w:color w:val="000000" w:themeColor="text1"/>
                <w:sz w:val="22"/>
                <w:szCs w:val="22"/>
              </w:rPr>
              <w:t xml:space="preserve"> across all grades</w:t>
            </w:r>
            <w:r>
              <w:rPr>
                <w:rFonts w:ascii="Arial" w:hAnsi="Arial" w:cs="Arial"/>
                <w:color w:val="000000" w:themeColor="text1"/>
                <w:sz w:val="22"/>
                <w:szCs w:val="22"/>
              </w:rPr>
              <w:t xml:space="preserve"> as indicated in the final report for the project (Mayze et al, 2016).</w:t>
            </w:r>
          </w:p>
          <w:p w:rsidR="00E378B5" w:rsidRPr="00406A6B" w:rsidRDefault="00E378B5" w:rsidP="000F22FE">
            <w:pPr>
              <w:pStyle w:val="ListParagraph"/>
              <w:numPr>
                <w:ilvl w:val="0"/>
                <w:numId w:val="17"/>
              </w:numPr>
              <w:suppressAutoHyphens/>
              <w:ind w:left="360"/>
              <w:rPr>
                <w:rFonts w:ascii="Arial" w:hAnsi="Arial" w:cs="Arial"/>
                <w:sz w:val="22"/>
                <w:szCs w:val="22"/>
              </w:rPr>
            </w:pPr>
            <w:r w:rsidRPr="00406A6B">
              <w:rPr>
                <w:rFonts w:ascii="Arial" w:hAnsi="Arial" w:cs="Arial"/>
                <w:sz w:val="22"/>
                <w:szCs w:val="22"/>
              </w:rPr>
              <w:t xml:space="preserve">These average gains above refer to gains from moving from Version 2 to Version 3 (not from Version 1 to Version 3) and are therefore conservative estimates of the increased value to the industry.  </w:t>
            </w:r>
          </w:p>
          <w:p w:rsidR="00E378B5" w:rsidRDefault="00E378B5" w:rsidP="000F22FE">
            <w:pPr>
              <w:pStyle w:val="ListParagraph"/>
              <w:numPr>
                <w:ilvl w:val="0"/>
                <w:numId w:val="17"/>
              </w:numPr>
              <w:suppressAutoHyphens/>
              <w:ind w:left="360"/>
              <w:rPr>
                <w:rFonts w:ascii="Arial" w:hAnsi="Arial" w:cs="Arial"/>
                <w:sz w:val="22"/>
                <w:szCs w:val="22"/>
              </w:rPr>
            </w:pPr>
            <w:r w:rsidRPr="003410C5">
              <w:rPr>
                <w:rFonts w:ascii="Arial" w:hAnsi="Arial" w:cs="Arial"/>
                <w:sz w:val="22"/>
                <w:szCs w:val="22"/>
              </w:rPr>
              <w:t xml:space="preserve">Potential for an increased demand for </w:t>
            </w:r>
            <w:r>
              <w:rPr>
                <w:rFonts w:ascii="Arial" w:hAnsi="Arial" w:cs="Arial"/>
                <w:sz w:val="22"/>
                <w:szCs w:val="22"/>
              </w:rPr>
              <w:t>m</w:t>
            </w:r>
            <w:r w:rsidRPr="003410C5">
              <w:rPr>
                <w:rFonts w:ascii="Arial" w:hAnsi="Arial" w:cs="Arial"/>
                <w:sz w:val="22"/>
                <w:szCs w:val="22"/>
              </w:rPr>
              <w:t xml:space="preserve">ud </w:t>
            </w:r>
            <w:r>
              <w:rPr>
                <w:rFonts w:ascii="Arial" w:hAnsi="Arial" w:cs="Arial"/>
                <w:sz w:val="22"/>
                <w:szCs w:val="22"/>
              </w:rPr>
              <w:t>c</w:t>
            </w:r>
            <w:r w:rsidRPr="003410C5">
              <w:rPr>
                <w:rFonts w:ascii="Arial" w:hAnsi="Arial" w:cs="Arial"/>
                <w:sz w:val="22"/>
                <w:szCs w:val="22"/>
              </w:rPr>
              <w:t xml:space="preserve">rab </w:t>
            </w:r>
            <w:r>
              <w:rPr>
                <w:rFonts w:ascii="Arial" w:hAnsi="Arial" w:cs="Arial"/>
                <w:sz w:val="22"/>
                <w:szCs w:val="22"/>
              </w:rPr>
              <w:t xml:space="preserve">across </w:t>
            </w:r>
            <w:r w:rsidRPr="003410C5">
              <w:rPr>
                <w:rFonts w:ascii="Arial" w:hAnsi="Arial" w:cs="Arial"/>
                <w:sz w:val="22"/>
                <w:szCs w:val="22"/>
              </w:rPr>
              <w:t>all qualities due to price better reflecting true value.</w:t>
            </w:r>
          </w:p>
          <w:p w:rsidR="00E378B5" w:rsidRDefault="00E378B5" w:rsidP="000F22FE">
            <w:pPr>
              <w:pStyle w:val="ListParagraph"/>
              <w:numPr>
                <w:ilvl w:val="0"/>
                <w:numId w:val="9"/>
              </w:numPr>
              <w:ind w:left="388"/>
              <w:rPr>
                <w:rFonts w:ascii="Arial" w:hAnsi="Arial" w:cs="Arial"/>
                <w:sz w:val="22"/>
                <w:szCs w:val="22"/>
              </w:rPr>
            </w:pPr>
            <w:r w:rsidRPr="00711C64">
              <w:rPr>
                <w:rFonts w:ascii="Arial" w:hAnsi="Arial" w:cs="Arial"/>
                <w:sz w:val="22"/>
                <w:szCs w:val="22"/>
              </w:rPr>
              <w:t>Improved market positioning of low grade crab</w:t>
            </w:r>
            <w:r>
              <w:rPr>
                <w:rFonts w:ascii="Arial" w:hAnsi="Arial" w:cs="Arial"/>
                <w:sz w:val="22"/>
                <w:szCs w:val="22"/>
              </w:rPr>
              <w:t>s</w:t>
            </w:r>
            <w:r w:rsidRPr="00711C64">
              <w:rPr>
                <w:rFonts w:ascii="Arial" w:hAnsi="Arial" w:cs="Arial"/>
                <w:sz w:val="22"/>
                <w:szCs w:val="22"/>
              </w:rPr>
              <w:t xml:space="preserve"> if </w:t>
            </w:r>
            <w:r>
              <w:rPr>
                <w:rFonts w:ascii="Arial" w:hAnsi="Arial" w:cs="Arial"/>
                <w:sz w:val="22"/>
                <w:szCs w:val="22"/>
              </w:rPr>
              <w:t>market acceptance occurs.</w:t>
            </w:r>
          </w:p>
          <w:p w:rsidR="00E378B5" w:rsidRPr="003F0A89" w:rsidRDefault="00E378B5" w:rsidP="000F22FE">
            <w:pPr>
              <w:pStyle w:val="ListParagraph"/>
              <w:widowControl w:val="0"/>
              <w:numPr>
                <w:ilvl w:val="0"/>
                <w:numId w:val="11"/>
              </w:numPr>
              <w:contextualSpacing w:val="0"/>
              <w:rPr>
                <w:rFonts w:ascii="Arial" w:hAnsi="Arial" w:cs="Arial"/>
                <w:szCs w:val="22"/>
              </w:rPr>
            </w:pPr>
            <w:r>
              <w:rPr>
                <w:rFonts w:ascii="Arial" w:hAnsi="Arial" w:cs="Arial"/>
                <w:color w:val="000000" w:themeColor="text1"/>
                <w:sz w:val="22"/>
                <w:szCs w:val="22"/>
              </w:rPr>
              <w:t>Potential for i</w:t>
            </w:r>
            <w:r w:rsidRPr="003F0A89">
              <w:rPr>
                <w:rFonts w:ascii="Arial" w:hAnsi="Arial" w:cs="Arial"/>
                <w:color w:val="000000" w:themeColor="text1"/>
                <w:sz w:val="22"/>
                <w:szCs w:val="22"/>
              </w:rPr>
              <w:t xml:space="preserve">mproved resource sustainability due to reduced </w:t>
            </w:r>
            <w:r>
              <w:rPr>
                <w:rFonts w:ascii="Arial" w:hAnsi="Arial" w:cs="Arial"/>
                <w:color w:val="000000" w:themeColor="text1"/>
                <w:sz w:val="22"/>
                <w:szCs w:val="22"/>
              </w:rPr>
              <w:t xml:space="preserve">harvest of </w:t>
            </w:r>
            <w:r w:rsidRPr="003F0A89">
              <w:rPr>
                <w:rFonts w:ascii="Arial" w:hAnsi="Arial" w:cs="Arial"/>
                <w:color w:val="000000" w:themeColor="text1"/>
                <w:sz w:val="22"/>
                <w:szCs w:val="22"/>
              </w:rPr>
              <w:t>newly moulted crab</w:t>
            </w:r>
            <w:r>
              <w:rPr>
                <w:rFonts w:ascii="Arial" w:hAnsi="Arial" w:cs="Arial"/>
                <w:color w:val="000000" w:themeColor="text1"/>
                <w:sz w:val="22"/>
                <w:szCs w:val="22"/>
              </w:rPr>
              <w:t>s</w:t>
            </w:r>
            <w:r w:rsidRPr="003F0A89">
              <w:rPr>
                <w:rFonts w:ascii="Arial" w:hAnsi="Arial" w:cs="Arial"/>
                <w:color w:val="000000" w:themeColor="text1"/>
                <w:sz w:val="22"/>
                <w:szCs w:val="22"/>
              </w:rPr>
              <w:t>.</w:t>
            </w:r>
          </w:p>
          <w:p w:rsidR="00E378B5" w:rsidRPr="00127D06" w:rsidRDefault="00E378B5" w:rsidP="000F22FE">
            <w:pPr>
              <w:pStyle w:val="ListParagraph"/>
              <w:numPr>
                <w:ilvl w:val="0"/>
                <w:numId w:val="9"/>
              </w:numPr>
              <w:ind w:left="360"/>
              <w:rPr>
                <w:rFonts w:ascii="Arial" w:hAnsi="Arial" w:cs="Arial"/>
                <w:szCs w:val="22"/>
              </w:rPr>
            </w:pPr>
            <w:r w:rsidRPr="00127D06">
              <w:rPr>
                <w:rFonts w:ascii="Arial" w:hAnsi="Arial" w:cs="Arial"/>
                <w:color w:val="000000" w:themeColor="text1"/>
                <w:sz w:val="22"/>
                <w:szCs w:val="22"/>
              </w:rPr>
              <w:t>Contribution to future potential development of objective measurement systems such as use of sound (acoustic velocity), and light (candling, near infrared spectroscopy).</w:t>
            </w:r>
          </w:p>
          <w:p w:rsidR="00E378B5" w:rsidRPr="00711C64" w:rsidRDefault="00E378B5" w:rsidP="000F22FE">
            <w:pPr>
              <w:pStyle w:val="ListParagraph"/>
              <w:numPr>
                <w:ilvl w:val="0"/>
                <w:numId w:val="9"/>
              </w:numPr>
              <w:ind w:left="388"/>
              <w:rPr>
                <w:rFonts w:ascii="Arial" w:hAnsi="Arial" w:cs="Arial"/>
                <w:sz w:val="22"/>
                <w:szCs w:val="22"/>
              </w:rPr>
            </w:pPr>
            <w:r w:rsidRPr="00711C64">
              <w:rPr>
                <w:rFonts w:ascii="Arial" w:hAnsi="Arial" w:cs="Arial"/>
                <w:sz w:val="22"/>
                <w:szCs w:val="22"/>
              </w:rPr>
              <w:t>Increased research capacity and scientific knowledge.</w:t>
            </w:r>
          </w:p>
          <w:p w:rsidR="00E378B5" w:rsidRPr="0011567B" w:rsidRDefault="00E378B5" w:rsidP="000F22FE">
            <w:pPr>
              <w:pStyle w:val="ListParagraph"/>
              <w:numPr>
                <w:ilvl w:val="0"/>
                <w:numId w:val="9"/>
              </w:numPr>
              <w:ind w:left="388"/>
              <w:rPr>
                <w:rFonts w:ascii="Arial" w:hAnsi="Arial" w:cs="Arial"/>
                <w:szCs w:val="22"/>
              </w:rPr>
            </w:pPr>
            <w:r w:rsidRPr="00711C64">
              <w:rPr>
                <w:rFonts w:ascii="Arial" w:hAnsi="Arial" w:cs="Arial"/>
                <w:sz w:val="22"/>
                <w:szCs w:val="22"/>
              </w:rPr>
              <w:t xml:space="preserve">Improved skills base </w:t>
            </w:r>
            <w:r>
              <w:rPr>
                <w:rFonts w:ascii="Arial" w:hAnsi="Arial" w:cs="Arial"/>
                <w:sz w:val="22"/>
                <w:szCs w:val="22"/>
              </w:rPr>
              <w:t xml:space="preserve">of </w:t>
            </w:r>
            <w:r w:rsidRPr="00711C64">
              <w:rPr>
                <w:rFonts w:ascii="Arial" w:hAnsi="Arial" w:cs="Arial"/>
                <w:sz w:val="22"/>
                <w:szCs w:val="22"/>
              </w:rPr>
              <w:t>industry</w:t>
            </w:r>
            <w:r>
              <w:rPr>
                <w:rFonts w:ascii="Arial" w:hAnsi="Arial" w:cs="Arial"/>
                <w:sz w:val="22"/>
                <w:szCs w:val="22"/>
              </w:rPr>
              <w:t xml:space="preserve"> participants and strengthened industry confidence in the </w:t>
            </w:r>
            <w:r>
              <w:rPr>
                <w:rFonts w:ascii="Arial" w:hAnsi="Arial" w:cs="Arial"/>
                <w:color w:val="000000" w:themeColor="text1"/>
                <w:sz w:val="22"/>
                <w:szCs w:val="22"/>
              </w:rPr>
              <w:t>NMCIRG.</w:t>
            </w:r>
          </w:p>
        </w:tc>
      </w:tr>
    </w:tbl>
    <w:p w:rsidR="00E378B5" w:rsidRDefault="00E378B5" w:rsidP="00A0699E">
      <w:pPr>
        <w:spacing w:before="240" w:after="240"/>
        <w:rPr>
          <w:rFonts w:ascii="Arial" w:eastAsiaTheme="majorEastAsia" w:hAnsi="Arial" w:cs="Arial"/>
          <w:bCs/>
        </w:rPr>
      </w:pPr>
      <w:r>
        <w:rPr>
          <w:rFonts w:ascii="Arial" w:eastAsiaTheme="majorEastAsia" w:hAnsi="Arial" w:cs="Arial"/>
          <w:bCs/>
        </w:rPr>
        <w:t>Diagrams of the elements of the improved scheme are represented in Figure 2 (Scheme Version 2) and Figure 3 (Scheme Version 3). The evolution of the improvements can be traced via the changes made from Version 1 (the original scheme depicted in Figure 1) to Version 3 (the final and current grading scheme).</w:t>
      </w:r>
    </w:p>
    <w:p w:rsidR="00A0699E" w:rsidRDefault="00A0699E">
      <w:pPr>
        <w:spacing w:line="276" w:lineRule="auto"/>
        <w:rPr>
          <w:rFonts w:ascii="Arial" w:hAnsi="Arial" w:cs="Arial"/>
          <w:bCs/>
          <w:szCs w:val="22"/>
          <w:lang w:eastAsia="en-AU"/>
        </w:rPr>
      </w:pPr>
      <w:bookmarkStart w:id="79" w:name="_Toc476387760"/>
      <w:r>
        <w:rPr>
          <w:rFonts w:ascii="Arial" w:hAnsi="Arial"/>
          <w:b/>
          <w:szCs w:val="22"/>
        </w:rPr>
        <w:br w:type="page"/>
      </w:r>
    </w:p>
    <w:p w:rsidR="00E86ACB" w:rsidRPr="00E86ACB" w:rsidRDefault="00E378B5" w:rsidP="00E86ACB">
      <w:pPr>
        <w:pStyle w:val="Caption"/>
        <w:spacing w:after="240"/>
        <w:jc w:val="center"/>
        <w:rPr>
          <w:rFonts w:ascii="Arial" w:eastAsiaTheme="majorEastAsia" w:hAnsi="Arial"/>
          <w:b w:val="0"/>
          <w:sz w:val="22"/>
          <w:szCs w:val="22"/>
        </w:rPr>
      </w:pPr>
      <w:r w:rsidRPr="00E86ACB">
        <w:rPr>
          <w:rFonts w:ascii="Arial" w:hAnsi="Arial"/>
          <w:b w:val="0"/>
          <w:sz w:val="22"/>
          <w:szCs w:val="22"/>
        </w:rPr>
        <w:t xml:space="preserve">Figure </w:t>
      </w:r>
      <w:r w:rsidRPr="00E86ACB">
        <w:rPr>
          <w:rFonts w:ascii="Arial" w:hAnsi="Arial"/>
          <w:b w:val="0"/>
          <w:i/>
          <w:sz w:val="22"/>
          <w:szCs w:val="22"/>
        </w:rPr>
        <w:fldChar w:fldCharType="begin"/>
      </w:r>
      <w:r w:rsidRPr="00E86ACB">
        <w:rPr>
          <w:rFonts w:ascii="Arial" w:hAnsi="Arial"/>
          <w:b w:val="0"/>
          <w:sz w:val="22"/>
          <w:szCs w:val="22"/>
        </w:rPr>
        <w:instrText xml:space="preserve"> SEQ Figure \* ARABIC </w:instrText>
      </w:r>
      <w:r w:rsidRPr="00E86ACB">
        <w:rPr>
          <w:rFonts w:ascii="Arial" w:hAnsi="Arial"/>
          <w:b w:val="0"/>
          <w:i/>
          <w:sz w:val="22"/>
          <w:szCs w:val="22"/>
        </w:rPr>
        <w:fldChar w:fldCharType="separate"/>
      </w:r>
      <w:r w:rsidR="00DF217D">
        <w:rPr>
          <w:rFonts w:ascii="Arial" w:hAnsi="Arial"/>
          <w:b w:val="0"/>
          <w:noProof/>
          <w:sz w:val="22"/>
          <w:szCs w:val="22"/>
        </w:rPr>
        <w:t>2</w:t>
      </w:r>
      <w:r w:rsidRPr="00E86ACB">
        <w:rPr>
          <w:rFonts w:ascii="Arial" w:hAnsi="Arial"/>
          <w:b w:val="0"/>
          <w:i/>
          <w:sz w:val="22"/>
          <w:szCs w:val="22"/>
        </w:rPr>
        <w:fldChar w:fldCharType="end"/>
      </w:r>
      <w:r w:rsidRPr="00E86ACB">
        <w:rPr>
          <w:rFonts w:ascii="Arial" w:eastAsiaTheme="majorEastAsia" w:hAnsi="Arial"/>
          <w:b w:val="0"/>
          <w:sz w:val="22"/>
          <w:szCs w:val="22"/>
        </w:rPr>
        <w:t>: Schematic Diagram for Version 2 of the Grading Scheme</w:t>
      </w:r>
      <w:bookmarkEnd w:id="79"/>
    </w:p>
    <w:p w:rsidR="00E378B5" w:rsidRDefault="00E378B5" w:rsidP="00E378B5">
      <w:pPr>
        <w:jc w:val="center"/>
        <w:rPr>
          <w:rFonts w:ascii="Arial" w:eastAsiaTheme="majorEastAsia" w:hAnsi="Arial" w:cs="Arial"/>
          <w:bCs/>
        </w:rPr>
      </w:pPr>
      <w:r w:rsidRPr="009D181F">
        <w:rPr>
          <w:rFonts w:ascii="Arial" w:eastAsiaTheme="majorEastAsia" w:hAnsi="Arial" w:cs="Arial"/>
          <w:bCs/>
          <w:noProof/>
          <w:lang w:eastAsia="en-AU"/>
        </w:rPr>
        <w:drawing>
          <wp:inline distT="0" distB="0" distL="0" distR="0" wp14:anchorId="5405FC68" wp14:editId="04B1061D">
            <wp:extent cx="5731510" cy="3958083"/>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58083"/>
                    </a:xfrm>
                    <a:prstGeom prst="rect">
                      <a:avLst/>
                    </a:prstGeom>
                    <a:noFill/>
                    <a:ln>
                      <a:noFill/>
                    </a:ln>
                  </pic:spPr>
                </pic:pic>
              </a:graphicData>
            </a:graphic>
          </wp:inline>
        </w:drawing>
      </w:r>
    </w:p>
    <w:p w:rsidR="00E378B5" w:rsidRDefault="00E378B5" w:rsidP="00E378B5">
      <w:pPr>
        <w:jc w:val="center"/>
        <w:rPr>
          <w:rFonts w:ascii="Arial" w:eastAsiaTheme="majorEastAsia" w:hAnsi="Arial" w:cs="Arial"/>
          <w:bCs/>
        </w:rPr>
      </w:pPr>
    </w:p>
    <w:p w:rsidR="00E86ACB" w:rsidRPr="00E86ACB" w:rsidRDefault="00E378B5" w:rsidP="00E86ACB">
      <w:pPr>
        <w:pStyle w:val="Caption"/>
        <w:spacing w:after="240"/>
        <w:jc w:val="center"/>
        <w:rPr>
          <w:rFonts w:ascii="Arial" w:hAnsi="Arial"/>
          <w:b w:val="0"/>
          <w:sz w:val="22"/>
          <w:szCs w:val="22"/>
        </w:rPr>
      </w:pPr>
      <w:bookmarkStart w:id="80" w:name="_Toc476387761"/>
      <w:bookmarkStart w:id="81" w:name="_Toc442159249"/>
      <w:r w:rsidRPr="00E86ACB">
        <w:rPr>
          <w:rFonts w:ascii="Arial" w:hAnsi="Arial"/>
          <w:b w:val="0"/>
          <w:sz w:val="22"/>
          <w:szCs w:val="22"/>
        </w:rPr>
        <w:t xml:space="preserve">Figure </w:t>
      </w:r>
      <w:r w:rsidRPr="00E86ACB">
        <w:rPr>
          <w:rFonts w:ascii="Arial" w:hAnsi="Arial"/>
          <w:b w:val="0"/>
          <w:sz w:val="22"/>
          <w:szCs w:val="22"/>
        </w:rPr>
        <w:fldChar w:fldCharType="begin"/>
      </w:r>
      <w:r w:rsidRPr="00E86ACB">
        <w:rPr>
          <w:rFonts w:ascii="Arial" w:hAnsi="Arial"/>
          <w:b w:val="0"/>
          <w:sz w:val="22"/>
          <w:szCs w:val="22"/>
        </w:rPr>
        <w:instrText xml:space="preserve"> SEQ Figure \* ARABIC </w:instrText>
      </w:r>
      <w:r w:rsidRPr="00E86ACB">
        <w:rPr>
          <w:rFonts w:ascii="Arial" w:hAnsi="Arial"/>
          <w:b w:val="0"/>
          <w:sz w:val="22"/>
          <w:szCs w:val="22"/>
        </w:rPr>
        <w:fldChar w:fldCharType="separate"/>
      </w:r>
      <w:r w:rsidR="00DF217D">
        <w:rPr>
          <w:rFonts w:ascii="Arial" w:hAnsi="Arial"/>
          <w:b w:val="0"/>
          <w:noProof/>
          <w:sz w:val="22"/>
          <w:szCs w:val="22"/>
        </w:rPr>
        <w:t>3</w:t>
      </w:r>
      <w:r w:rsidRPr="00E86ACB">
        <w:rPr>
          <w:rFonts w:ascii="Arial" w:hAnsi="Arial"/>
          <w:b w:val="0"/>
          <w:sz w:val="22"/>
          <w:szCs w:val="22"/>
        </w:rPr>
        <w:fldChar w:fldCharType="end"/>
      </w:r>
      <w:r w:rsidRPr="00E86ACB">
        <w:rPr>
          <w:rFonts w:ascii="Arial" w:hAnsi="Arial"/>
          <w:b w:val="0"/>
          <w:sz w:val="22"/>
          <w:szCs w:val="22"/>
        </w:rPr>
        <w:t>: Schematic Diagram for Version 3 of the Grading Scheme</w:t>
      </w:r>
      <w:bookmarkEnd w:id="80"/>
    </w:p>
    <w:p w:rsidR="00E378B5" w:rsidRDefault="00E378B5" w:rsidP="00E378B5">
      <w:r w:rsidRPr="00445374">
        <w:rPr>
          <w:noProof/>
          <w:lang w:eastAsia="en-AU"/>
        </w:rPr>
        <w:drawing>
          <wp:inline distT="0" distB="0" distL="0" distR="0" wp14:anchorId="16444255" wp14:editId="53B16868">
            <wp:extent cx="5731510" cy="3957030"/>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57030"/>
                    </a:xfrm>
                    <a:prstGeom prst="rect">
                      <a:avLst/>
                    </a:prstGeom>
                    <a:noFill/>
                    <a:ln>
                      <a:noFill/>
                    </a:ln>
                  </pic:spPr>
                </pic:pic>
              </a:graphicData>
            </a:graphic>
          </wp:inline>
        </w:drawing>
      </w:r>
    </w:p>
    <w:p w:rsidR="00E378B5" w:rsidRPr="00E86ACB" w:rsidRDefault="00E378B5" w:rsidP="00A0699E">
      <w:pPr>
        <w:spacing w:after="240"/>
        <w:rPr>
          <w:rFonts w:ascii="Arial" w:hAnsi="Arial" w:cs="Arial"/>
          <w:b/>
          <w:sz w:val="40"/>
          <w:szCs w:val="40"/>
        </w:rPr>
      </w:pPr>
      <w:bookmarkStart w:id="82" w:name="_Toc486145216"/>
      <w:bookmarkStart w:id="83" w:name="_Toc486145325"/>
      <w:bookmarkStart w:id="84" w:name="_Toc486146241"/>
      <w:r w:rsidRPr="00E86ACB">
        <w:rPr>
          <w:rFonts w:ascii="Arial" w:hAnsi="Arial" w:cs="Arial"/>
          <w:b/>
          <w:sz w:val="40"/>
          <w:szCs w:val="40"/>
        </w:rPr>
        <w:t>4. Project Investment</w:t>
      </w:r>
      <w:bookmarkEnd w:id="81"/>
      <w:bookmarkEnd w:id="82"/>
      <w:bookmarkEnd w:id="83"/>
      <w:bookmarkEnd w:id="84"/>
      <w:r w:rsidRPr="00E86ACB">
        <w:rPr>
          <w:rFonts w:ascii="Arial" w:hAnsi="Arial" w:cs="Arial"/>
          <w:b/>
          <w:sz w:val="40"/>
          <w:szCs w:val="40"/>
        </w:rPr>
        <w:t xml:space="preserve"> </w:t>
      </w:r>
      <w:bookmarkStart w:id="85" w:name="_Toc465932639"/>
    </w:p>
    <w:bookmarkEnd w:id="85"/>
    <w:p w:rsidR="00E378B5" w:rsidRPr="00AA0B42" w:rsidRDefault="00E378B5" w:rsidP="00A0699E">
      <w:pPr>
        <w:spacing w:after="240"/>
        <w:rPr>
          <w:rFonts w:ascii="Arial" w:hAnsi="Arial" w:cs="Arial"/>
          <w:b/>
        </w:rPr>
      </w:pPr>
      <w:r w:rsidRPr="00AA0B42">
        <w:rPr>
          <w:rFonts w:ascii="Arial" w:hAnsi="Arial" w:cs="Arial"/>
          <w:b/>
        </w:rPr>
        <w:t xml:space="preserve">Nominal Investment </w:t>
      </w:r>
    </w:p>
    <w:p w:rsidR="00E378B5" w:rsidRPr="00F45195" w:rsidRDefault="00E378B5" w:rsidP="00A0699E">
      <w:pPr>
        <w:spacing w:after="240"/>
        <w:rPr>
          <w:rFonts w:ascii="Arial" w:hAnsi="Arial" w:cs="Arial"/>
        </w:rPr>
      </w:pPr>
      <w:r w:rsidRPr="00F45195">
        <w:rPr>
          <w:rFonts w:ascii="Arial" w:hAnsi="Arial" w:cs="Arial"/>
        </w:rPr>
        <w:t>Table 2 shows the annual investment for the project funded by DAF</w:t>
      </w:r>
      <w:r>
        <w:rPr>
          <w:rFonts w:ascii="Arial" w:hAnsi="Arial" w:cs="Arial"/>
        </w:rPr>
        <w:t xml:space="preserve">, FRDC and </w:t>
      </w:r>
      <w:r w:rsidRPr="00F45195">
        <w:rPr>
          <w:rFonts w:ascii="Arial" w:hAnsi="Arial" w:cs="Arial"/>
        </w:rPr>
        <w:t xml:space="preserve">other investors. </w:t>
      </w:r>
      <w:bookmarkStart w:id="86" w:name="_Toc417640342"/>
      <w:bookmarkStart w:id="87" w:name="_Toc413148564"/>
      <w:bookmarkStart w:id="88" w:name="_Toc413149091"/>
      <w:bookmarkStart w:id="89" w:name="_Toc442159265"/>
    </w:p>
    <w:p w:rsidR="00E86ACB" w:rsidRPr="00E86ACB" w:rsidRDefault="00E378B5" w:rsidP="00E86ACB">
      <w:pPr>
        <w:pStyle w:val="Caption"/>
        <w:spacing w:after="240"/>
        <w:jc w:val="center"/>
        <w:rPr>
          <w:rFonts w:ascii="Arial" w:hAnsi="Arial"/>
          <w:b w:val="0"/>
          <w:sz w:val="22"/>
          <w:szCs w:val="22"/>
        </w:rPr>
      </w:pPr>
      <w:bookmarkStart w:id="90" w:name="_Toc476387748"/>
      <w:bookmarkEnd w:id="86"/>
      <w:bookmarkEnd w:id="87"/>
      <w:bookmarkEnd w:id="88"/>
      <w:bookmarkEnd w:id="89"/>
      <w:r w:rsidRPr="00E86ACB">
        <w:rPr>
          <w:rFonts w:ascii="Arial" w:hAnsi="Arial"/>
          <w:b w:val="0"/>
          <w:sz w:val="22"/>
          <w:szCs w:val="22"/>
        </w:rPr>
        <w:t xml:space="preserve">Table </w:t>
      </w:r>
      <w:r w:rsidRPr="00E86ACB">
        <w:rPr>
          <w:rFonts w:ascii="Arial" w:hAnsi="Arial"/>
          <w:b w:val="0"/>
          <w:sz w:val="22"/>
          <w:szCs w:val="22"/>
        </w:rPr>
        <w:fldChar w:fldCharType="begin"/>
      </w:r>
      <w:r w:rsidRPr="00E86ACB">
        <w:rPr>
          <w:rFonts w:ascii="Arial" w:hAnsi="Arial"/>
          <w:b w:val="0"/>
          <w:sz w:val="22"/>
          <w:szCs w:val="22"/>
        </w:rPr>
        <w:instrText xml:space="preserve"> SEQ Table \* ARABIC </w:instrText>
      </w:r>
      <w:r w:rsidRPr="00E86ACB">
        <w:rPr>
          <w:rFonts w:ascii="Arial" w:hAnsi="Arial"/>
          <w:b w:val="0"/>
          <w:sz w:val="22"/>
          <w:szCs w:val="22"/>
        </w:rPr>
        <w:fldChar w:fldCharType="separate"/>
      </w:r>
      <w:r w:rsidR="00DF217D">
        <w:rPr>
          <w:rFonts w:ascii="Arial" w:hAnsi="Arial"/>
          <w:b w:val="0"/>
          <w:noProof/>
          <w:sz w:val="22"/>
          <w:szCs w:val="22"/>
        </w:rPr>
        <w:t>2</w:t>
      </w:r>
      <w:r w:rsidRPr="00E86ACB">
        <w:rPr>
          <w:rFonts w:ascii="Arial" w:hAnsi="Arial"/>
          <w:b w:val="0"/>
          <w:sz w:val="22"/>
          <w:szCs w:val="22"/>
        </w:rPr>
        <w:fldChar w:fldCharType="end"/>
      </w:r>
      <w:r w:rsidRPr="00E86ACB">
        <w:rPr>
          <w:rFonts w:ascii="Arial" w:hAnsi="Arial"/>
          <w:b w:val="0"/>
          <w:sz w:val="22"/>
          <w:szCs w:val="22"/>
        </w:rPr>
        <w:t>: Annual Investment in the Project (nominal $)</w:t>
      </w:r>
      <w:bookmarkEnd w:id="90"/>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515"/>
        <w:gridCol w:w="1516"/>
        <w:gridCol w:w="1516"/>
        <w:gridCol w:w="1516"/>
      </w:tblGrid>
      <w:tr w:rsidR="00E378B5" w:rsidRPr="00B739B9" w:rsidTr="00E378B5">
        <w:trPr>
          <w:trHeight w:val="245"/>
          <w:jc w:val="center"/>
        </w:trPr>
        <w:tc>
          <w:tcPr>
            <w:tcW w:w="1424" w:type="pct"/>
            <w:shd w:val="clear" w:color="auto" w:fill="auto"/>
            <w:vAlign w:val="center"/>
            <w:hideMark/>
          </w:tcPr>
          <w:p w:rsidR="00E378B5" w:rsidRPr="00F45195" w:rsidRDefault="00E378B5" w:rsidP="00E378B5">
            <w:pPr>
              <w:rPr>
                <w:rFonts w:ascii="Arial" w:hAnsi="Arial" w:cs="Arial"/>
                <w:b/>
                <w:bCs/>
                <w:lang w:eastAsia="en-AU"/>
              </w:rPr>
            </w:pPr>
            <w:r w:rsidRPr="00F45195">
              <w:rPr>
                <w:rFonts w:ascii="Arial" w:hAnsi="Arial" w:cs="Arial"/>
                <w:b/>
                <w:bCs/>
                <w:lang w:eastAsia="en-AU"/>
              </w:rPr>
              <w:t>Year ended 30</w:t>
            </w:r>
            <w:r w:rsidRPr="00F45195">
              <w:rPr>
                <w:rFonts w:ascii="Arial" w:hAnsi="Arial" w:cs="Arial"/>
                <w:b/>
                <w:bCs/>
                <w:vertAlign w:val="superscript"/>
                <w:lang w:eastAsia="en-AU"/>
              </w:rPr>
              <w:t>th</w:t>
            </w:r>
            <w:r w:rsidRPr="00F45195">
              <w:rPr>
                <w:rFonts w:ascii="Arial" w:hAnsi="Arial" w:cs="Arial"/>
                <w:b/>
                <w:bCs/>
                <w:lang w:eastAsia="en-AU"/>
              </w:rPr>
              <w:t xml:space="preserve"> June</w:t>
            </w:r>
          </w:p>
        </w:tc>
        <w:tc>
          <w:tcPr>
            <w:tcW w:w="893" w:type="pct"/>
            <w:shd w:val="clear" w:color="auto" w:fill="auto"/>
            <w:hideMark/>
          </w:tcPr>
          <w:p w:rsidR="00E378B5" w:rsidRPr="00F45195" w:rsidRDefault="00E378B5" w:rsidP="00E378B5">
            <w:pPr>
              <w:jc w:val="center"/>
              <w:rPr>
                <w:rFonts w:ascii="Arial" w:hAnsi="Arial" w:cs="Arial"/>
                <w:b/>
                <w:bCs/>
                <w:lang w:eastAsia="en-AU"/>
              </w:rPr>
            </w:pPr>
            <w:r w:rsidRPr="00F45195">
              <w:rPr>
                <w:rFonts w:ascii="Arial" w:hAnsi="Arial" w:cs="Arial"/>
                <w:b/>
                <w:bCs/>
                <w:lang w:eastAsia="en-AU"/>
              </w:rPr>
              <w:t>DAF</w:t>
            </w:r>
          </w:p>
        </w:tc>
        <w:tc>
          <w:tcPr>
            <w:tcW w:w="894" w:type="pct"/>
            <w:shd w:val="clear" w:color="auto" w:fill="auto"/>
            <w:hideMark/>
          </w:tcPr>
          <w:p w:rsidR="00E378B5" w:rsidRPr="00F45195" w:rsidRDefault="00E378B5" w:rsidP="00E378B5">
            <w:pPr>
              <w:jc w:val="center"/>
              <w:rPr>
                <w:rFonts w:ascii="Arial" w:hAnsi="Arial" w:cs="Arial"/>
                <w:b/>
                <w:bCs/>
                <w:lang w:eastAsia="en-AU"/>
              </w:rPr>
            </w:pPr>
            <w:r w:rsidRPr="00F45195">
              <w:rPr>
                <w:rFonts w:ascii="Arial" w:hAnsi="Arial" w:cs="Arial"/>
                <w:b/>
                <w:bCs/>
                <w:lang w:eastAsia="en-AU"/>
              </w:rPr>
              <w:t>FRDC</w:t>
            </w:r>
          </w:p>
        </w:tc>
        <w:tc>
          <w:tcPr>
            <w:tcW w:w="894" w:type="pct"/>
          </w:tcPr>
          <w:p w:rsidR="00E378B5" w:rsidRPr="00F45195" w:rsidRDefault="00E378B5" w:rsidP="00E378B5">
            <w:pPr>
              <w:jc w:val="center"/>
              <w:rPr>
                <w:rFonts w:ascii="Arial" w:hAnsi="Arial" w:cs="Arial"/>
                <w:b/>
                <w:bCs/>
                <w:lang w:eastAsia="en-AU"/>
              </w:rPr>
            </w:pPr>
            <w:r w:rsidRPr="00F45195">
              <w:rPr>
                <w:rFonts w:ascii="Arial" w:hAnsi="Arial" w:cs="Arial"/>
                <w:b/>
                <w:bCs/>
                <w:lang w:eastAsia="en-AU"/>
              </w:rPr>
              <w:t>OTHER</w:t>
            </w:r>
          </w:p>
        </w:tc>
        <w:tc>
          <w:tcPr>
            <w:tcW w:w="894" w:type="pct"/>
            <w:shd w:val="clear" w:color="auto" w:fill="auto"/>
            <w:hideMark/>
          </w:tcPr>
          <w:p w:rsidR="00E378B5" w:rsidRPr="00F45195" w:rsidRDefault="00E378B5" w:rsidP="00E378B5">
            <w:pPr>
              <w:jc w:val="center"/>
              <w:rPr>
                <w:rFonts w:ascii="Arial" w:hAnsi="Arial" w:cs="Arial"/>
                <w:b/>
                <w:bCs/>
                <w:lang w:eastAsia="en-AU"/>
              </w:rPr>
            </w:pPr>
            <w:r w:rsidRPr="00F45195">
              <w:rPr>
                <w:rFonts w:ascii="Arial" w:hAnsi="Arial" w:cs="Arial"/>
                <w:b/>
                <w:bCs/>
                <w:lang w:eastAsia="en-AU"/>
              </w:rPr>
              <w:t>TOTAL</w:t>
            </w:r>
          </w:p>
        </w:tc>
      </w:tr>
      <w:tr w:rsidR="00E378B5" w:rsidRPr="00B739B9" w:rsidTr="00E378B5">
        <w:trPr>
          <w:trHeight w:val="245"/>
          <w:jc w:val="center"/>
        </w:trPr>
        <w:tc>
          <w:tcPr>
            <w:tcW w:w="1424" w:type="pct"/>
            <w:shd w:val="clear" w:color="auto" w:fill="auto"/>
          </w:tcPr>
          <w:p w:rsidR="00E378B5" w:rsidRPr="00F45195" w:rsidRDefault="00E378B5" w:rsidP="00E378B5">
            <w:pPr>
              <w:jc w:val="both"/>
              <w:rPr>
                <w:rFonts w:ascii="Arial" w:hAnsi="Arial" w:cs="Arial"/>
              </w:rPr>
            </w:pPr>
            <w:r w:rsidRPr="00F45195">
              <w:rPr>
                <w:rFonts w:ascii="Arial" w:hAnsi="Arial" w:cs="Arial"/>
              </w:rPr>
              <w:t>2015</w:t>
            </w:r>
          </w:p>
        </w:tc>
        <w:tc>
          <w:tcPr>
            <w:tcW w:w="893" w:type="pct"/>
            <w:shd w:val="clear" w:color="auto" w:fill="auto"/>
          </w:tcPr>
          <w:p w:rsidR="00E378B5" w:rsidRPr="00F45195" w:rsidRDefault="00E378B5" w:rsidP="00E378B5">
            <w:pPr>
              <w:jc w:val="right"/>
              <w:rPr>
                <w:rFonts w:ascii="Arial" w:hAnsi="Arial" w:cs="Arial"/>
                <w:lang w:eastAsia="en-AU"/>
              </w:rPr>
            </w:pPr>
            <w:r w:rsidRPr="00F45195">
              <w:rPr>
                <w:rFonts w:ascii="Arial" w:hAnsi="Arial" w:cs="Arial"/>
                <w:lang w:eastAsia="en-AU"/>
              </w:rPr>
              <w:t>199,249</w:t>
            </w:r>
          </w:p>
        </w:tc>
        <w:tc>
          <w:tcPr>
            <w:tcW w:w="894" w:type="pct"/>
            <w:shd w:val="clear" w:color="auto" w:fill="auto"/>
          </w:tcPr>
          <w:p w:rsidR="00E378B5" w:rsidRPr="00F45195" w:rsidRDefault="00E378B5" w:rsidP="00E378B5">
            <w:pPr>
              <w:jc w:val="right"/>
              <w:rPr>
                <w:rFonts w:ascii="Arial" w:hAnsi="Arial" w:cs="Arial"/>
                <w:lang w:eastAsia="en-AU"/>
              </w:rPr>
            </w:pPr>
            <w:r w:rsidRPr="00F45195">
              <w:rPr>
                <w:rFonts w:ascii="Arial" w:hAnsi="Arial" w:cs="Arial"/>
                <w:lang w:eastAsia="en-AU"/>
              </w:rPr>
              <w:t>49,937.80</w:t>
            </w:r>
          </w:p>
        </w:tc>
        <w:tc>
          <w:tcPr>
            <w:tcW w:w="894" w:type="pct"/>
          </w:tcPr>
          <w:p w:rsidR="00E378B5" w:rsidRPr="00F45195" w:rsidRDefault="00E378B5" w:rsidP="00E378B5">
            <w:pPr>
              <w:jc w:val="right"/>
              <w:rPr>
                <w:rFonts w:ascii="Arial" w:hAnsi="Arial" w:cs="Arial"/>
                <w:lang w:eastAsia="en-AU"/>
              </w:rPr>
            </w:pPr>
            <w:r w:rsidRPr="00F45195">
              <w:rPr>
                <w:rFonts w:ascii="Arial" w:hAnsi="Arial" w:cs="Arial"/>
                <w:lang w:eastAsia="en-AU"/>
              </w:rPr>
              <w:t>30,056</w:t>
            </w:r>
          </w:p>
        </w:tc>
        <w:tc>
          <w:tcPr>
            <w:tcW w:w="894"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279,243</w:t>
            </w:r>
          </w:p>
        </w:tc>
      </w:tr>
      <w:tr w:rsidR="00E378B5" w:rsidRPr="00B739B9" w:rsidTr="00E378B5">
        <w:trPr>
          <w:trHeight w:val="245"/>
          <w:jc w:val="center"/>
        </w:trPr>
        <w:tc>
          <w:tcPr>
            <w:tcW w:w="1424" w:type="pct"/>
            <w:shd w:val="clear" w:color="auto" w:fill="auto"/>
          </w:tcPr>
          <w:p w:rsidR="00E378B5" w:rsidRPr="00F45195" w:rsidRDefault="00E378B5" w:rsidP="00E378B5">
            <w:pPr>
              <w:jc w:val="both"/>
              <w:rPr>
                <w:rFonts w:ascii="Arial" w:hAnsi="Arial" w:cs="Arial"/>
              </w:rPr>
            </w:pPr>
            <w:r w:rsidRPr="00F45195">
              <w:rPr>
                <w:rFonts w:ascii="Arial" w:hAnsi="Arial" w:cs="Arial"/>
              </w:rPr>
              <w:t>2016</w:t>
            </w:r>
          </w:p>
        </w:tc>
        <w:tc>
          <w:tcPr>
            <w:tcW w:w="893" w:type="pct"/>
            <w:shd w:val="clear" w:color="auto" w:fill="auto"/>
          </w:tcPr>
          <w:p w:rsidR="00E378B5" w:rsidRPr="00F45195" w:rsidRDefault="00E378B5" w:rsidP="00E378B5">
            <w:pPr>
              <w:jc w:val="right"/>
              <w:rPr>
                <w:rFonts w:ascii="Arial" w:hAnsi="Arial" w:cs="Arial"/>
                <w:lang w:eastAsia="en-AU"/>
              </w:rPr>
            </w:pPr>
            <w:r w:rsidRPr="00F45195">
              <w:rPr>
                <w:rFonts w:ascii="Arial" w:hAnsi="Arial" w:cs="Arial"/>
                <w:lang w:eastAsia="en-AU"/>
              </w:rPr>
              <w:t>176,079</w:t>
            </w:r>
          </w:p>
        </w:tc>
        <w:tc>
          <w:tcPr>
            <w:tcW w:w="894" w:type="pct"/>
            <w:shd w:val="clear" w:color="auto" w:fill="auto"/>
          </w:tcPr>
          <w:p w:rsidR="00E378B5" w:rsidRPr="00F45195" w:rsidRDefault="00E378B5" w:rsidP="00E378B5">
            <w:pPr>
              <w:jc w:val="right"/>
              <w:rPr>
                <w:rFonts w:ascii="Arial" w:hAnsi="Arial" w:cs="Arial"/>
                <w:lang w:eastAsia="en-AU"/>
              </w:rPr>
            </w:pPr>
            <w:r w:rsidRPr="00F45195">
              <w:rPr>
                <w:rFonts w:ascii="Arial" w:hAnsi="Arial" w:cs="Arial"/>
                <w:lang w:eastAsia="en-AU"/>
              </w:rPr>
              <w:t>72,467.20</w:t>
            </w:r>
          </w:p>
        </w:tc>
        <w:tc>
          <w:tcPr>
            <w:tcW w:w="894" w:type="pct"/>
          </w:tcPr>
          <w:p w:rsidR="00E378B5" w:rsidRPr="00F45195" w:rsidRDefault="00E378B5" w:rsidP="00E378B5">
            <w:pPr>
              <w:jc w:val="right"/>
              <w:rPr>
                <w:rFonts w:ascii="Arial" w:hAnsi="Arial" w:cs="Arial"/>
                <w:lang w:eastAsia="en-AU"/>
              </w:rPr>
            </w:pPr>
            <w:r w:rsidRPr="00F45195">
              <w:rPr>
                <w:rFonts w:ascii="Arial" w:hAnsi="Arial" w:cs="Arial"/>
                <w:lang w:eastAsia="en-AU"/>
              </w:rPr>
              <w:t>27,718</w:t>
            </w:r>
          </w:p>
        </w:tc>
        <w:tc>
          <w:tcPr>
            <w:tcW w:w="894"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276,264</w:t>
            </w:r>
          </w:p>
        </w:tc>
      </w:tr>
      <w:tr w:rsidR="00E378B5" w:rsidRPr="00B739B9" w:rsidTr="00E378B5">
        <w:trPr>
          <w:trHeight w:val="245"/>
          <w:jc w:val="center"/>
        </w:trPr>
        <w:tc>
          <w:tcPr>
            <w:tcW w:w="1424" w:type="pct"/>
            <w:shd w:val="clear" w:color="auto" w:fill="D9D9D9" w:themeFill="background1" w:themeFillShade="D9"/>
            <w:vAlign w:val="center"/>
            <w:hideMark/>
          </w:tcPr>
          <w:p w:rsidR="00E378B5" w:rsidRPr="00F45195" w:rsidRDefault="00E378B5" w:rsidP="00E378B5">
            <w:pPr>
              <w:rPr>
                <w:rFonts w:ascii="Arial" w:hAnsi="Arial" w:cs="Arial"/>
                <w:b/>
                <w:bCs/>
                <w:lang w:eastAsia="en-AU"/>
              </w:rPr>
            </w:pPr>
            <w:r w:rsidRPr="00F45195">
              <w:rPr>
                <w:rFonts w:ascii="Arial" w:hAnsi="Arial" w:cs="Arial"/>
                <w:b/>
                <w:bCs/>
                <w:lang w:eastAsia="en-AU"/>
              </w:rPr>
              <w:t>Totals</w:t>
            </w:r>
          </w:p>
        </w:tc>
        <w:tc>
          <w:tcPr>
            <w:tcW w:w="893" w:type="pct"/>
            <w:shd w:val="clear" w:color="auto" w:fill="D9D9D9" w:themeFill="background1" w:themeFillShade="D9"/>
          </w:tcPr>
          <w:p w:rsidR="00E378B5" w:rsidRPr="00F45195" w:rsidRDefault="00E378B5" w:rsidP="00E378B5">
            <w:pPr>
              <w:jc w:val="right"/>
              <w:rPr>
                <w:rFonts w:ascii="Arial" w:hAnsi="Arial" w:cs="Arial"/>
                <w:b/>
                <w:lang w:eastAsia="en-AU"/>
              </w:rPr>
            </w:pPr>
            <w:r w:rsidRPr="00F45195">
              <w:rPr>
                <w:rFonts w:ascii="Arial" w:hAnsi="Arial" w:cs="Arial"/>
              </w:rPr>
              <w:t xml:space="preserve">375,328 </w:t>
            </w:r>
          </w:p>
        </w:tc>
        <w:tc>
          <w:tcPr>
            <w:tcW w:w="894" w:type="pct"/>
            <w:shd w:val="clear" w:color="auto" w:fill="D9D9D9" w:themeFill="background1" w:themeFillShade="D9"/>
          </w:tcPr>
          <w:p w:rsidR="00E378B5" w:rsidRPr="00F45195" w:rsidRDefault="00E378B5" w:rsidP="00E378B5">
            <w:pPr>
              <w:jc w:val="right"/>
              <w:rPr>
                <w:rFonts w:ascii="Arial" w:hAnsi="Arial" w:cs="Arial"/>
                <w:b/>
                <w:lang w:eastAsia="en-AU"/>
              </w:rPr>
            </w:pPr>
            <w:r w:rsidRPr="00F45195">
              <w:rPr>
                <w:rFonts w:ascii="Arial" w:hAnsi="Arial" w:cs="Arial"/>
              </w:rPr>
              <w:t xml:space="preserve">122,405 </w:t>
            </w:r>
          </w:p>
        </w:tc>
        <w:tc>
          <w:tcPr>
            <w:tcW w:w="894" w:type="pct"/>
            <w:shd w:val="clear" w:color="auto" w:fill="D9D9D9" w:themeFill="background1" w:themeFillShade="D9"/>
          </w:tcPr>
          <w:p w:rsidR="00E378B5" w:rsidRPr="00F45195" w:rsidRDefault="00E378B5" w:rsidP="00E378B5">
            <w:pPr>
              <w:jc w:val="right"/>
              <w:rPr>
                <w:rFonts w:ascii="Arial" w:hAnsi="Arial" w:cs="Arial"/>
              </w:rPr>
            </w:pPr>
            <w:r w:rsidRPr="00F45195">
              <w:rPr>
                <w:rFonts w:ascii="Arial" w:hAnsi="Arial" w:cs="Arial"/>
              </w:rPr>
              <w:t>57,774</w:t>
            </w:r>
          </w:p>
        </w:tc>
        <w:tc>
          <w:tcPr>
            <w:tcW w:w="894" w:type="pct"/>
            <w:shd w:val="clear" w:color="auto" w:fill="D9D9D9" w:themeFill="background1" w:themeFillShade="D9"/>
          </w:tcPr>
          <w:p w:rsidR="00E378B5" w:rsidRPr="00F45195" w:rsidRDefault="00E378B5" w:rsidP="00E378B5">
            <w:pPr>
              <w:jc w:val="right"/>
              <w:rPr>
                <w:rFonts w:ascii="Arial" w:hAnsi="Arial" w:cs="Arial"/>
                <w:b/>
                <w:lang w:eastAsia="en-AU"/>
              </w:rPr>
            </w:pPr>
            <w:r>
              <w:rPr>
                <w:rFonts w:ascii="Arial" w:hAnsi="Arial" w:cs="Arial"/>
              </w:rPr>
              <w:t>555,507</w:t>
            </w:r>
          </w:p>
        </w:tc>
      </w:tr>
    </w:tbl>
    <w:p w:rsidR="00E378B5" w:rsidRDefault="00E378B5" w:rsidP="00E378B5">
      <w:pPr>
        <w:pStyle w:val="Table"/>
      </w:pPr>
    </w:p>
    <w:p w:rsidR="00E378B5" w:rsidRPr="00914AFC" w:rsidRDefault="00E378B5" w:rsidP="00A0699E">
      <w:pPr>
        <w:spacing w:after="240"/>
        <w:rPr>
          <w:rFonts w:ascii="Arial" w:hAnsi="Arial" w:cs="Arial"/>
          <w:b/>
        </w:rPr>
      </w:pPr>
      <w:bookmarkStart w:id="91" w:name="_Toc465932640"/>
      <w:r w:rsidRPr="00914AFC">
        <w:rPr>
          <w:rFonts w:ascii="Arial" w:hAnsi="Arial" w:cs="Arial"/>
          <w:b/>
        </w:rPr>
        <w:t>Program Management Costs</w:t>
      </w:r>
      <w:bookmarkEnd w:id="91"/>
    </w:p>
    <w:p w:rsidR="00E378B5" w:rsidRDefault="00E378B5" w:rsidP="00E378B5">
      <w:pPr>
        <w:rPr>
          <w:rFonts w:ascii="Arial" w:hAnsi="Arial" w:cs="Arial"/>
        </w:rPr>
      </w:pPr>
      <w:r>
        <w:rPr>
          <w:rFonts w:ascii="Arial" w:hAnsi="Arial" w:cs="Arial"/>
        </w:rPr>
        <w:t>For the DAF and other investment, the management and administration costs for the project are already built into the nominal $ amounts appearing in Table 2. The salary multipliers that had been used (Wayne Hall, pers. comm., 2017) were:</w:t>
      </w:r>
    </w:p>
    <w:p w:rsidR="00E378B5" w:rsidRPr="00AA0B42" w:rsidRDefault="00E378B5" w:rsidP="000F22FE">
      <w:pPr>
        <w:numPr>
          <w:ilvl w:val="0"/>
          <w:numId w:val="19"/>
        </w:numPr>
        <w:autoSpaceDE w:val="0"/>
        <w:autoSpaceDN w:val="0"/>
        <w:contextualSpacing/>
        <w:rPr>
          <w:rFonts w:ascii="Arial" w:eastAsia="Calibri" w:hAnsi="Arial" w:cs="Arial"/>
        </w:rPr>
      </w:pPr>
      <w:r w:rsidRPr="00AA0B42">
        <w:rPr>
          <w:rFonts w:ascii="Arial" w:eastAsia="Calibri" w:hAnsi="Arial" w:cs="Arial"/>
          <w:lang w:eastAsia="en-AU"/>
        </w:rPr>
        <w:t xml:space="preserve">2.85 multiplier for salaries contributed by DAF </w:t>
      </w:r>
    </w:p>
    <w:p w:rsidR="00E378B5" w:rsidRDefault="00E378B5" w:rsidP="00A0699E">
      <w:pPr>
        <w:numPr>
          <w:ilvl w:val="0"/>
          <w:numId w:val="19"/>
        </w:numPr>
        <w:autoSpaceDE w:val="0"/>
        <w:autoSpaceDN w:val="0"/>
        <w:spacing w:after="240"/>
        <w:contextualSpacing/>
        <w:rPr>
          <w:rFonts w:ascii="Arial" w:eastAsia="Calibri" w:hAnsi="Arial" w:cs="Arial"/>
        </w:rPr>
      </w:pPr>
      <w:r w:rsidRPr="00AA0B42">
        <w:rPr>
          <w:rFonts w:ascii="Arial" w:eastAsia="Calibri" w:hAnsi="Arial" w:cs="Arial"/>
          <w:lang w:eastAsia="en-AU"/>
        </w:rPr>
        <w:t>1.85 multiplier for salaries paid for by other parties</w:t>
      </w:r>
    </w:p>
    <w:p w:rsidR="00A0699E" w:rsidRPr="00AA0B42" w:rsidRDefault="00A0699E" w:rsidP="00A0699E">
      <w:pPr>
        <w:autoSpaceDE w:val="0"/>
        <w:autoSpaceDN w:val="0"/>
        <w:spacing w:after="240"/>
        <w:contextualSpacing/>
        <w:rPr>
          <w:rFonts w:ascii="Arial" w:eastAsia="Calibri" w:hAnsi="Arial" w:cs="Arial"/>
        </w:rPr>
      </w:pPr>
    </w:p>
    <w:p w:rsidR="00E378B5" w:rsidRPr="001D7412" w:rsidRDefault="00E378B5" w:rsidP="00A0699E">
      <w:pPr>
        <w:spacing w:before="240" w:after="240"/>
        <w:rPr>
          <w:rFonts w:ascii="Arial" w:hAnsi="Arial" w:cs="Arial"/>
        </w:rPr>
      </w:pPr>
      <w:r>
        <w:rPr>
          <w:rFonts w:ascii="Arial" w:hAnsi="Arial" w:cs="Arial"/>
        </w:rPr>
        <w:t>For FRDC investment, t</w:t>
      </w:r>
      <w:r w:rsidRPr="001D7412">
        <w:rPr>
          <w:rFonts w:ascii="Arial" w:hAnsi="Arial" w:cs="Arial"/>
        </w:rPr>
        <w:t xml:space="preserve">he cost of managing the </w:t>
      </w:r>
      <w:r>
        <w:rPr>
          <w:rFonts w:ascii="Arial" w:hAnsi="Arial" w:cs="Arial"/>
        </w:rPr>
        <w:t xml:space="preserve">FRDC funding </w:t>
      </w:r>
      <w:r w:rsidRPr="001D7412">
        <w:rPr>
          <w:rFonts w:ascii="Arial" w:hAnsi="Arial" w:cs="Arial"/>
        </w:rPr>
        <w:t xml:space="preserve">was added to the </w:t>
      </w:r>
      <w:r>
        <w:rPr>
          <w:rFonts w:ascii="Arial" w:hAnsi="Arial" w:cs="Arial"/>
        </w:rPr>
        <w:t xml:space="preserve">FRDC contribution </w:t>
      </w:r>
      <w:r w:rsidRPr="001D7412">
        <w:rPr>
          <w:rFonts w:ascii="Arial" w:hAnsi="Arial" w:cs="Arial"/>
        </w:rPr>
        <w:t>via a management cost multiplier (</w:t>
      </w:r>
      <w:r>
        <w:rPr>
          <w:rFonts w:ascii="Arial" w:hAnsi="Arial" w:cs="Arial"/>
        </w:rPr>
        <w:t>1</w:t>
      </w:r>
      <w:r w:rsidRPr="001D7412">
        <w:rPr>
          <w:rFonts w:ascii="Arial" w:hAnsi="Arial" w:cs="Arial"/>
        </w:rPr>
        <w:t xml:space="preserve">.115); this was estimated based on the reported share of ‘employee benefits’ </w:t>
      </w:r>
      <w:r>
        <w:rPr>
          <w:rFonts w:ascii="Arial" w:hAnsi="Arial" w:cs="Arial"/>
        </w:rPr>
        <w:t>and</w:t>
      </w:r>
      <w:r w:rsidRPr="001D7412">
        <w:rPr>
          <w:rFonts w:ascii="Arial" w:hAnsi="Arial" w:cs="Arial"/>
        </w:rPr>
        <w:t xml:space="preserve"> ‘supplier’ expenses in total FRDC expenditure (FRDC, 2016</w:t>
      </w:r>
      <w:r>
        <w:rPr>
          <w:rFonts w:ascii="Arial" w:hAnsi="Arial" w:cs="Arial"/>
        </w:rPr>
        <w:t>b</w:t>
      </w:r>
      <w:r w:rsidRPr="001D7412">
        <w:rPr>
          <w:rFonts w:ascii="Arial" w:hAnsi="Arial" w:cs="Arial"/>
        </w:rPr>
        <w:t xml:space="preserve">). </w:t>
      </w:r>
      <w:r>
        <w:rPr>
          <w:rFonts w:ascii="Arial" w:hAnsi="Arial" w:cs="Arial"/>
        </w:rPr>
        <w:t xml:space="preserve">This multiplier was applied to the nominal investment by FRDC shown in Table 2.  </w:t>
      </w:r>
    </w:p>
    <w:p w:rsidR="00E378B5" w:rsidRPr="000A2974" w:rsidRDefault="00E378B5" w:rsidP="00A0699E">
      <w:pPr>
        <w:spacing w:after="240"/>
        <w:rPr>
          <w:rFonts w:ascii="Arial" w:hAnsi="Arial" w:cs="Arial"/>
          <w:b/>
          <w:color w:val="FF0000"/>
          <w:sz w:val="24"/>
        </w:rPr>
      </w:pPr>
      <w:r w:rsidRPr="000A2974">
        <w:rPr>
          <w:rFonts w:ascii="Arial" w:hAnsi="Arial" w:cs="Arial"/>
          <w:b/>
          <w:color w:val="000000" w:themeColor="text1"/>
          <w:sz w:val="24"/>
        </w:rPr>
        <w:t xml:space="preserve">Real </w:t>
      </w:r>
      <w:r w:rsidRPr="00A0699E">
        <w:rPr>
          <w:rFonts w:ascii="Arial" w:hAnsi="Arial" w:cs="Arial"/>
          <w:b/>
        </w:rPr>
        <w:t>Investment</w:t>
      </w:r>
      <w:r w:rsidRPr="000A2974">
        <w:rPr>
          <w:rFonts w:ascii="Arial" w:hAnsi="Arial" w:cs="Arial"/>
          <w:b/>
          <w:color w:val="000000" w:themeColor="text1"/>
          <w:sz w:val="24"/>
        </w:rPr>
        <w:t xml:space="preserve"> and Extension Costs  </w:t>
      </w:r>
    </w:p>
    <w:p w:rsidR="00E378B5" w:rsidRDefault="00E378B5" w:rsidP="00E378B5">
      <w:pPr>
        <w:rPr>
          <w:rFonts w:ascii="Arial" w:hAnsi="Arial" w:cs="Arial"/>
        </w:rPr>
      </w:pPr>
      <w:r>
        <w:rPr>
          <w:rFonts w:ascii="Arial" w:hAnsi="Arial" w:cs="Arial"/>
          <w:color w:val="000000" w:themeColor="text1"/>
        </w:rPr>
        <w:t xml:space="preserve">For purposes of the investment analysis, the investment costs of all parties were expressed in 2015/16 $ terms using the GDP deflator index.   </w:t>
      </w:r>
      <w:r w:rsidRPr="001D7412">
        <w:rPr>
          <w:rFonts w:ascii="Arial" w:hAnsi="Arial" w:cs="Arial"/>
        </w:rPr>
        <w:t xml:space="preserve">No additional costs of extension were included as the project was extension-focussed and involved </w:t>
      </w:r>
      <w:r>
        <w:rPr>
          <w:rFonts w:ascii="Arial" w:hAnsi="Arial" w:cs="Arial"/>
        </w:rPr>
        <w:t xml:space="preserve">a high level of industry </w:t>
      </w:r>
      <w:r w:rsidRPr="001D7412">
        <w:rPr>
          <w:rFonts w:ascii="Arial" w:hAnsi="Arial" w:cs="Arial"/>
        </w:rPr>
        <w:t xml:space="preserve">participation.   </w:t>
      </w:r>
    </w:p>
    <w:p w:rsidR="00E378B5" w:rsidRPr="006F1273" w:rsidRDefault="00E378B5" w:rsidP="00E378B5">
      <w:pPr>
        <w:rPr>
          <w:color w:val="FF0000"/>
        </w:rPr>
      </w:pPr>
    </w:p>
    <w:p w:rsidR="00E378B5" w:rsidRPr="00E86ACB" w:rsidRDefault="00E378B5" w:rsidP="00E86ACB">
      <w:pPr>
        <w:spacing w:after="240"/>
        <w:rPr>
          <w:rFonts w:ascii="Arial" w:hAnsi="Arial" w:cs="Arial"/>
          <w:b/>
          <w:sz w:val="40"/>
          <w:szCs w:val="40"/>
        </w:rPr>
      </w:pPr>
      <w:bookmarkStart w:id="92" w:name="_Toc442159250"/>
      <w:bookmarkStart w:id="93" w:name="_Toc486145217"/>
      <w:bookmarkStart w:id="94" w:name="_Toc486145326"/>
      <w:bookmarkStart w:id="95" w:name="_Toc486146242"/>
      <w:r w:rsidRPr="00E86ACB">
        <w:rPr>
          <w:rFonts w:ascii="Arial" w:hAnsi="Arial" w:cs="Arial"/>
          <w:b/>
          <w:sz w:val="40"/>
          <w:szCs w:val="40"/>
        </w:rPr>
        <w:t>5. Impacts</w:t>
      </w:r>
      <w:bookmarkEnd w:id="92"/>
      <w:bookmarkEnd w:id="93"/>
      <w:bookmarkEnd w:id="94"/>
      <w:bookmarkEnd w:id="95"/>
    </w:p>
    <w:p w:rsidR="00E378B5" w:rsidRPr="005C5FAB" w:rsidRDefault="00E378B5" w:rsidP="00A0699E">
      <w:pPr>
        <w:spacing w:after="240"/>
        <w:rPr>
          <w:rFonts w:ascii="Arial" w:hAnsi="Arial" w:cs="Arial"/>
        </w:rPr>
      </w:pPr>
      <w:r w:rsidRPr="005C5FAB">
        <w:rPr>
          <w:rFonts w:ascii="Arial" w:hAnsi="Arial" w:cs="Arial"/>
        </w:rPr>
        <w:t xml:space="preserve">The revised grading process </w:t>
      </w:r>
      <w:r>
        <w:rPr>
          <w:rFonts w:ascii="Arial" w:hAnsi="Arial" w:cs="Arial"/>
        </w:rPr>
        <w:t xml:space="preserve">has </w:t>
      </w:r>
      <w:r w:rsidRPr="005C5FAB">
        <w:rPr>
          <w:rFonts w:ascii="Arial" w:hAnsi="Arial" w:cs="Arial"/>
        </w:rPr>
        <w:t xml:space="preserve">been accepted and quickly adopted by all markets and supply chains / industry sectors. This is largely because the industry was highly involved in the project throughout and in the development of the new versions of the grading scheme. There are anecdotal comments in the Final Report from the Project </w:t>
      </w:r>
      <w:r>
        <w:rPr>
          <w:rFonts w:ascii="Arial" w:hAnsi="Arial" w:cs="Arial"/>
        </w:rPr>
        <w:t xml:space="preserve">(Mayze et al, 2016) </w:t>
      </w:r>
      <w:r w:rsidRPr="005C5FAB">
        <w:rPr>
          <w:rFonts w:ascii="Arial" w:hAnsi="Arial" w:cs="Arial"/>
        </w:rPr>
        <w:t>that supports this acceptance</w:t>
      </w:r>
      <w:r>
        <w:rPr>
          <w:rFonts w:ascii="Arial" w:hAnsi="Arial" w:cs="Arial"/>
        </w:rPr>
        <w:t>. Examples of such plaudits were from m</w:t>
      </w:r>
      <w:r w:rsidRPr="00AB5F04">
        <w:rPr>
          <w:rFonts w:ascii="Arial" w:hAnsi="Arial" w:cs="Arial"/>
        </w:rPr>
        <w:t xml:space="preserve">ajor mud crabbers from NSW and Queensland, </w:t>
      </w:r>
      <w:r>
        <w:rPr>
          <w:rFonts w:ascii="Arial" w:hAnsi="Arial" w:cs="Arial"/>
        </w:rPr>
        <w:t xml:space="preserve">the </w:t>
      </w:r>
      <w:r w:rsidRPr="00AB5F04">
        <w:rPr>
          <w:rFonts w:ascii="Arial" w:hAnsi="Arial" w:cs="Arial"/>
        </w:rPr>
        <w:t>Queensland Seafood Association, East Coast Crabfishers</w:t>
      </w:r>
      <w:r>
        <w:rPr>
          <w:rFonts w:ascii="Arial" w:hAnsi="Arial" w:cs="Arial"/>
        </w:rPr>
        <w:t>’</w:t>
      </w:r>
      <w:r w:rsidRPr="00AB5F04">
        <w:rPr>
          <w:rFonts w:ascii="Arial" w:hAnsi="Arial" w:cs="Arial"/>
        </w:rPr>
        <w:t xml:space="preserve"> Industry Network (QLD), a major seafood wholesaler and retailer, and two Fishermens Co-operatives</w:t>
      </w:r>
      <w:r>
        <w:rPr>
          <w:rFonts w:ascii="Arial" w:hAnsi="Arial" w:cs="Arial"/>
        </w:rPr>
        <w:t>.</w:t>
      </w:r>
    </w:p>
    <w:p w:rsidR="00E378B5" w:rsidRPr="004E7E9B" w:rsidRDefault="00E378B5" w:rsidP="00E378B5">
      <w:pPr>
        <w:rPr>
          <w:rFonts w:ascii="Arial" w:hAnsi="Arial" w:cs="Arial"/>
        </w:rPr>
      </w:pPr>
      <w:r w:rsidRPr="004E7E9B">
        <w:rPr>
          <w:rFonts w:ascii="Arial" w:hAnsi="Arial" w:cs="Arial"/>
        </w:rPr>
        <w:t>The principal potential impacts from the improvements delivered in th</w:t>
      </w:r>
      <w:r>
        <w:rPr>
          <w:rFonts w:ascii="Arial" w:hAnsi="Arial" w:cs="Arial"/>
        </w:rPr>
        <w:t>e</w:t>
      </w:r>
      <w:r w:rsidRPr="004E7E9B">
        <w:rPr>
          <w:rFonts w:ascii="Arial" w:hAnsi="Arial" w:cs="Arial"/>
        </w:rPr>
        <w:t xml:space="preserve"> </w:t>
      </w:r>
      <w:r>
        <w:rPr>
          <w:rFonts w:ascii="Arial" w:hAnsi="Arial" w:cs="Arial"/>
        </w:rPr>
        <w:t>m</w:t>
      </w:r>
      <w:r w:rsidRPr="004E7E9B">
        <w:rPr>
          <w:rFonts w:ascii="Arial" w:hAnsi="Arial" w:cs="Arial"/>
        </w:rPr>
        <w:t xml:space="preserve">ud </w:t>
      </w:r>
      <w:r>
        <w:rPr>
          <w:rFonts w:ascii="Arial" w:hAnsi="Arial" w:cs="Arial"/>
        </w:rPr>
        <w:t>c</w:t>
      </w:r>
      <w:r w:rsidRPr="004E7E9B">
        <w:rPr>
          <w:rFonts w:ascii="Arial" w:hAnsi="Arial" w:cs="Arial"/>
        </w:rPr>
        <w:t>rab grading improvement include:</w:t>
      </w:r>
    </w:p>
    <w:p w:rsidR="00E378B5" w:rsidRPr="003410C5" w:rsidRDefault="00E378B5" w:rsidP="000F22FE">
      <w:pPr>
        <w:pStyle w:val="ListParagraph"/>
        <w:numPr>
          <w:ilvl w:val="0"/>
          <w:numId w:val="15"/>
        </w:numPr>
        <w:suppressAutoHyphens/>
        <w:contextualSpacing w:val="0"/>
        <w:rPr>
          <w:rFonts w:ascii="Arial" w:hAnsi="Arial" w:cs="Arial"/>
        </w:rPr>
      </w:pPr>
      <w:r w:rsidRPr="003410C5">
        <w:rPr>
          <w:rFonts w:ascii="Arial" w:hAnsi="Arial" w:cs="Arial"/>
        </w:rPr>
        <w:t xml:space="preserve">Increased value of the industry via reduced number of product downgrades and rejections so that prices </w:t>
      </w:r>
      <w:r>
        <w:rPr>
          <w:rFonts w:ascii="Arial" w:hAnsi="Arial" w:cs="Arial"/>
        </w:rPr>
        <w:t xml:space="preserve">received by crabbers </w:t>
      </w:r>
      <w:r w:rsidRPr="003410C5">
        <w:rPr>
          <w:rFonts w:ascii="Arial" w:hAnsi="Arial" w:cs="Arial"/>
        </w:rPr>
        <w:t>better reflect actual value.</w:t>
      </w:r>
    </w:p>
    <w:p w:rsidR="00E378B5" w:rsidRPr="003410C5" w:rsidRDefault="00E378B5" w:rsidP="000F22FE">
      <w:pPr>
        <w:pStyle w:val="ListParagraph"/>
        <w:numPr>
          <w:ilvl w:val="0"/>
          <w:numId w:val="15"/>
        </w:numPr>
        <w:suppressAutoHyphens/>
        <w:contextualSpacing w:val="0"/>
        <w:rPr>
          <w:rFonts w:ascii="Arial" w:hAnsi="Arial" w:cs="Arial"/>
        </w:rPr>
      </w:pPr>
      <w:r w:rsidRPr="003410C5">
        <w:rPr>
          <w:rFonts w:ascii="Arial" w:hAnsi="Arial" w:cs="Arial"/>
        </w:rPr>
        <w:t xml:space="preserve">Potential for an increased demand for </w:t>
      </w:r>
      <w:r>
        <w:rPr>
          <w:rFonts w:ascii="Arial" w:hAnsi="Arial" w:cs="Arial"/>
        </w:rPr>
        <w:t>m</w:t>
      </w:r>
      <w:r w:rsidRPr="003410C5">
        <w:rPr>
          <w:rFonts w:ascii="Arial" w:hAnsi="Arial" w:cs="Arial"/>
        </w:rPr>
        <w:t xml:space="preserve">ud </w:t>
      </w:r>
      <w:r>
        <w:rPr>
          <w:rFonts w:ascii="Arial" w:hAnsi="Arial" w:cs="Arial"/>
        </w:rPr>
        <w:t>c</w:t>
      </w:r>
      <w:r w:rsidRPr="003410C5">
        <w:rPr>
          <w:rFonts w:ascii="Arial" w:hAnsi="Arial" w:cs="Arial"/>
        </w:rPr>
        <w:t>rab</w:t>
      </w:r>
      <w:r>
        <w:rPr>
          <w:rFonts w:ascii="Arial" w:hAnsi="Arial" w:cs="Arial"/>
        </w:rPr>
        <w:t>s</w:t>
      </w:r>
      <w:r w:rsidRPr="003410C5">
        <w:rPr>
          <w:rFonts w:ascii="Arial" w:hAnsi="Arial" w:cs="Arial"/>
        </w:rPr>
        <w:t xml:space="preserve"> for all qualities due to price better reflecting true value.</w:t>
      </w:r>
    </w:p>
    <w:p w:rsidR="00E378B5" w:rsidRPr="007435FD" w:rsidRDefault="00E378B5" w:rsidP="000F22FE">
      <w:pPr>
        <w:pStyle w:val="ListParagraph"/>
        <w:numPr>
          <w:ilvl w:val="0"/>
          <w:numId w:val="15"/>
        </w:numPr>
        <w:suppressAutoHyphens/>
        <w:ind w:left="357" w:hanging="357"/>
        <w:contextualSpacing w:val="0"/>
        <w:rPr>
          <w:rFonts w:ascii="Arial" w:hAnsi="Arial" w:cs="Arial"/>
        </w:rPr>
      </w:pPr>
      <w:r w:rsidRPr="007435FD">
        <w:rPr>
          <w:rFonts w:ascii="Arial" w:hAnsi="Arial" w:cs="Arial"/>
        </w:rPr>
        <w:t xml:space="preserve">Greater confidence </w:t>
      </w:r>
      <w:r>
        <w:rPr>
          <w:rFonts w:ascii="Arial" w:hAnsi="Arial" w:cs="Arial"/>
        </w:rPr>
        <w:t xml:space="preserve">for crabbers </w:t>
      </w:r>
      <w:r w:rsidRPr="007435FD">
        <w:rPr>
          <w:rFonts w:ascii="Arial" w:hAnsi="Arial" w:cs="Arial"/>
        </w:rPr>
        <w:t>investing in the industry</w:t>
      </w:r>
      <w:r>
        <w:rPr>
          <w:rFonts w:ascii="Arial" w:hAnsi="Arial" w:cs="Arial"/>
        </w:rPr>
        <w:t>.</w:t>
      </w:r>
      <w:r w:rsidRPr="007435FD">
        <w:rPr>
          <w:rFonts w:ascii="Arial" w:hAnsi="Arial" w:cs="Arial"/>
        </w:rPr>
        <w:t xml:space="preserve">    </w:t>
      </w:r>
    </w:p>
    <w:p w:rsidR="00E378B5" w:rsidRPr="004E7E9B" w:rsidRDefault="00E378B5" w:rsidP="000F22FE">
      <w:pPr>
        <w:pStyle w:val="ListParagraph"/>
        <w:numPr>
          <w:ilvl w:val="0"/>
          <w:numId w:val="15"/>
        </w:numPr>
        <w:suppressAutoHyphens/>
        <w:ind w:left="357" w:hanging="357"/>
        <w:contextualSpacing w:val="0"/>
        <w:rPr>
          <w:rFonts w:ascii="Arial" w:hAnsi="Arial" w:cs="Arial"/>
        </w:rPr>
      </w:pPr>
      <w:r w:rsidRPr="004E7E9B">
        <w:rPr>
          <w:rFonts w:ascii="Arial" w:hAnsi="Arial" w:cs="Arial"/>
        </w:rPr>
        <w:t>Increased equity among suppl</w:t>
      </w:r>
      <w:r>
        <w:rPr>
          <w:rFonts w:ascii="Arial" w:hAnsi="Arial" w:cs="Arial"/>
        </w:rPr>
        <w:t>iers a</w:t>
      </w:r>
      <w:r w:rsidRPr="004E7E9B">
        <w:rPr>
          <w:rFonts w:ascii="Arial" w:hAnsi="Arial" w:cs="Arial"/>
        </w:rPr>
        <w:t>ssociated with false or unnecessary downgrades or rejections</w:t>
      </w:r>
      <w:r>
        <w:rPr>
          <w:rFonts w:ascii="Arial" w:hAnsi="Arial" w:cs="Arial"/>
        </w:rPr>
        <w:t>.</w:t>
      </w:r>
      <w:r w:rsidRPr="004E7E9B">
        <w:rPr>
          <w:rFonts w:ascii="Arial" w:hAnsi="Arial" w:cs="Arial"/>
        </w:rPr>
        <w:t xml:space="preserve"> </w:t>
      </w:r>
    </w:p>
    <w:p w:rsidR="00E378B5" w:rsidRPr="004E7E9B" w:rsidRDefault="00E378B5" w:rsidP="00E378B5">
      <w:pPr>
        <w:rPr>
          <w:rFonts w:ascii="Arial" w:hAnsi="Arial" w:cs="Arial"/>
        </w:rPr>
      </w:pPr>
    </w:p>
    <w:p w:rsidR="00E378B5" w:rsidRPr="00855B2B" w:rsidRDefault="00E378B5" w:rsidP="00A0699E">
      <w:pPr>
        <w:widowControl w:val="0"/>
        <w:spacing w:after="240"/>
        <w:rPr>
          <w:rFonts w:ascii="Arial" w:hAnsi="Arial" w:cs="Arial"/>
        </w:rPr>
      </w:pPr>
      <w:r w:rsidRPr="00855B2B">
        <w:rPr>
          <w:rFonts w:ascii="Arial" w:hAnsi="Arial" w:cs="Arial"/>
        </w:rPr>
        <w:t xml:space="preserve">Table 3 provides a summary of the types of impacts categorised into economic, environmental and social impacts. </w:t>
      </w:r>
    </w:p>
    <w:p w:rsidR="00E378B5" w:rsidRPr="00E86ACB" w:rsidRDefault="00E378B5" w:rsidP="00E86ACB">
      <w:pPr>
        <w:pStyle w:val="Caption"/>
        <w:spacing w:after="240"/>
        <w:jc w:val="center"/>
        <w:rPr>
          <w:rFonts w:ascii="Arial" w:hAnsi="Arial"/>
          <w:b w:val="0"/>
          <w:sz w:val="22"/>
          <w:szCs w:val="22"/>
        </w:rPr>
      </w:pPr>
      <w:bookmarkStart w:id="96" w:name="_Toc476387749"/>
      <w:bookmarkStart w:id="97" w:name="_Toc442159269"/>
      <w:bookmarkStart w:id="98" w:name="_Toc475102782"/>
      <w:r w:rsidRPr="00E86ACB">
        <w:rPr>
          <w:rFonts w:ascii="Arial" w:hAnsi="Arial"/>
          <w:b w:val="0"/>
          <w:sz w:val="22"/>
          <w:szCs w:val="22"/>
        </w:rPr>
        <w:t xml:space="preserve">Table </w:t>
      </w:r>
      <w:r w:rsidRPr="00E86ACB">
        <w:rPr>
          <w:rFonts w:ascii="Arial" w:hAnsi="Arial"/>
          <w:b w:val="0"/>
          <w:sz w:val="22"/>
          <w:szCs w:val="22"/>
        </w:rPr>
        <w:fldChar w:fldCharType="begin"/>
      </w:r>
      <w:r w:rsidRPr="00E86ACB">
        <w:rPr>
          <w:rFonts w:ascii="Arial" w:hAnsi="Arial"/>
          <w:b w:val="0"/>
          <w:sz w:val="22"/>
          <w:szCs w:val="22"/>
        </w:rPr>
        <w:instrText xml:space="preserve"> SEQ Table \* ARABIC </w:instrText>
      </w:r>
      <w:r w:rsidRPr="00E86ACB">
        <w:rPr>
          <w:rFonts w:ascii="Arial" w:hAnsi="Arial"/>
          <w:b w:val="0"/>
          <w:sz w:val="22"/>
          <w:szCs w:val="22"/>
        </w:rPr>
        <w:fldChar w:fldCharType="separate"/>
      </w:r>
      <w:r w:rsidR="00DF217D">
        <w:rPr>
          <w:rFonts w:ascii="Arial" w:hAnsi="Arial"/>
          <w:b w:val="0"/>
          <w:noProof/>
          <w:sz w:val="22"/>
          <w:szCs w:val="22"/>
        </w:rPr>
        <w:t>3</w:t>
      </w:r>
      <w:r w:rsidRPr="00E86ACB">
        <w:rPr>
          <w:rFonts w:ascii="Arial" w:hAnsi="Arial"/>
          <w:b w:val="0"/>
          <w:sz w:val="22"/>
          <w:szCs w:val="22"/>
        </w:rPr>
        <w:fldChar w:fldCharType="end"/>
      </w:r>
      <w:r w:rsidRPr="00E86ACB">
        <w:rPr>
          <w:rFonts w:ascii="Arial" w:hAnsi="Arial"/>
          <w:b w:val="0"/>
          <w:sz w:val="22"/>
          <w:szCs w:val="22"/>
        </w:rPr>
        <w:t>: Triple Bottom Line Categories of Impacts from the Improved Grading Scheme</w:t>
      </w:r>
      <w:bookmarkEnd w:id="96"/>
      <w:bookmarkEnd w:id="97"/>
      <w:bookmarkEnd w:id="98"/>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647"/>
        <w:gridCol w:w="7229"/>
      </w:tblGrid>
      <w:tr w:rsidR="00E378B5" w:rsidRPr="007D67C2" w:rsidTr="00E378B5">
        <w:trPr>
          <w:trHeight w:val="58"/>
        </w:trPr>
        <w:tc>
          <w:tcPr>
            <w:tcW w:w="1647" w:type="dxa"/>
            <w:tcBorders>
              <w:bottom w:val="single" w:sz="4" w:space="0" w:color="auto"/>
            </w:tcBorders>
          </w:tcPr>
          <w:p w:rsidR="00E378B5" w:rsidRPr="007435FD" w:rsidRDefault="00E378B5" w:rsidP="00E378B5">
            <w:pPr>
              <w:widowControl w:val="0"/>
              <w:rPr>
                <w:rFonts w:ascii="Arial" w:hAnsi="Arial" w:cs="Arial"/>
                <w:sz w:val="22"/>
                <w:szCs w:val="22"/>
              </w:rPr>
            </w:pPr>
            <w:r w:rsidRPr="007435FD">
              <w:rPr>
                <w:rFonts w:ascii="Arial" w:hAnsi="Arial" w:cs="Arial"/>
                <w:sz w:val="22"/>
                <w:szCs w:val="22"/>
              </w:rPr>
              <w:t>Economic</w:t>
            </w:r>
          </w:p>
        </w:tc>
        <w:tc>
          <w:tcPr>
            <w:tcW w:w="7229" w:type="dxa"/>
            <w:tcBorders>
              <w:bottom w:val="single" w:sz="4" w:space="0" w:color="auto"/>
            </w:tcBorders>
          </w:tcPr>
          <w:p w:rsidR="00E378B5" w:rsidRDefault="00E378B5" w:rsidP="000F22FE">
            <w:pPr>
              <w:pStyle w:val="ListParagraph"/>
              <w:widowControl w:val="0"/>
              <w:numPr>
                <w:ilvl w:val="0"/>
                <w:numId w:val="12"/>
              </w:numPr>
              <w:suppressAutoHyphens/>
              <w:contextualSpacing w:val="0"/>
              <w:rPr>
                <w:rFonts w:ascii="Arial" w:hAnsi="Arial" w:cs="Arial"/>
                <w:sz w:val="22"/>
                <w:szCs w:val="22"/>
              </w:rPr>
            </w:pPr>
            <w:r w:rsidRPr="007435FD">
              <w:rPr>
                <w:rFonts w:ascii="Arial" w:hAnsi="Arial" w:cs="Arial"/>
                <w:sz w:val="22"/>
                <w:szCs w:val="22"/>
              </w:rPr>
              <w:t xml:space="preserve">Increased income to the industry due to a reduced number of crab downgrades and rejections. </w:t>
            </w:r>
          </w:p>
          <w:p w:rsidR="00E378B5" w:rsidRPr="00B92F11" w:rsidRDefault="00E378B5" w:rsidP="000F22FE">
            <w:pPr>
              <w:pStyle w:val="ListParagraph"/>
              <w:widowControl w:val="0"/>
              <w:numPr>
                <w:ilvl w:val="0"/>
                <w:numId w:val="12"/>
              </w:numPr>
              <w:suppressAutoHyphens/>
              <w:contextualSpacing w:val="0"/>
              <w:rPr>
                <w:rFonts w:ascii="Arial" w:hAnsi="Arial" w:cs="Arial"/>
                <w:color w:val="000000" w:themeColor="text1"/>
                <w:sz w:val="22"/>
                <w:szCs w:val="22"/>
              </w:rPr>
            </w:pPr>
            <w:r w:rsidRPr="00B92F11">
              <w:rPr>
                <w:rFonts w:ascii="Arial" w:hAnsi="Arial" w:cs="Arial"/>
                <w:color w:val="000000" w:themeColor="text1"/>
                <w:sz w:val="22"/>
                <w:szCs w:val="22"/>
              </w:rPr>
              <w:t xml:space="preserve">Potential for demand expansion from effect of improved and consistent product quality reaching the consumer.  </w:t>
            </w:r>
          </w:p>
          <w:p w:rsidR="00E378B5" w:rsidRDefault="00E378B5" w:rsidP="000F22FE">
            <w:pPr>
              <w:pStyle w:val="ListParagraph"/>
              <w:widowControl w:val="0"/>
              <w:numPr>
                <w:ilvl w:val="0"/>
                <w:numId w:val="12"/>
              </w:numPr>
              <w:suppressAutoHyphens/>
              <w:contextualSpacing w:val="0"/>
              <w:rPr>
                <w:rFonts w:ascii="Arial" w:hAnsi="Arial" w:cs="Arial"/>
                <w:sz w:val="22"/>
                <w:szCs w:val="22"/>
              </w:rPr>
            </w:pPr>
            <w:r w:rsidRPr="007435FD">
              <w:rPr>
                <w:rFonts w:ascii="Arial" w:hAnsi="Arial" w:cs="Arial"/>
                <w:sz w:val="22"/>
                <w:szCs w:val="22"/>
              </w:rPr>
              <w:t>Increased confidence in the efficiency of the supply chain potentially leading to greater investment in the industry by responsible parties</w:t>
            </w:r>
            <w:r>
              <w:rPr>
                <w:rFonts w:ascii="Arial" w:hAnsi="Arial" w:cs="Arial"/>
                <w:sz w:val="22"/>
                <w:szCs w:val="22"/>
              </w:rPr>
              <w:t>.</w:t>
            </w:r>
          </w:p>
          <w:p w:rsidR="00E378B5" w:rsidRPr="007435FD" w:rsidRDefault="00E378B5" w:rsidP="000F22FE">
            <w:pPr>
              <w:pStyle w:val="ListParagraph"/>
              <w:widowControl w:val="0"/>
              <w:numPr>
                <w:ilvl w:val="0"/>
                <w:numId w:val="12"/>
              </w:numPr>
              <w:suppressAutoHyphens/>
              <w:contextualSpacing w:val="0"/>
              <w:rPr>
                <w:rFonts w:ascii="Arial" w:hAnsi="Arial" w:cs="Arial"/>
                <w:sz w:val="22"/>
                <w:szCs w:val="22"/>
              </w:rPr>
            </w:pPr>
            <w:r>
              <w:rPr>
                <w:rFonts w:ascii="Arial" w:hAnsi="Arial" w:cs="Arial"/>
                <w:sz w:val="22"/>
                <w:szCs w:val="22"/>
              </w:rPr>
              <w:t xml:space="preserve">Contribution to potential future objective measurement systems that could further increase industry value.  </w:t>
            </w:r>
            <w:r w:rsidRPr="007435FD">
              <w:rPr>
                <w:rFonts w:ascii="Arial" w:hAnsi="Arial" w:cs="Arial"/>
                <w:sz w:val="22"/>
                <w:szCs w:val="22"/>
              </w:rPr>
              <w:t xml:space="preserve"> </w:t>
            </w:r>
            <w:r w:rsidRPr="00EA0B64">
              <w:rPr>
                <w:rFonts w:ascii="Arial" w:hAnsi="Arial" w:cs="Arial"/>
                <w:color w:val="FF0000"/>
                <w:sz w:val="22"/>
                <w:szCs w:val="22"/>
              </w:rPr>
              <w:t xml:space="preserve">  </w:t>
            </w:r>
          </w:p>
        </w:tc>
      </w:tr>
      <w:tr w:rsidR="00E378B5" w:rsidRPr="007D67C2" w:rsidTr="00E378B5">
        <w:trPr>
          <w:trHeight w:val="274"/>
        </w:trPr>
        <w:tc>
          <w:tcPr>
            <w:tcW w:w="1647" w:type="dxa"/>
          </w:tcPr>
          <w:p w:rsidR="00E378B5" w:rsidRPr="00534D78" w:rsidRDefault="00E378B5" w:rsidP="00E378B5">
            <w:pPr>
              <w:widowControl w:val="0"/>
              <w:rPr>
                <w:rFonts w:ascii="Arial" w:hAnsi="Arial" w:cs="Arial"/>
                <w:sz w:val="22"/>
                <w:szCs w:val="22"/>
              </w:rPr>
            </w:pPr>
            <w:r w:rsidRPr="00534D78">
              <w:rPr>
                <w:rFonts w:ascii="Arial" w:hAnsi="Arial" w:cs="Arial"/>
                <w:sz w:val="22"/>
                <w:szCs w:val="22"/>
              </w:rPr>
              <w:t>Environmental</w:t>
            </w:r>
          </w:p>
        </w:tc>
        <w:tc>
          <w:tcPr>
            <w:tcW w:w="7229" w:type="dxa"/>
          </w:tcPr>
          <w:p w:rsidR="00E378B5" w:rsidRPr="003F0A89" w:rsidRDefault="00E378B5" w:rsidP="000F22FE">
            <w:pPr>
              <w:pStyle w:val="ListParagraph"/>
              <w:widowControl w:val="0"/>
              <w:numPr>
                <w:ilvl w:val="0"/>
                <w:numId w:val="11"/>
              </w:numPr>
              <w:contextualSpacing w:val="0"/>
              <w:rPr>
                <w:rFonts w:ascii="Arial" w:hAnsi="Arial" w:cs="Arial"/>
                <w:sz w:val="22"/>
                <w:szCs w:val="22"/>
              </w:rPr>
            </w:pPr>
            <w:r>
              <w:rPr>
                <w:rFonts w:ascii="Arial" w:hAnsi="Arial" w:cs="Arial"/>
                <w:color w:val="000000" w:themeColor="text1"/>
                <w:sz w:val="22"/>
                <w:szCs w:val="22"/>
              </w:rPr>
              <w:t>Potential for i</w:t>
            </w:r>
            <w:r w:rsidRPr="003F0A89">
              <w:rPr>
                <w:rFonts w:ascii="Arial" w:hAnsi="Arial" w:cs="Arial"/>
                <w:color w:val="000000" w:themeColor="text1"/>
                <w:sz w:val="22"/>
                <w:szCs w:val="22"/>
              </w:rPr>
              <w:t xml:space="preserve">mproved resource sustainability due to </w:t>
            </w:r>
            <w:r>
              <w:rPr>
                <w:rFonts w:ascii="Arial" w:hAnsi="Arial" w:cs="Arial"/>
                <w:color w:val="000000" w:themeColor="text1"/>
                <w:sz w:val="22"/>
                <w:szCs w:val="22"/>
              </w:rPr>
              <w:t xml:space="preserve">increased awareness of </w:t>
            </w:r>
            <w:r w:rsidRPr="003F0A89">
              <w:rPr>
                <w:rFonts w:ascii="Arial" w:hAnsi="Arial" w:cs="Arial"/>
                <w:color w:val="000000" w:themeColor="text1"/>
                <w:sz w:val="22"/>
                <w:szCs w:val="22"/>
              </w:rPr>
              <w:t xml:space="preserve">reduced </w:t>
            </w:r>
            <w:r>
              <w:rPr>
                <w:rFonts w:ascii="Arial" w:hAnsi="Arial" w:cs="Arial"/>
                <w:color w:val="000000" w:themeColor="text1"/>
                <w:sz w:val="22"/>
                <w:szCs w:val="22"/>
              </w:rPr>
              <w:t xml:space="preserve">harvest </w:t>
            </w:r>
            <w:r w:rsidRPr="003F0A89">
              <w:rPr>
                <w:rFonts w:ascii="Arial" w:hAnsi="Arial" w:cs="Arial"/>
                <w:color w:val="000000" w:themeColor="text1"/>
                <w:sz w:val="22"/>
                <w:szCs w:val="22"/>
              </w:rPr>
              <w:t>of newly moulted crab</w:t>
            </w:r>
            <w:r>
              <w:rPr>
                <w:rFonts w:ascii="Arial" w:hAnsi="Arial" w:cs="Arial"/>
                <w:color w:val="000000" w:themeColor="text1"/>
                <w:sz w:val="22"/>
                <w:szCs w:val="22"/>
              </w:rPr>
              <w:t>s</w:t>
            </w:r>
            <w:r w:rsidRPr="003F0A89">
              <w:rPr>
                <w:rFonts w:ascii="Arial" w:hAnsi="Arial" w:cs="Arial"/>
                <w:color w:val="000000" w:themeColor="text1"/>
                <w:sz w:val="22"/>
                <w:szCs w:val="22"/>
              </w:rPr>
              <w:t>.</w:t>
            </w:r>
          </w:p>
        </w:tc>
      </w:tr>
      <w:tr w:rsidR="00E378B5" w:rsidRPr="007D67C2" w:rsidTr="00E378B5">
        <w:tc>
          <w:tcPr>
            <w:tcW w:w="1647" w:type="dxa"/>
            <w:tcBorders>
              <w:bottom w:val="single" w:sz="4" w:space="0" w:color="auto"/>
            </w:tcBorders>
          </w:tcPr>
          <w:p w:rsidR="00E378B5" w:rsidRPr="007435FD" w:rsidRDefault="00E378B5" w:rsidP="00E378B5">
            <w:pPr>
              <w:widowControl w:val="0"/>
              <w:rPr>
                <w:rFonts w:ascii="Arial" w:hAnsi="Arial" w:cs="Arial"/>
                <w:sz w:val="22"/>
                <w:szCs w:val="22"/>
              </w:rPr>
            </w:pPr>
            <w:r w:rsidRPr="007435FD">
              <w:rPr>
                <w:rFonts w:ascii="Arial" w:hAnsi="Arial" w:cs="Arial"/>
                <w:sz w:val="22"/>
                <w:szCs w:val="22"/>
              </w:rPr>
              <w:t>Social</w:t>
            </w:r>
          </w:p>
        </w:tc>
        <w:tc>
          <w:tcPr>
            <w:tcW w:w="7229" w:type="dxa"/>
            <w:tcBorders>
              <w:bottom w:val="single" w:sz="4" w:space="0" w:color="auto"/>
            </w:tcBorders>
          </w:tcPr>
          <w:p w:rsidR="00E378B5" w:rsidRPr="007435FD" w:rsidRDefault="00E378B5" w:rsidP="000F22FE">
            <w:pPr>
              <w:pStyle w:val="ListParagraph"/>
              <w:numPr>
                <w:ilvl w:val="0"/>
                <w:numId w:val="11"/>
              </w:numPr>
              <w:suppressAutoHyphens/>
              <w:contextualSpacing w:val="0"/>
              <w:rPr>
                <w:rFonts w:ascii="Arial" w:hAnsi="Arial" w:cs="Arial"/>
                <w:sz w:val="22"/>
                <w:szCs w:val="22"/>
              </w:rPr>
            </w:pPr>
            <w:r w:rsidRPr="007435FD">
              <w:rPr>
                <w:rFonts w:ascii="Arial" w:hAnsi="Arial" w:cs="Arial"/>
                <w:sz w:val="22"/>
                <w:szCs w:val="22"/>
              </w:rPr>
              <w:t>Increased equity in the supply chain re</w:t>
            </w:r>
            <w:r>
              <w:rPr>
                <w:rFonts w:ascii="Arial" w:hAnsi="Arial" w:cs="Arial"/>
                <w:sz w:val="22"/>
                <w:szCs w:val="22"/>
              </w:rPr>
              <w:t>g</w:t>
            </w:r>
            <w:r w:rsidRPr="007435FD">
              <w:rPr>
                <w:rFonts w:ascii="Arial" w:hAnsi="Arial" w:cs="Arial"/>
                <w:sz w:val="22"/>
                <w:szCs w:val="22"/>
              </w:rPr>
              <w:t xml:space="preserve">arding rewarding </w:t>
            </w:r>
            <w:r>
              <w:rPr>
                <w:rFonts w:ascii="Arial" w:hAnsi="Arial" w:cs="Arial"/>
                <w:sz w:val="22"/>
                <w:szCs w:val="22"/>
              </w:rPr>
              <w:t xml:space="preserve">compliance and good management. </w:t>
            </w:r>
            <w:r w:rsidRPr="007435FD">
              <w:rPr>
                <w:rFonts w:ascii="Arial" w:hAnsi="Arial" w:cs="Arial"/>
                <w:sz w:val="22"/>
                <w:szCs w:val="22"/>
              </w:rPr>
              <w:t xml:space="preserve"> </w:t>
            </w:r>
          </w:p>
          <w:p w:rsidR="00E378B5" w:rsidRDefault="00E378B5" w:rsidP="000F22FE">
            <w:pPr>
              <w:pStyle w:val="ListParagraph"/>
              <w:numPr>
                <w:ilvl w:val="0"/>
                <w:numId w:val="11"/>
              </w:numPr>
              <w:suppressAutoHyphens/>
              <w:contextualSpacing w:val="0"/>
              <w:rPr>
                <w:rFonts w:ascii="Arial" w:hAnsi="Arial" w:cs="Arial"/>
                <w:sz w:val="22"/>
                <w:szCs w:val="22"/>
              </w:rPr>
            </w:pPr>
            <w:r>
              <w:rPr>
                <w:rFonts w:ascii="Arial" w:hAnsi="Arial" w:cs="Arial"/>
                <w:sz w:val="22"/>
                <w:szCs w:val="22"/>
              </w:rPr>
              <w:t xml:space="preserve">Animal welfare improvements due to less individual crab damage from strength testing.  </w:t>
            </w:r>
          </w:p>
          <w:p w:rsidR="00E378B5" w:rsidRPr="007435FD" w:rsidRDefault="00E378B5" w:rsidP="000F22FE">
            <w:pPr>
              <w:pStyle w:val="ListParagraph"/>
              <w:numPr>
                <w:ilvl w:val="0"/>
                <w:numId w:val="11"/>
              </w:numPr>
              <w:suppressAutoHyphens/>
              <w:contextualSpacing w:val="0"/>
              <w:rPr>
                <w:rFonts w:ascii="Arial" w:hAnsi="Arial" w:cs="Arial"/>
                <w:sz w:val="22"/>
                <w:szCs w:val="22"/>
              </w:rPr>
            </w:pPr>
            <w:r w:rsidRPr="007435FD">
              <w:rPr>
                <w:rFonts w:ascii="Arial" w:hAnsi="Arial" w:cs="Arial"/>
                <w:sz w:val="22"/>
                <w:szCs w:val="22"/>
              </w:rPr>
              <w:t>Increased industry capacity to develop and negotiate solutions to industry issues</w:t>
            </w:r>
            <w:r>
              <w:rPr>
                <w:rFonts w:ascii="Arial" w:hAnsi="Arial" w:cs="Arial"/>
                <w:sz w:val="22"/>
                <w:szCs w:val="22"/>
              </w:rPr>
              <w:t xml:space="preserve"> in future. </w:t>
            </w:r>
            <w:r w:rsidRPr="007435FD">
              <w:rPr>
                <w:rFonts w:ascii="Arial" w:hAnsi="Arial" w:cs="Arial"/>
                <w:sz w:val="22"/>
                <w:szCs w:val="22"/>
              </w:rPr>
              <w:t xml:space="preserve"> </w:t>
            </w:r>
          </w:p>
          <w:p w:rsidR="00E378B5" w:rsidRPr="007435FD" w:rsidRDefault="00E378B5" w:rsidP="000F22FE">
            <w:pPr>
              <w:pStyle w:val="ListParagraph"/>
              <w:numPr>
                <w:ilvl w:val="0"/>
                <w:numId w:val="11"/>
              </w:numPr>
              <w:suppressAutoHyphens/>
              <w:contextualSpacing w:val="0"/>
              <w:rPr>
                <w:rFonts w:ascii="Arial" w:hAnsi="Arial" w:cs="Arial"/>
                <w:sz w:val="22"/>
                <w:szCs w:val="22"/>
              </w:rPr>
            </w:pPr>
            <w:r w:rsidRPr="007435FD">
              <w:rPr>
                <w:rFonts w:ascii="Arial" w:hAnsi="Arial" w:cs="Arial"/>
                <w:sz w:val="22"/>
                <w:szCs w:val="22"/>
              </w:rPr>
              <w:t xml:space="preserve">Increased scientific </w:t>
            </w:r>
            <w:r>
              <w:rPr>
                <w:rFonts w:ascii="Arial" w:hAnsi="Arial" w:cs="Arial"/>
                <w:sz w:val="22"/>
                <w:szCs w:val="22"/>
              </w:rPr>
              <w:t xml:space="preserve">and </w:t>
            </w:r>
            <w:r w:rsidRPr="007435FD">
              <w:rPr>
                <w:rFonts w:ascii="Arial" w:hAnsi="Arial" w:cs="Arial"/>
                <w:sz w:val="22"/>
                <w:szCs w:val="22"/>
              </w:rPr>
              <w:t xml:space="preserve">research capacity </w:t>
            </w:r>
            <w:r>
              <w:rPr>
                <w:rFonts w:ascii="Arial" w:hAnsi="Arial" w:cs="Arial"/>
                <w:sz w:val="22"/>
                <w:szCs w:val="22"/>
              </w:rPr>
              <w:t xml:space="preserve">relevant to objective measurement of </w:t>
            </w:r>
            <w:r w:rsidRPr="007435FD">
              <w:rPr>
                <w:rFonts w:ascii="Arial" w:hAnsi="Arial" w:cs="Arial"/>
                <w:sz w:val="22"/>
                <w:szCs w:val="22"/>
              </w:rPr>
              <w:t>live crustacean</w:t>
            </w:r>
            <w:r>
              <w:rPr>
                <w:rFonts w:ascii="Arial" w:hAnsi="Arial" w:cs="Arial"/>
                <w:sz w:val="22"/>
                <w:szCs w:val="22"/>
              </w:rPr>
              <w:t>s.</w:t>
            </w:r>
            <w:r w:rsidRPr="007435FD">
              <w:rPr>
                <w:rFonts w:ascii="Arial" w:hAnsi="Arial" w:cs="Arial"/>
                <w:sz w:val="22"/>
                <w:szCs w:val="22"/>
              </w:rPr>
              <w:t xml:space="preserve">  </w:t>
            </w:r>
          </w:p>
          <w:p w:rsidR="00E378B5" w:rsidRPr="007435FD" w:rsidRDefault="00E378B5" w:rsidP="000F22FE">
            <w:pPr>
              <w:pStyle w:val="ListParagraph"/>
              <w:numPr>
                <w:ilvl w:val="0"/>
                <w:numId w:val="11"/>
              </w:numPr>
              <w:suppressAutoHyphens/>
              <w:contextualSpacing w:val="0"/>
              <w:rPr>
                <w:rFonts w:ascii="Arial" w:hAnsi="Arial" w:cs="Arial"/>
                <w:sz w:val="22"/>
                <w:szCs w:val="22"/>
              </w:rPr>
            </w:pPr>
            <w:r>
              <w:rPr>
                <w:rFonts w:ascii="Arial" w:hAnsi="Arial" w:cs="Arial"/>
                <w:sz w:val="22"/>
                <w:szCs w:val="22"/>
              </w:rPr>
              <w:t>Spinoff to i</w:t>
            </w:r>
            <w:r w:rsidRPr="007435FD">
              <w:rPr>
                <w:rFonts w:ascii="Arial" w:hAnsi="Arial" w:cs="Arial"/>
                <w:sz w:val="22"/>
                <w:szCs w:val="22"/>
              </w:rPr>
              <w:t xml:space="preserve">ncreased community well-being through the spill-over effects of increased </w:t>
            </w:r>
            <w:r>
              <w:rPr>
                <w:rFonts w:ascii="Arial" w:hAnsi="Arial" w:cs="Arial"/>
                <w:sz w:val="22"/>
                <w:szCs w:val="22"/>
              </w:rPr>
              <w:t xml:space="preserve">crabber </w:t>
            </w:r>
            <w:r w:rsidRPr="007435FD">
              <w:rPr>
                <w:rFonts w:ascii="Arial" w:hAnsi="Arial" w:cs="Arial"/>
                <w:sz w:val="22"/>
                <w:szCs w:val="22"/>
              </w:rPr>
              <w:t>confidence, incomes, and profitability.</w:t>
            </w:r>
          </w:p>
        </w:tc>
      </w:tr>
    </w:tbl>
    <w:p w:rsidR="00E378B5" w:rsidRPr="00D267A4" w:rsidRDefault="00E378B5" w:rsidP="00A0699E">
      <w:pPr>
        <w:widowControl w:val="0"/>
        <w:spacing w:before="240" w:after="240"/>
        <w:rPr>
          <w:rFonts w:ascii="Arial" w:hAnsi="Arial" w:cs="Arial"/>
          <w:b/>
        </w:rPr>
      </w:pPr>
      <w:r w:rsidRPr="00D267A4">
        <w:rPr>
          <w:rFonts w:ascii="Arial" w:hAnsi="Arial" w:cs="Arial"/>
          <w:b/>
        </w:rPr>
        <w:t xml:space="preserve">Public versus Private Impacts </w:t>
      </w:r>
    </w:p>
    <w:p w:rsidR="00E378B5" w:rsidRPr="00D267A4" w:rsidRDefault="00E378B5" w:rsidP="00A0699E">
      <w:pPr>
        <w:spacing w:after="240"/>
        <w:rPr>
          <w:rFonts w:ascii="Arial" w:hAnsi="Arial" w:cs="Arial"/>
        </w:rPr>
      </w:pPr>
      <w:r w:rsidRPr="00D267A4">
        <w:rPr>
          <w:rFonts w:ascii="Arial" w:hAnsi="Arial" w:cs="Arial"/>
        </w:rPr>
        <w:t xml:space="preserve">Most impacts identified in this evaluation are industry related and therefore the benefits are considered private benefits. Some minor public benefits have been delivered, including social benefits in the form of improved equity, some community spillovers, </w:t>
      </w:r>
      <w:r>
        <w:rPr>
          <w:rFonts w:ascii="Arial" w:hAnsi="Arial" w:cs="Arial"/>
        </w:rPr>
        <w:t xml:space="preserve">animal welfare improvements </w:t>
      </w:r>
      <w:r w:rsidRPr="00D267A4">
        <w:rPr>
          <w:rFonts w:ascii="Arial" w:hAnsi="Arial" w:cs="Arial"/>
        </w:rPr>
        <w:t>and the building of industry and scientific capacity.</w:t>
      </w:r>
    </w:p>
    <w:p w:rsidR="00E378B5" w:rsidRPr="00D267A4" w:rsidRDefault="00E378B5" w:rsidP="00A0699E">
      <w:pPr>
        <w:widowControl w:val="0"/>
        <w:spacing w:before="240" w:after="240"/>
        <w:rPr>
          <w:rFonts w:ascii="Arial" w:hAnsi="Arial" w:cs="Arial"/>
          <w:b/>
        </w:rPr>
      </w:pPr>
      <w:r w:rsidRPr="00D267A4">
        <w:rPr>
          <w:rFonts w:ascii="Arial" w:hAnsi="Arial" w:cs="Arial"/>
          <w:b/>
        </w:rPr>
        <w:t xml:space="preserve">Distribution of Private Impacts </w:t>
      </w:r>
    </w:p>
    <w:p w:rsidR="00E378B5" w:rsidRPr="001419D7" w:rsidRDefault="00E378B5" w:rsidP="00A0699E">
      <w:pPr>
        <w:spacing w:after="240"/>
        <w:rPr>
          <w:rFonts w:ascii="Arial" w:hAnsi="Arial" w:cs="Arial"/>
        </w:rPr>
      </w:pPr>
      <w:r w:rsidRPr="001419D7">
        <w:rPr>
          <w:rFonts w:ascii="Arial" w:hAnsi="Arial" w:cs="Arial"/>
        </w:rPr>
        <w:t xml:space="preserve">The beneficiaries of the improved commercial grading scheme will be the captured by the commercial sector of the mud crab industry. This will include the SFM suppliers as well as crabbers and suppliers to other markets. There will be only limited </w:t>
      </w:r>
      <w:r>
        <w:rPr>
          <w:rFonts w:ascii="Arial" w:hAnsi="Arial" w:cs="Arial"/>
        </w:rPr>
        <w:t xml:space="preserve">impacts for </w:t>
      </w:r>
      <w:r w:rsidRPr="001419D7">
        <w:rPr>
          <w:rFonts w:ascii="Arial" w:hAnsi="Arial" w:cs="Arial"/>
        </w:rPr>
        <w:t xml:space="preserve">the recreational and indigenous crabber sectors. </w:t>
      </w:r>
    </w:p>
    <w:p w:rsidR="00E378B5" w:rsidRPr="001419D7" w:rsidRDefault="00E378B5" w:rsidP="00A0699E">
      <w:pPr>
        <w:spacing w:after="240"/>
        <w:rPr>
          <w:rFonts w:ascii="Arial" w:hAnsi="Arial" w:cs="Arial"/>
        </w:rPr>
      </w:pPr>
      <w:r w:rsidRPr="001419D7">
        <w:rPr>
          <w:rFonts w:ascii="Arial" w:hAnsi="Arial" w:cs="Arial"/>
        </w:rPr>
        <w:t xml:space="preserve">It can be assumed that the distribution of the benefits from the revised grading scheme will be distributed between participants along the </w:t>
      </w:r>
      <w:r>
        <w:rPr>
          <w:rFonts w:ascii="Arial" w:hAnsi="Arial" w:cs="Arial"/>
        </w:rPr>
        <w:t xml:space="preserve">commercial </w:t>
      </w:r>
      <w:r w:rsidRPr="001419D7">
        <w:rPr>
          <w:rFonts w:ascii="Arial" w:hAnsi="Arial" w:cs="Arial"/>
        </w:rPr>
        <w:t>supply chain</w:t>
      </w:r>
      <w:r>
        <w:rPr>
          <w:rFonts w:ascii="Arial" w:hAnsi="Arial" w:cs="Arial"/>
        </w:rPr>
        <w:t>s</w:t>
      </w:r>
      <w:r w:rsidRPr="001419D7">
        <w:rPr>
          <w:rFonts w:ascii="Arial" w:hAnsi="Arial" w:cs="Arial"/>
        </w:rPr>
        <w:t xml:space="preserve">, including final consumers. The only losers from the new grading system will be confined to those who were misusing or abusing the previous scheme.  </w:t>
      </w:r>
    </w:p>
    <w:p w:rsidR="00E378B5" w:rsidRPr="00826F3B" w:rsidRDefault="00E378B5" w:rsidP="00A0699E">
      <w:pPr>
        <w:widowControl w:val="0"/>
        <w:spacing w:before="240" w:after="240"/>
        <w:rPr>
          <w:rFonts w:ascii="Arial" w:hAnsi="Arial" w:cs="Arial"/>
          <w:b/>
          <w:sz w:val="24"/>
        </w:rPr>
      </w:pPr>
      <w:r w:rsidRPr="00826F3B">
        <w:rPr>
          <w:rFonts w:ascii="Arial" w:hAnsi="Arial" w:cs="Arial"/>
          <w:b/>
          <w:sz w:val="24"/>
        </w:rPr>
        <w:t xml:space="preserve">Impacts on other </w:t>
      </w:r>
      <w:r>
        <w:rPr>
          <w:rFonts w:ascii="Arial" w:hAnsi="Arial" w:cs="Arial"/>
          <w:b/>
          <w:sz w:val="24"/>
        </w:rPr>
        <w:t xml:space="preserve">Australian </w:t>
      </w:r>
      <w:r w:rsidRPr="00826F3B">
        <w:rPr>
          <w:rFonts w:ascii="Arial" w:hAnsi="Arial" w:cs="Arial"/>
          <w:b/>
          <w:sz w:val="24"/>
        </w:rPr>
        <w:t>industries</w:t>
      </w:r>
    </w:p>
    <w:p w:rsidR="00E378B5" w:rsidRPr="00D17E12" w:rsidRDefault="00E378B5" w:rsidP="00E378B5">
      <w:pPr>
        <w:widowControl w:val="0"/>
        <w:rPr>
          <w:rFonts w:ascii="Arial" w:hAnsi="Arial" w:cs="Arial"/>
          <w:color w:val="000000" w:themeColor="text1"/>
        </w:rPr>
      </w:pPr>
      <w:r w:rsidRPr="00D17E12">
        <w:rPr>
          <w:rFonts w:ascii="Arial" w:hAnsi="Arial" w:cs="Arial"/>
          <w:color w:val="000000" w:themeColor="text1"/>
        </w:rPr>
        <w:t>It is assumed that project impacts will be confined to the Australian</w:t>
      </w:r>
      <w:r>
        <w:rPr>
          <w:rFonts w:ascii="Arial" w:hAnsi="Arial" w:cs="Arial"/>
          <w:color w:val="000000" w:themeColor="text1"/>
        </w:rPr>
        <w:t xml:space="preserve"> mud crab</w:t>
      </w:r>
      <w:r w:rsidRPr="00D17E12">
        <w:rPr>
          <w:rFonts w:ascii="Arial" w:hAnsi="Arial" w:cs="Arial"/>
          <w:color w:val="000000" w:themeColor="text1"/>
        </w:rPr>
        <w:t xml:space="preserve"> industry</w:t>
      </w:r>
      <w:r>
        <w:rPr>
          <w:rFonts w:ascii="Arial" w:hAnsi="Arial" w:cs="Arial"/>
          <w:color w:val="000000" w:themeColor="text1"/>
        </w:rPr>
        <w:t>.</w:t>
      </w:r>
      <w:r w:rsidRPr="00D17E12">
        <w:rPr>
          <w:rFonts w:ascii="Arial" w:hAnsi="Arial" w:cs="Arial"/>
          <w:color w:val="000000" w:themeColor="text1"/>
        </w:rPr>
        <w:t xml:space="preserve"> </w:t>
      </w:r>
      <w:r>
        <w:rPr>
          <w:rFonts w:ascii="Arial" w:hAnsi="Arial" w:cs="Arial"/>
          <w:color w:val="000000" w:themeColor="text1"/>
        </w:rPr>
        <w:t>O</w:t>
      </w:r>
      <w:r w:rsidRPr="00D17E12">
        <w:rPr>
          <w:rFonts w:ascii="Arial" w:hAnsi="Arial" w:cs="Arial"/>
          <w:color w:val="000000" w:themeColor="text1"/>
        </w:rPr>
        <w:t xml:space="preserve">ther </w:t>
      </w:r>
      <w:r>
        <w:rPr>
          <w:rFonts w:ascii="Arial" w:hAnsi="Arial" w:cs="Arial"/>
          <w:color w:val="000000" w:themeColor="text1"/>
        </w:rPr>
        <w:t xml:space="preserve">live </w:t>
      </w:r>
      <w:r w:rsidRPr="00D17E12">
        <w:rPr>
          <w:rFonts w:ascii="Arial" w:hAnsi="Arial" w:cs="Arial"/>
          <w:color w:val="000000" w:themeColor="text1"/>
        </w:rPr>
        <w:t>crustacean based industries will not benefit (e.g. prawns, lobsters</w:t>
      </w:r>
      <w:r>
        <w:rPr>
          <w:rFonts w:ascii="Arial" w:hAnsi="Arial" w:cs="Arial"/>
          <w:color w:val="000000" w:themeColor="text1"/>
        </w:rPr>
        <w:t>, crayfish)</w:t>
      </w:r>
      <w:r w:rsidRPr="00D17E12">
        <w:rPr>
          <w:rFonts w:ascii="Arial" w:hAnsi="Arial" w:cs="Arial"/>
          <w:color w:val="000000" w:themeColor="text1"/>
        </w:rPr>
        <w:t xml:space="preserve">.  </w:t>
      </w:r>
    </w:p>
    <w:p w:rsidR="00E378B5" w:rsidRPr="00826F3B" w:rsidRDefault="00E378B5" w:rsidP="00A0699E">
      <w:pPr>
        <w:widowControl w:val="0"/>
        <w:spacing w:before="240" w:after="240"/>
        <w:rPr>
          <w:rFonts w:ascii="Arial" w:hAnsi="Arial" w:cs="Arial"/>
          <w:b/>
          <w:sz w:val="24"/>
        </w:rPr>
      </w:pPr>
      <w:r w:rsidRPr="00826F3B">
        <w:rPr>
          <w:rFonts w:ascii="Arial" w:hAnsi="Arial" w:cs="Arial"/>
          <w:b/>
          <w:sz w:val="24"/>
        </w:rPr>
        <w:t xml:space="preserve">Impacts Overseas </w:t>
      </w:r>
    </w:p>
    <w:p w:rsidR="00E378B5" w:rsidRPr="00D17E12" w:rsidRDefault="00E378B5" w:rsidP="00E378B5">
      <w:pPr>
        <w:widowControl w:val="0"/>
        <w:rPr>
          <w:rFonts w:ascii="Arial" w:hAnsi="Arial" w:cs="Arial"/>
          <w:b/>
          <w:color w:val="000000" w:themeColor="text1"/>
        </w:rPr>
      </w:pPr>
      <w:r w:rsidRPr="00D17E12">
        <w:rPr>
          <w:rFonts w:ascii="Arial" w:hAnsi="Arial" w:cs="Arial"/>
          <w:color w:val="000000" w:themeColor="text1"/>
        </w:rPr>
        <w:t xml:space="preserve">No benefits to overseas </w:t>
      </w:r>
      <w:r>
        <w:rPr>
          <w:rFonts w:ascii="Arial" w:hAnsi="Arial" w:cs="Arial"/>
          <w:color w:val="000000" w:themeColor="text1"/>
        </w:rPr>
        <w:t xml:space="preserve">live crab or crustacean </w:t>
      </w:r>
      <w:r w:rsidRPr="00D17E12">
        <w:rPr>
          <w:rFonts w:ascii="Arial" w:hAnsi="Arial" w:cs="Arial"/>
          <w:color w:val="000000" w:themeColor="text1"/>
        </w:rPr>
        <w:t>industries are expected.</w:t>
      </w:r>
      <w:r>
        <w:rPr>
          <w:rFonts w:ascii="Arial" w:hAnsi="Arial" w:cs="Arial"/>
          <w:color w:val="000000" w:themeColor="text1"/>
        </w:rPr>
        <w:t xml:space="preserve"> </w:t>
      </w:r>
    </w:p>
    <w:p w:rsidR="00E378B5" w:rsidRPr="00523208" w:rsidRDefault="00E378B5" w:rsidP="00A0699E">
      <w:pPr>
        <w:widowControl w:val="0"/>
        <w:spacing w:before="240" w:after="240"/>
        <w:rPr>
          <w:rFonts w:ascii="Arial" w:hAnsi="Arial" w:cs="Arial"/>
          <w:b/>
        </w:rPr>
      </w:pPr>
      <w:r w:rsidRPr="00A0699E">
        <w:rPr>
          <w:rFonts w:ascii="Arial" w:hAnsi="Arial" w:cs="Arial"/>
          <w:b/>
          <w:sz w:val="24"/>
        </w:rPr>
        <w:t>Match</w:t>
      </w:r>
      <w:r w:rsidRPr="00523208">
        <w:rPr>
          <w:rFonts w:ascii="Arial" w:hAnsi="Arial" w:cs="Arial"/>
          <w:b/>
        </w:rPr>
        <w:t xml:space="preserve"> with National and State Priorities</w:t>
      </w:r>
    </w:p>
    <w:p w:rsidR="00E378B5" w:rsidRDefault="00E378B5" w:rsidP="00A0699E">
      <w:pPr>
        <w:widowControl w:val="0"/>
        <w:spacing w:after="240"/>
        <w:rPr>
          <w:rFonts w:ascii="Arial" w:hAnsi="Arial" w:cs="Arial"/>
          <w:bCs/>
          <w:lang w:val="en-GB"/>
        </w:rPr>
      </w:pPr>
      <w:bookmarkStart w:id="99" w:name="_Toc465932642"/>
      <w:r w:rsidRPr="00523208">
        <w:rPr>
          <w:rFonts w:ascii="Arial" w:hAnsi="Arial" w:cs="Arial"/>
          <w:bCs/>
          <w:lang w:val="en-GB"/>
        </w:rPr>
        <w:t xml:space="preserve">The Australian </w:t>
      </w:r>
      <w:r w:rsidRPr="00A0699E">
        <w:rPr>
          <w:rFonts w:ascii="Arial" w:hAnsi="Arial" w:cs="Arial"/>
          <w:color w:val="000000" w:themeColor="text1"/>
        </w:rPr>
        <w:t>Government’s</w:t>
      </w:r>
      <w:r w:rsidRPr="00523208">
        <w:rPr>
          <w:rFonts w:ascii="Arial" w:hAnsi="Arial" w:cs="Arial"/>
          <w:bCs/>
          <w:lang w:val="en-GB"/>
        </w:rPr>
        <w:t xml:space="preserve"> Science and Research Priorities and Rural RD&amp;E priorities are reproduced in Table 4. The improved grading scheme for mud crab</w:t>
      </w:r>
      <w:r>
        <w:rPr>
          <w:rFonts w:ascii="Arial" w:hAnsi="Arial" w:cs="Arial"/>
          <w:bCs/>
          <w:lang w:val="en-GB"/>
        </w:rPr>
        <w:t>s</w:t>
      </w:r>
      <w:r w:rsidRPr="00523208">
        <w:rPr>
          <w:rFonts w:ascii="Arial" w:hAnsi="Arial" w:cs="Arial"/>
          <w:bCs/>
          <w:lang w:val="en-GB"/>
        </w:rPr>
        <w:t xml:space="preserve"> contributes primarily to Rural RD&amp;E </w:t>
      </w:r>
      <w:r>
        <w:rPr>
          <w:rFonts w:ascii="Arial" w:hAnsi="Arial" w:cs="Arial"/>
          <w:bCs/>
          <w:lang w:val="en-GB"/>
        </w:rPr>
        <w:t>P</w:t>
      </w:r>
      <w:r w:rsidRPr="00523208">
        <w:rPr>
          <w:rFonts w:ascii="Arial" w:hAnsi="Arial" w:cs="Arial"/>
          <w:bCs/>
          <w:lang w:val="en-GB"/>
        </w:rPr>
        <w:t xml:space="preserve">riorities 1 and 3 and to Science and Research </w:t>
      </w:r>
      <w:r>
        <w:rPr>
          <w:rFonts w:ascii="Arial" w:hAnsi="Arial" w:cs="Arial"/>
          <w:bCs/>
          <w:lang w:val="en-GB"/>
        </w:rPr>
        <w:t>P</w:t>
      </w:r>
      <w:r w:rsidRPr="00523208">
        <w:rPr>
          <w:rFonts w:ascii="Arial" w:hAnsi="Arial" w:cs="Arial"/>
          <w:bCs/>
          <w:lang w:val="en-GB"/>
        </w:rPr>
        <w:t>riority 1.</w:t>
      </w:r>
      <w:bookmarkEnd w:id="99"/>
    </w:p>
    <w:p w:rsidR="00E378B5" w:rsidRPr="00E86ACB" w:rsidRDefault="00E378B5" w:rsidP="00E86ACB">
      <w:pPr>
        <w:pStyle w:val="Caption"/>
        <w:keepNext/>
        <w:spacing w:after="240"/>
        <w:jc w:val="center"/>
        <w:rPr>
          <w:rFonts w:ascii="Arial" w:hAnsi="Arial"/>
          <w:b w:val="0"/>
          <w:i/>
          <w:color w:val="000000" w:themeColor="text1"/>
          <w:sz w:val="22"/>
          <w:szCs w:val="22"/>
        </w:rPr>
      </w:pPr>
      <w:bookmarkStart w:id="100" w:name="_Toc476387750"/>
      <w:bookmarkStart w:id="101" w:name="_Toc475102783"/>
      <w:bookmarkStart w:id="102" w:name="_Toc417640348"/>
      <w:bookmarkStart w:id="103" w:name="_Toc442159270"/>
      <w:r w:rsidRPr="00E86ACB">
        <w:rPr>
          <w:rFonts w:ascii="Arial" w:hAnsi="Arial"/>
          <w:b w:val="0"/>
          <w:color w:val="000000" w:themeColor="text1"/>
          <w:sz w:val="22"/>
          <w:szCs w:val="22"/>
        </w:rPr>
        <w:t xml:space="preserve">Table </w:t>
      </w:r>
      <w:r w:rsidRPr="00E86ACB">
        <w:rPr>
          <w:rFonts w:ascii="Arial" w:hAnsi="Arial"/>
          <w:b w:val="0"/>
          <w:i/>
          <w:color w:val="000000" w:themeColor="text1"/>
          <w:sz w:val="22"/>
          <w:szCs w:val="22"/>
        </w:rPr>
        <w:fldChar w:fldCharType="begin"/>
      </w:r>
      <w:r w:rsidRPr="00E86ACB">
        <w:rPr>
          <w:rFonts w:ascii="Arial" w:hAnsi="Arial"/>
          <w:b w:val="0"/>
          <w:color w:val="000000" w:themeColor="text1"/>
          <w:sz w:val="22"/>
          <w:szCs w:val="22"/>
        </w:rPr>
        <w:instrText xml:space="preserve"> SEQ Table \* ARABIC </w:instrText>
      </w:r>
      <w:r w:rsidRPr="00E86ACB">
        <w:rPr>
          <w:rFonts w:ascii="Arial" w:hAnsi="Arial"/>
          <w:b w:val="0"/>
          <w:i/>
          <w:color w:val="000000" w:themeColor="text1"/>
          <w:sz w:val="22"/>
          <w:szCs w:val="22"/>
        </w:rPr>
        <w:fldChar w:fldCharType="separate"/>
      </w:r>
      <w:r w:rsidR="00DF217D">
        <w:rPr>
          <w:rFonts w:ascii="Arial" w:hAnsi="Arial"/>
          <w:b w:val="0"/>
          <w:noProof/>
          <w:color w:val="000000" w:themeColor="text1"/>
          <w:sz w:val="22"/>
          <w:szCs w:val="22"/>
        </w:rPr>
        <w:t>4</w:t>
      </w:r>
      <w:r w:rsidRPr="00E86ACB">
        <w:rPr>
          <w:rFonts w:ascii="Arial" w:hAnsi="Arial"/>
          <w:b w:val="0"/>
          <w:i/>
          <w:color w:val="000000" w:themeColor="text1"/>
          <w:sz w:val="22"/>
          <w:szCs w:val="22"/>
        </w:rPr>
        <w:fldChar w:fldCharType="end"/>
      </w:r>
      <w:r w:rsidRPr="00E86ACB">
        <w:rPr>
          <w:rFonts w:ascii="Arial" w:hAnsi="Arial"/>
          <w:b w:val="0"/>
          <w:color w:val="000000" w:themeColor="text1"/>
          <w:sz w:val="22"/>
          <w:szCs w:val="22"/>
        </w:rPr>
        <w:t>: Australian Government Research Priorities</w:t>
      </w:r>
      <w:bookmarkEnd w:id="100"/>
    </w:p>
    <w:tbl>
      <w:tblPr>
        <w:tblStyle w:val="TableGrid"/>
        <w:tblW w:w="0" w:type="auto"/>
        <w:tblInd w:w="988" w:type="dxa"/>
        <w:tblLook w:val="04A0" w:firstRow="1" w:lastRow="0" w:firstColumn="1" w:lastColumn="0" w:noHBand="0" w:noVBand="1"/>
      </w:tblPr>
      <w:tblGrid>
        <w:gridCol w:w="3520"/>
        <w:gridCol w:w="3425"/>
      </w:tblGrid>
      <w:tr w:rsidR="00E378B5" w:rsidRPr="00523208" w:rsidTr="00E378B5">
        <w:tc>
          <w:tcPr>
            <w:tcW w:w="6945" w:type="dxa"/>
            <w:gridSpan w:val="2"/>
          </w:tcPr>
          <w:bookmarkEnd w:id="101"/>
          <w:bookmarkEnd w:id="102"/>
          <w:bookmarkEnd w:id="103"/>
          <w:p w:rsidR="00E378B5" w:rsidRPr="00523208" w:rsidRDefault="00E378B5" w:rsidP="00E378B5">
            <w:pPr>
              <w:jc w:val="center"/>
              <w:rPr>
                <w:rFonts w:ascii="Arial" w:hAnsi="Arial" w:cs="Arial"/>
                <w:b/>
                <w:sz w:val="22"/>
                <w:szCs w:val="22"/>
              </w:rPr>
            </w:pPr>
            <w:r w:rsidRPr="00523208">
              <w:rPr>
                <w:rFonts w:ascii="Arial" w:hAnsi="Arial" w:cs="Arial"/>
                <w:b/>
                <w:sz w:val="22"/>
                <w:szCs w:val="22"/>
              </w:rPr>
              <w:t>Australian Government</w:t>
            </w:r>
          </w:p>
        </w:tc>
      </w:tr>
      <w:tr w:rsidR="00E378B5" w:rsidRPr="00523208" w:rsidTr="00E378B5">
        <w:tc>
          <w:tcPr>
            <w:tcW w:w="3520" w:type="dxa"/>
          </w:tcPr>
          <w:p w:rsidR="00E378B5" w:rsidRPr="00523208" w:rsidRDefault="00E378B5" w:rsidP="00E378B5">
            <w:pPr>
              <w:jc w:val="center"/>
              <w:rPr>
                <w:rFonts w:ascii="Arial" w:hAnsi="Arial" w:cs="Arial"/>
                <w:b/>
                <w:sz w:val="22"/>
                <w:szCs w:val="22"/>
              </w:rPr>
            </w:pPr>
            <w:r w:rsidRPr="00523208">
              <w:rPr>
                <w:rFonts w:ascii="Arial" w:hAnsi="Arial" w:cs="Arial"/>
                <w:b/>
                <w:sz w:val="22"/>
                <w:szCs w:val="22"/>
              </w:rPr>
              <w:t>Rural RD&amp;E Priorities (est. 2015)</w:t>
            </w:r>
          </w:p>
        </w:tc>
        <w:tc>
          <w:tcPr>
            <w:tcW w:w="3425" w:type="dxa"/>
          </w:tcPr>
          <w:p w:rsidR="00E378B5" w:rsidRPr="00523208" w:rsidRDefault="00E378B5" w:rsidP="00E378B5">
            <w:pPr>
              <w:jc w:val="center"/>
              <w:rPr>
                <w:rFonts w:ascii="Arial" w:hAnsi="Arial" w:cs="Arial"/>
                <w:b/>
                <w:sz w:val="22"/>
                <w:szCs w:val="22"/>
              </w:rPr>
            </w:pPr>
            <w:r w:rsidRPr="00523208">
              <w:rPr>
                <w:rFonts w:ascii="Arial" w:hAnsi="Arial" w:cs="Arial"/>
                <w:b/>
                <w:sz w:val="22"/>
                <w:szCs w:val="22"/>
              </w:rPr>
              <w:t>Science and Research Priorities (est. 2015)</w:t>
            </w:r>
          </w:p>
        </w:tc>
      </w:tr>
      <w:tr w:rsidR="00E378B5" w:rsidRPr="00523208" w:rsidTr="00E378B5">
        <w:tc>
          <w:tcPr>
            <w:tcW w:w="3520" w:type="dxa"/>
          </w:tcPr>
          <w:p w:rsidR="00E378B5" w:rsidRPr="00523208" w:rsidRDefault="00E378B5" w:rsidP="000F22FE">
            <w:pPr>
              <w:pStyle w:val="ListParagraph"/>
              <w:numPr>
                <w:ilvl w:val="0"/>
                <w:numId w:val="14"/>
              </w:numPr>
              <w:ind w:left="459"/>
              <w:rPr>
                <w:rFonts w:ascii="Arial" w:hAnsi="Arial" w:cs="Arial"/>
                <w:sz w:val="22"/>
                <w:szCs w:val="22"/>
              </w:rPr>
            </w:pPr>
            <w:r w:rsidRPr="00523208">
              <w:rPr>
                <w:rFonts w:ascii="Arial" w:hAnsi="Arial" w:cs="Arial"/>
                <w:sz w:val="22"/>
                <w:szCs w:val="22"/>
              </w:rPr>
              <w:t xml:space="preserve">Advanced technology </w:t>
            </w:r>
          </w:p>
          <w:p w:rsidR="00E378B5" w:rsidRPr="00523208" w:rsidRDefault="00E378B5" w:rsidP="000F22FE">
            <w:pPr>
              <w:pStyle w:val="ListParagraph"/>
              <w:numPr>
                <w:ilvl w:val="0"/>
                <w:numId w:val="14"/>
              </w:numPr>
              <w:ind w:left="459"/>
              <w:rPr>
                <w:rFonts w:ascii="Arial" w:hAnsi="Arial" w:cs="Arial"/>
                <w:sz w:val="22"/>
                <w:szCs w:val="22"/>
              </w:rPr>
            </w:pPr>
            <w:r w:rsidRPr="00523208">
              <w:rPr>
                <w:rFonts w:ascii="Arial" w:hAnsi="Arial" w:cs="Arial"/>
                <w:sz w:val="22"/>
                <w:szCs w:val="22"/>
              </w:rPr>
              <w:t>Biosecurity</w:t>
            </w:r>
          </w:p>
          <w:p w:rsidR="00E378B5" w:rsidRPr="00523208" w:rsidRDefault="00E378B5" w:rsidP="000F22FE">
            <w:pPr>
              <w:pStyle w:val="ListParagraph"/>
              <w:numPr>
                <w:ilvl w:val="0"/>
                <w:numId w:val="14"/>
              </w:numPr>
              <w:ind w:left="459"/>
              <w:rPr>
                <w:rFonts w:ascii="Arial" w:hAnsi="Arial" w:cs="Arial"/>
                <w:sz w:val="22"/>
                <w:szCs w:val="22"/>
              </w:rPr>
            </w:pPr>
            <w:r w:rsidRPr="00523208">
              <w:rPr>
                <w:rFonts w:ascii="Arial" w:hAnsi="Arial" w:cs="Arial"/>
                <w:sz w:val="22"/>
                <w:szCs w:val="22"/>
              </w:rPr>
              <w:t>Soil, water and managing natural resources</w:t>
            </w:r>
          </w:p>
          <w:p w:rsidR="00E378B5" w:rsidRPr="00523208" w:rsidRDefault="00E378B5" w:rsidP="000F22FE">
            <w:pPr>
              <w:pStyle w:val="ListParagraph"/>
              <w:numPr>
                <w:ilvl w:val="0"/>
                <w:numId w:val="14"/>
              </w:numPr>
              <w:ind w:left="459"/>
              <w:rPr>
                <w:rFonts w:ascii="Arial" w:hAnsi="Arial" w:cs="Arial"/>
                <w:sz w:val="22"/>
                <w:szCs w:val="22"/>
              </w:rPr>
            </w:pPr>
            <w:r w:rsidRPr="00523208">
              <w:rPr>
                <w:rFonts w:ascii="Arial" w:hAnsi="Arial" w:cs="Arial"/>
                <w:sz w:val="22"/>
                <w:szCs w:val="22"/>
              </w:rPr>
              <w:t>Adoption of R&amp;D</w:t>
            </w:r>
          </w:p>
        </w:tc>
        <w:tc>
          <w:tcPr>
            <w:tcW w:w="3425" w:type="dxa"/>
          </w:tcPr>
          <w:p w:rsidR="00E378B5" w:rsidRPr="00523208" w:rsidRDefault="00E378B5" w:rsidP="000F22FE">
            <w:pPr>
              <w:pStyle w:val="ListParagraph"/>
              <w:numPr>
                <w:ilvl w:val="0"/>
                <w:numId w:val="13"/>
              </w:numPr>
              <w:ind w:left="482"/>
              <w:rPr>
                <w:rFonts w:ascii="Arial" w:hAnsi="Arial" w:cs="Arial"/>
                <w:sz w:val="22"/>
                <w:szCs w:val="22"/>
              </w:rPr>
            </w:pPr>
            <w:r w:rsidRPr="00523208">
              <w:rPr>
                <w:rFonts w:ascii="Arial" w:hAnsi="Arial" w:cs="Arial"/>
                <w:sz w:val="22"/>
                <w:szCs w:val="22"/>
              </w:rPr>
              <w:t>Food</w:t>
            </w:r>
          </w:p>
          <w:p w:rsidR="00E378B5" w:rsidRPr="00523208" w:rsidRDefault="00E378B5" w:rsidP="000F22FE">
            <w:pPr>
              <w:pStyle w:val="ListParagraph"/>
              <w:numPr>
                <w:ilvl w:val="0"/>
                <w:numId w:val="13"/>
              </w:numPr>
              <w:ind w:left="482"/>
              <w:rPr>
                <w:rFonts w:ascii="Arial" w:hAnsi="Arial" w:cs="Arial"/>
                <w:sz w:val="22"/>
                <w:szCs w:val="22"/>
              </w:rPr>
            </w:pPr>
            <w:r w:rsidRPr="00523208">
              <w:rPr>
                <w:rFonts w:ascii="Arial" w:hAnsi="Arial" w:cs="Arial"/>
                <w:sz w:val="22"/>
                <w:szCs w:val="22"/>
              </w:rPr>
              <w:t xml:space="preserve">Soil and Water </w:t>
            </w:r>
          </w:p>
          <w:p w:rsidR="00E378B5" w:rsidRPr="00523208" w:rsidRDefault="00E378B5" w:rsidP="000F22FE">
            <w:pPr>
              <w:pStyle w:val="ListParagraph"/>
              <w:numPr>
                <w:ilvl w:val="0"/>
                <w:numId w:val="13"/>
              </w:numPr>
              <w:ind w:left="482"/>
              <w:rPr>
                <w:rFonts w:ascii="Arial" w:hAnsi="Arial" w:cs="Arial"/>
                <w:sz w:val="22"/>
                <w:szCs w:val="22"/>
              </w:rPr>
            </w:pPr>
            <w:r w:rsidRPr="00523208">
              <w:rPr>
                <w:rFonts w:ascii="Arial" w:hAnsi="Arial" w:cs="Arial"/>
                <w:sz w:val="22"/>
                <w:szCs w:val="22"/>
              </w:rPr>
              <w:t>Transport</w:t>
            </w:r>
          </w:p>
          <w:p w:rsidR="00E378B5" w:rsidRPr="00523208" w:rsidRDefault="00E378B5" w:rsidP="000F22FE">
            <w:pPr>
              <w:pStyle w:val="ListParagraph"/>
              <w:numPr>
                <w:ilvl w:val="0"/>
                <w:numId w:val="13"/>
              </w:numPr>
              <w:ind w:left="482"/>
              <w:rPr>
                <w:rFonts w:ascii="Arial" w:hAnsi="Arial" w:cs="Arial"/>
                <w:sz w:val="22"/>
                <w:szCs w:val="22"/>
              </w:rPr>
            </w:pPr>
            <w:r w:rsidRPr="00523208">
              <w:rPr>
                <w:rFonts w:ascii="Arial" w:hAnsi="Arial" w:cs="Arial"/>
                <w:sz w:val="22"/>
                <w:szCs w:val="22"/>
              </w:rPr>
              <w:t xml:space="preserve">Cybersecurity </w:t>
            </w:r>
          </w:p>
          <w:p w:rsidR="00E378B5" w:rsidRPr="00523208" w:rsidRDefault="00E378B5" w:rsidP="000F22FE">
            <w:pPr>
              <w:pStyle w:val="ListParagraph"/>
              <w:numPr>
                <w:ilvl w:val="0"/>
                <w:numId w:val="13"/>
              </w:numPr>
              <w:ind w:left="482"/>
              <w:rPr>
                <w:rFonts w:ascii="Arial" w:hAnsi="Arial" w:cs="Arial"/>
                <w:sz w:val="22"/>
                <w:szCs w:val="22"/>
              </w:rPr>
            </w:pPr>
            <w:r w:rsidRPr="00523208">
              <w:rPr>
                <w:rFonts w:ascii="Arial" w:hAnsi="Arial" w:cs="Arial"/>
                <w:sz w:val="22"/>
                <w:szCs w:val="22"/>
              </w:rPr>
              <w:t xml:space="preserve">Energy and Resources </w:t>
            </w:r>
          </w:p>
          <w:p w:rsidR="00E378B5" w:rsidRPr="00523208" w:rsidRDefault="00E378B5" w:rsidP="000F22FE">
            <w:pPr>
              <w:pStyle w:val="ListParagraph"/>
              <w:numPr>
                <w:ilvl w:val="0"/>
                <w:numId w:val="13"/>
              </w:numPr>
              <w:ind w:left="482"/>
              <w:rPr>
                <w:rFonts w:ascii="Arial" w:hAnsi="Arial" w:cs="Arial"/>
                <w:sz w:val="22"/>
                <w:szCs w:val="22"/>
              </w:rPr>
            </w:pPr>
            <w:r w:rsidRPr="00523208">
              <w:rPr>
                <w:rFonts w:ascii="Arial" w:hAnsi="Arial" w:cs="Arial"/>
                <w:sz w:val="22"/>
                <w:szCs w:val="22"/>
              </w:rPr>
              <w:t xml:space="preserve">Manufacturing </w:t>
            </w:r>
          </w:p>
          <w:p w:rsidR="00E378B5" w:rsidRPr="00523208" w:rsidRDefault="00E378B5" w:rsidP="000F22FE">
            <w:pPr>
              <w:pStyle w:val="ListParagraph"/>
              <w:numPr>
                <w:ilvl w:val="0"/>
                <w:numId w:val="13"/>
              </w:numPr>
              <w:ind w:left="482"/>
              <w:rPr>
                <w:rFonts w:ascii="Arial" w:hAnsi="Arial" w:cs="Arial"/>
                <w:sz w:val="22"/>
                <w:szCs w:val="22"/>
              </w:rPr>
            </w:pPr>
            <w:r w:rsidRPr="00523208">
              <w:rPr>
                <w:rFonts w:ascii="Arial" w:hAnsi="Arial" w:cs="Arial"/>
                <w:sz w:val="22"/>
                <w:szCs w:val="22"/>
              </w:rPr>
              <w:t>Environmental Change</w:t>
            </w:r>
          </w:p>
          <w:p w:rsidR="00E378B5" w:rsidRPr="00523208" w:rsidRDefault="00E378B5" w:rsidP="000F22FE">
            <w:pPr>
              <w:pStyle w:val="ListParagraph"/>
              <w:keepNext/>
              <w:numPr>
                <w:ilvl w:val="0"/>
                <w:numId w:val="13"/>
              </w:numPr>
              <w:ind w:left="482"/>
              <w:rPr>
                <w:rFonts w:ascii="Arial" w:hAnsi="Arial" w:cs="Arial"/>
                <w:sz w:val="22"/>
                <w:szCs w:val="22"/>
              </w:rPr>
            </w:pPr>
            <w:r w:rsidRPr="00523208">
              <w:rPr>
                <w:rFonts w:ascii="Arial" w:hAnsi="Arial" w:cs="Arial"/>
                <w:sz w:val="22"/>
                <w:szCs w:val="22"/>
              </w:rPr>
              <w:t>Health</w:t>
            </w:r>
          </w:p>
        </w:tc>
      </w:tr>
    </w:tbl>
    <w:p w:rsidR="00E378B5" w:rsidRPr="00523208" w:rsidRDefault="00E378B5" w:rsidP="00E378B5">
      <w:pPr>
        <w:pStyle w:val="Table"/>
        <w:rPr>
          <w:rFonts w:ascii="Arial" w:hAnsi="Arial"/>
          <w:szCs w:val="22"/>
          <w:lang w:val="en-GB"/>
        </w:rPr>
      </w:pPr>
      <w:bookmarkStart w:id="104" w:name="_Toc465434223"/>
      <w:bookmarkStart w:id="105" w:name="_Toc465935825"/>
      <w:bookmarkStart w:id="106" w:name="_Toc475102784"/>
      <w:r w:rsidRPr="00523208">
        <w:rPr>
          <w:rFonts w:ascii="Arial" w:hAnsi="Arial"/>
          <w:szCs w:val="22"/>
          <w:lang w:val="en-GB"/>
        </w:rPr>
        <w:t>Sources: DAWR (2015)</w:t>
      </w:r>
      <w:bookmarkEnd w:id="104"/>
      <w:bookmarkEnd w:id="105"/>
      <w:r w:rsidRPr="00523208">
        <w:rPr>
          <w:rFonts w:ascii="Arial" w:hAnsi="Arial"/>
          <w:szCs w:val="22"/>
          <w:lang w:val="en-GB"/>
        </w:rPr>
        <w:t xml:space="preserve"> and OCS (2016)</w:t>
      </w:r>
      <w:bookmarkEnd w:id="106"/>
    </w:p>
    <w:p w:rsidR="00E378B5" w:rsidRDefault="00E378B5" w:rsidP="00A0699E">
      <w:pPr>
        <w:spacing w:after="240"/>
        <w:rPr>
          <w:rFonts w:ascii="Arial" w:hAnsi="Arial" w:cs="Arial"/>
          <w:bCs/>
          <w:lang w:val="en-GB"/>
        </w:rPr>
      </w:pPr>
      <w:r w:rsidRPr="00523208">
        <w:rPr>
          <w:rFonts w:ascii="Arial" w:hAnsi="Arial" w:cs="Arial"/>
          <w:bCs/>
          <w:lang w:val="en-GB"/>
        </w:rPr>
        <w:t>The Queensland Government’s Science and Research Priorities, together with the four decision rules for investment that guide evaluation, prioritisation and decision making around future investment</w:t>
      </w:r>
      <w:r>
        <w:rPr>
          <w:rFonts w:ascii="Arial" w:hAnsi="Arial" w:cs="Arial"/>
          <w:bCs/>
          <w:lang w:val="en-GB"/>
        </w:rPr>
        <w:t xml:space="preserve"> are reproduced in Table 5</w:t>
      </w:r>
      <w:r w:rsidRPr="00523208">
        <w:rPr>
          <w:rFonts w:ascii="Arial" w:hAnsi="Arial" w:cs="Arial"/>
          <w:bCs/>
          <w:lang w:val="en-GB"/>
        </w:rPr>
        <w:t xml:space="preserve">. </w:t>
      </w:r>
      <w:r>
        <w:rPr>
          <w:rFonts w:ascii="Arial" w:hAnsi="Arial" w:cs="Arial"/>
          <w:bCs/>
          <w:lang w:val="en-GB"/>
        </w:rPr>
        <w:t xml:space="preserve">The mud crab project addressed science and research priorities 1 and potentially 5 and 7. In terms of the guides to investment, the project is likely to have a real future impact through improved confidence and equity in the supply chain. The project was supported and funded by others external to Queensland and had a distinctive angle as the Queensland mud crab industry will be a significant recipient of the impacts. Also, the key Australian scientific expertise on mud crab is Queensland based.   </w:t>
      </w:r>
    </w:p>
    <w:p w:rsidR="00E378B5" w:rsidRPr="00E86ACB" w:rsidRDefault="00E378B5" w:rsidP="00E86ACB">
      <w:pPr>
        <w:pStyle w:val="Caption"/>
        <w:spacing w:after="240"/>
        <w:jc w:val="center"/>
        <w:rPr>
          <w:rFonts w:ascii="Arial" w:hAnsi="Arial"/>
          <w:b w:val="0"/>
          <w:bCs w:val="0"/>
          <w:i/>
          <w:color w:val="000000" w:themeColor="text1"/>
          <w:sz w:val="22"/>
          <w:szCs w:val="22"/>
          <w:lang w:val="en-GB"/>
        </w:rPr>
      </w:pPr>
      <w:bookmarkStart w:id="107" w:name="_Toc476387751"/>
      <w:r w:rsidRPr="00E86ACB">
        <w:rPr>
          <w:rFonts w:ascii="Arial" w:hAnsi="Arial"/>
          <w:b w:val="0"/>
          <w:color w:val="000000" w:themeColor="text1"/>
          <w:sz w:val="22"/>
          <w:szCs w:val="22"/>
        </w:rPr>
        <w:t xml:space="preserve">Table </w:t>
      </w:r>
      <w:r w:rsidRPr="00E86ACB">
        <w:rPr>
          <w:rFonts w:ascii="Arial" w:hAnsi="Arial"/>
          <w:b w:val="0"/>
          <w:i/>
          <w:color w:val="000000" w:themeColor="text1"/>
          <w:sz w:val="22"/>
          <w:szCs w:val="22"/>
        </w:rPr>
        <w:fldChar w:fldCharType="begin"/>
      </w:r>
      <w:r w:rsidRPr="00E86ACB">
        <w:rPr>
          <w:rFonts w:ascii="Arial" w:hAnsi="Arial"/>
          <w:b w:val="0"/>
          <w:color w:val="000000" w:themeColor="text1"/>
          <w:sz w:val="22"/>
          <w:szCs w:val="22"/>
        </w:rPr>
        <w:instrText xml:space="preserve"> SEQ Table \* ARABIC </w:instrText>
      </w:r>
      <w:r w:rsidRPr="00E86ACB">
        <w:rPr>
          <w:rFonts w:ascii="Arial" w:hAnsi="Arial"/>
          <w:b w:val="0"/>
          <w:i/>
          <w:color w:val="000000" w:themeColor="text1"/>
          <w:sz w:val="22"/>
          <w:szCs w:val="22"/>
        </w:rPr>
        <w:fldChar w:fldCharType="separate"/>
      </w:r>
      <w:r w:rsidR="00DF217D">
        <w:rPr>
          <w:rFonts w:ascii="Arial" w:hAnsi="Arial"/>
          <w:b w:val="0"/>
          <w:noProof/>
          <w:color w:val="000000" w:themeColor="text1"/>
          <w:sz w:val="22"/>
          <w:szCs w:val="22"/>
        </w:rPr>
        <w:t>5</w:t>
      </w:r>
      <w:r w:rsidRPr="00E86ACB">
        <w:rPr>
          <w:rFonts w:ascii="Arial" w:hAnsi="Arial"/>
          <w:b w:val="0"/>
          <w:i/>
          <w:color w:val="000000" w:themeColor="text1"/>
          <w:sz w:val="22"/>
          <w:szCs w:val="22"/>
        </w:rPr>
        <w:fldChar w:fldCharType="end"/>
      </w:r>
      <w:r w:rsidRPr="00E86ACB">
        <w:rPr>
          <w:rFonts w:ascii="Arial" w:hAnsi="Arial"/>
          <w:b w:val="0"/>
          <w:color w:val="000000" w:themeColor="text1"/>
          <w:sz w:val="22"/>
          <w:szCs w:val="22"/>
        </w:rPr>
        <w:t>: Queensland Government Research Priorities</w:t>
      </w:r>
      <w:bookmarkEnd w:id="107"/>
    </w:p>
    <w:tbl>
      <w:tblPr>
        <w:tblStyle w:val="TableGrid"/>
        <w:tblW w:w="9781" w:type="dxa"/>
        <w:jc w:val="center"/>
        <w:tblLook w:val="04A0" w:firstRow="1" w:lastRow="0" w:firstColumn="1" w:lastColumn="0" w:noHBand="0" w:noVBand="1"/>
      </w:tblPr>
      <w:tblGrid>
        <w:gridCol w:w="6096"/>
        <w:gridCol w:w="3685"/>
      </w:tblGrid>
      <w:tr w:rsidR="00E378B5" w:rsidRPr="00523208" w:rsidTr="003147F5">
        <w:trPr>
          <w:jc w:val="center"/>
        </w:trPr>
        <w:tc>
          <w:tcPr>
            <w:tcW w:w="9781" w:type="dxa"/>
            <w:gridSpan w:val="2"/>
          </w:tcPr>
          <w:p w:rsidR="00E378B5" w:rsidRPr="00523208" w:rsidRDefault="00E378B5" w:rsidP="00E378B5">
            <w:pPr>
              <w:jc w:val="center"/>
              <w:rPr>
                <w:rFonts w:ascii="Arial" w:hAnsi="Arial" w:cs="Arial"/>
                <w:b/>
                <w:sz w:val="22"/>
                <w:szCs w:val="22"/>
              </w:rPr>
            </w:pPr>
            <w:r>
              <w:rPr>
                <w:rFonts w:ascii="Arial" w:hAnsi="Arial" w:cs="Arial"/>
                <w:b/>
                <w:sz w:val="22"/>
                <w:szCs w:val="22"/>
              </w:rPr>
              <w:t xml:space="preserve">Queensland </w:t>
            </w:r>
            <w:r w:rsidRPr="00523208">
              <w:rPr>
                <w:rFonts w:ascii="Arial" w:hAnsi="Arial" w:cs="Arial"/>
                <w:b/>
                <w:sz w:val="22"/>
                <w:szCs w:val="22"/>
              </w:rPr>
              <w:t>Government</w:t>
            </w:r>
          </w:p>
        </w:tc>
      </w:tr>
      <w:tr w:rsidR="00E378B5" w:rsidRPr="00523208" w:rsidTr="003147F5">
        <w:trPr>
          <w:jc w:val="center"/>
        </w:trPr>
        <w:tc>
          <w:tcPr>
            <w:tcW w:w="6096" w:type="dxa"/>
          </w:tcPr>
          <w:p w:rsidR="00E378B5" w:rsidRPr="00523208" w:rsidRDefault="00E378B5" w:rsidP="00E378B5">
            <w:pPr>
              <w:jc w:val="center"/>
              <w:rPr>
                <w:rFonts w:ascii="Arial" w:hAnsi="Arial" w:cs="Arial"/>
                <w:b/>
                <w:sz w:val="22"/>
                <w:szCs w:val="22"/>
              </w:rPr>
            </w:pPr>
            <w:r>
              <w:rPr>
                <w:rFonts w:ascii="Arial" w:hAnsi="Arial" w:cs="Arial"/>
                <w:b/>
                <w:sz w:val="22"/>
                <w:szCs w:val="22"/>
              </w:rPr>
              <w:t>Science and Research Priorities (</w:t>
            </w:r>
            <w:r w:rsidRPr="00523208">
              <w:rPr>
                <w:rFonts w:ascii="Arial" w:hAnsi="Arial" w:cs="Arial"/>
                <w:b/>
                <w:sz w:val="22"/>
                <w:szCs w:val="22"/>
              </w:rPr>
              <w:t>est. 2015)</w:t>
            </w:r>
          </w:p>
        </w:tc>
        <w:tc>
          <w:tcPr>
            <w:tcW w:w="3685" w:type="dxa"/>
          </w:tcPr>
          <w:p w:rsidR="00E378B5" w:rsidRPr="00523208" w:rsidRDefault="00E378B5" w:rsidP="00A0699E">
            <w:pPr>
              <w:jc w:val="center"/>
              <w:rPr>
                <w:rFonts w:ascii="Arial" w:hAnsi="Arial" w:cs="Arial"/>
                <w:b/>
                <w:sz w:val="22"/>
                <w:szCs w:val="22"/>
              </w:rPr>
            </w:pPr>
            <w:r>
              <w:rPr>
                <w:rFonts w:ascii="Arial" w:hAnsi="Arial" w:cs="Arial"/>
                <w:b/>
                <w:sz w:val="22"/>
                <w:szCs w:val="22"/>
              </w:rPr>
              <w:t>Investment Decision Rule Guides</w:t>
            </w:r>
            <w:r w:rsidR="00A0699E">
              <w:rPr>
                <w:rFonts w:ascii="Arial" w:hAnsi="Arial" w:cs="Arial"/>
                <w:b/>
                <w:sz w:val="22"/>
                <w:szCs w:val="22"/>
              </w:rPr>
              <w:t xml:space="preserve"> </w:t>
            </w:r>
            <w:r w:rsidRPr="00523208">
              <w:rPr>
                <w:rFonts w:ascii="Arial" w:hAnsi="Arial" w:cs="Arial"/>
                <w:b/>
                <w:sz w:val="22"/>
                <w:szCs w:val="22"/>
              </w:rPr>
              <w:t>(est. 2015)</w:t>
            </w:r>
          </w:p>
        </w:tc>
      </w:tr>
      <w:tr w:rsidR="00E378B5" w:rsidRPr="00523208" w:rsidTr="003147F5">
        <w:trPr>
          <w:jc w:val="center"/>
        </w:trPr>
        <w:tc>
          <w:tcPr>
            <w:tcW w:w="6096" w:type="dxa"/>
          </w:tcPr>
          <w:p w:rsidR="00E378B5" w:rsidRPr="00FD46D3" w:rsidRDefault="00E378B5" w:rsidP="00E378B5">
            <w:pPr>
              <w:rPr>
                <w:rFonts w:ascii="Arial" w:hAnsi="Arial" w:cs="Arial"/>
                <w:sz w:val="22"/>
                <w:szCs w:val="22"/>
              </w:rPr>
            </w:pPr>
            <w:r w:rsidRPr="00FD46D3">
              <w:rPr>
                <w:rFonts w:ascii="Arial" w:hAnsi="Arial" w:cs="Arial"/>
                <w:sz w:val="22"/>
                <w:szCs w:val="22"/>
              </w:rPr>
              <w:t xml:space="preserve">1.Delivering productivity growth </w:t>
            </w:r>
          </w:p>
          <w:p w:rsidR="00E378B5" w:rsidRPr="00FD46D3" w:rsidRDefault="00E378B5" w:rsidP="00E378B5">
            <w:pPr>
              <w:rPr>
                <w:rFonts w:ascii="Arial" w:hAnsi="Arial" w:cs="Arial"/>
                <w:sz w:val="22"/>
                <w:szCs w:val="22"/>
              </w:rPr>
            </w:pPr>
            <w:r w:rsidRPr="00FD46D3">
              <w:rPr>
                <w:rFonts w:ascii="Arial" w:hAnsi="Arial" w:cs="Arial"/>
                <w:sz w:val="22"/>
                <w:szCs w:val="22"/>
              </w:rPr>
              <w:t>2.Growing knowledge intensive services</w:t>
            </w:r>
          </w:p>
          <w:p w:rsidR="00E378B5" w:rsidRPr="00236DEE" w:rsidRDefault="00E378B5" w:rsidP="00E378B5">
            <w:pPr>
              <w:rPr>
                <w:rFonts w:ascii="Arial" w:hAnsi="Arial" w:cs="Arial"/>
                <w:sz w:val="22"/>
                <w:szCs w:val="22"/>
              </w:rPr>
            </w:pPr>
            <w:r w:rsidRPr="00FD46D3">
              <w:rPr>
                <w:rFonts w:ascii="Arial" w:hAnsi="Arial" w:cs="Arial"/>
                <w:sz w:val="22"/>
                <w:szCs w:val="22"/>
              </w:rPr>
              <w:t>3.</w:t>
            </w:r>
            <w:r w:rsidRPr="00236DEE">
              <w:rPr>
                <w:rFonts w:ascii="Arial" w:hAnsi="Arial" w:cs="Arial"/>
                <w:sz w:val="22"/>
                <w:szCs w:val="22"/>
              </w:rPr>
              <w:t>Protecting biodiversity and heritage, both marine and terrestrial</w:t>
            </w:r>
          </w:p>
          <w:p w:rsidR="00E378B5" w:rsidRPr="00236DEE" w:rsidRDefault="00E378B5" w:rsidP="00E378B5">
            <w:pPr>
              <w:rPr>
                <w:rFonts w:ascii="Arial" w:hAnsi="Arial" w:cs="Arial"/>
                <w:sz w:val="22"/>
                <w:szCs w:val="22"/>
              </w:rPr>
            </w:pPr>
            <w:r w:rsidRPr="00236DEE">
              <w:rPr>
                <w:rFonts w:ascii="Arial" w:hAnsi="Arial" w:cs="Arial"/>
                <w:sz w:val="22"/>
                <w:szCs w:val="22"/>
              </w:rPr>
              <w:t>4.Cleaner and renewable energy technologies</w:t>
            </w:r>
          </w:p>
          <w:p w:rsidR="00E378B5" w:rsidRPr="00236DEE" w:rsidRDefault="00E378B5" w:rsidP="00E378B5">
            <w:pPr>
              <w:rPr>
                <w:rFonts w:ascii="Arial" w:hAnsi="Arial" w:cs="Arial"/>
                <w:sz w:val="22"/>
                <w:szCs w:val="22"/>
              </w:rPr>
            </w:pPr>
            <w:r w:rsidRPr="00236DEE">
              <w:rPr>
                <w:rFonts w:ascii="Arial" w:hAnsi="Arial" w:cs="Arial"/>
                <w:sz w:val="22"/>
                <w:szCs w:val="22"/>
              </w:rPr>
              <w:t>5. Ensuring sustainability of physical and especially digital infrastructure critical for research</w:t>
            </w:r>
          </w:p>
          <w:p w:rsidR="00E378B5" w:rsidRPr="00236DEE" w:rsidRDefault="00E378B5" w:rsidP="00E378B5">
            <w:pPr>
              <w:rPr>
                <w:rFonts w:ascii="Arial" w:hAnsi="Arial" w:cs="Arial"/>
                <w:sz w:val="22"/>
                <w:szCs w:val="22"/>
              </w:rPr>
            </w:pPr>
            <w:r w:rsidRPr="00236DEE">
              <w:rPr>
                <w:rFonts w:ascii="Arial" w:hAnsi="Arial" w:cs="Arial"/>
                <w:sz w:val="22"/>
                <w:szCs w:val="22"/>
              </w:rPr>
              <w:t>6. Building resilience and managing climate risk</w:t>
            </w:r>
          </w:p>
          <w:p w:rsidR="00E378B5" w:rsidRPr="00236DEE" w:rsidRDefault="00E378B5" w:rsidP="00E378B5">
            <w:pPr>
              <w:rPr>
                <w:rFonts w:ascii="Arial" w:hAnsi="Arial" w:cs="Arial"/>
                <w:sz w:val="22"/>
                <w:szCs w:val="22"/>
              </w:rPr>
            </w:pPr>
            <w:r w:rsidRPr="00236DEE">
              <w:rPr>
                <w:rFonts w:ascii="Arial" w:hAnsi="Arial" w:cs="Arial"/>
                <w:sz w:val="22"/>
                <w:szCs w:val="22"/>
              </w:rPr>
              <w:t>7. Supporting the translation of health and biotechnology research</w:t>
            </w:r>
          </w:p>
          <w:p w:rsidR="00E378B5" w:rsidRPr="00236DEE" w:rsidRDefault="00E378B5" w:rsidP="00E378B5">
            <w:pPr>
              <w:rPr>
                <w:rFonts w:ascii="Arial" w:hAnsi="Arial" w:cs="Arial"/>
                <w:sz w:val="22"/>
                <w:szCs w:val="22"/>
              </w:rPr>
            </w:pPr>
            <w:r w:rsidRPr="00236DEE">
              <w:rPr>
                <w:rFonts w:ascii="Arial" w:hAnsi="Arial" w:cs="Arial"/>
                <w:sz w:val="22"/>
                <w:szCs w:val="22"/>
              </w:rPr>
              <w:t>8.</w:t>
            </w:r>
            <w:r w:rsidRPr="00236DEE">
              <w:rPr>
                <w:sz w:val="22"/>
                <w:szCs w:val="22"/>
              </w:rPr>
              <w:t xml:space="preserve"> </w:t>
            </w:r>
            <w:r w:rsidRPr="00236DEE">
              <w:rPr>
                <w:rFonts w:ascii="Arial" w:hAnsi="Arial" w:cs="Arial"/>
                <w:sz w:val="22"/>
                <w:szCs w:val="22"/>
              </w:rPr>
              <w:t>Improving health data management and services delivery</w:t>
            </w:r>
          </w:p>
          <w:p w:rsidR="00E378B5" w:rsidRPr="00236DEE" w:rsidRDefault="00E378B5" w:rsidP="00E378B5">
            <w:pPr>
              <w:rPr>
                <w:rFonts w:ascii="Arial" w:hAnsi="Arial" w:cs="Arial"/>
                <w:sz w:val="22"/>
                <w:szCs w:val="22"/>
              </w:rPr>
            </w:pPr>
            <w:r w:rsidRPr="00236DEE">
              <w:rPr>
                <w:rFonts w:ascii="Arial" w:hAnsi="Arial" w:cs="Arial"/>
                <w:sz w:val="22"/>
                <w:szCs w:val="22"/>
              </w:rPr>
              <w:t>9.</w:t>
            </w:r>
            <w:r w:rsidRPr="00236DEE">
              <w:rPr>
                <w:sz w:val="22"/>
                <w:szCs w:val="22"/>
              </w:rPr>
              <w:t xml:space="preserve"> </w:t>
            </w:r>
            <w:r w:rsidRPr="00236DEE">
              <w:rPr>
                <w:rFonts w:ascii="Arial" w:hAnsi="Arial" w:cs="Arial"/>
                <w:sz w:val="22"/>
                <w:szCs w:val="22"/>
              </w:rPr>
              <w:t>Ensuring sustainable water use and delivering quality water and water security</w:t>
            </w:r>
          </w:p>
          <w:p w:rsidR="00E378B5" w:rsidRPr="00523208" w:rsidRDefault="00E378B5" w:rsidP="00E378B5">
            <w:pPr>
              <w:rPr>
                <w:rFonts w:ascii="Arial" w:hAnsi="Arial" w:cs="Arial"/>
                <w:sz w:val="22"/>
                <w:szCs w:val="22"/>
              </w:rPr>
            </w:pPr>
            <w:r w:rsidRPr="00236DEE">
              <w:rPr>
                <w:rFonts w:ascii="Arial" w:hAnsi="Arial" w:cs="Arial"/>
                <w:sz w:val="22"/>
                <w:szCs w:val="22"/>
              </w:rPr>
              <w:t>10.The development and application of digitally-enabled technologies</w:t>
            </w:r>
            <w:r>
              <w:rPr>
                <w:rFonts w:ascii="Arial" w:hAnsi="Arial" w:cs="Arial"/>
                <w:sz w:val="22"/>
                <w:szCs w:val="22"/>
              </w:rPr>
              <w:t>.</w:t>
            </w:r>
            <w:r>
              <w:rPr>
                <w:rFonts w:ascii="Arial" w:hAnsi="Arial" w:cs="Arial"/>
              </w:rPr>
              <w:t xml:space="preserve"> </w:t>
            </w:r>
          </w:p>
        </w:tc>
        <w:tc>
          <w:tcPr>
            <w:tcW w:w="3685" w:type="dxa"/>
          </w:tcPr>
          <w:p w:rsidR="00E378B5" w:rsidRPr="00FD46D3" w:rsidRDefault="00E378B5" w:rsidP="00E378B5">
            <w:pPr>
              <w:rPr>
                <w:rFonts w:ascii="Arial" w:hAnsi="Arial" w:cs="Arial"/>
                <w:sz w:val="22"/>
                <w:szCs w:val="22"/>
              </w:rPr>
            </w:pPr>
            <w:r>
              <w:rPr>
                <w:rFonts w:ascii="Arial" w:hAnsi="Arial" w:cs="Arial"/>
                <w:sz w:val="22"/>
                <w:szCs w:val="22"/>
              </w:rPr>
              <w:t>1.</w:t>
            </w:r>
            <w:r w:rsidRPr="00FD46D3">
              <w:rPr>
                <w:rFonts w:ascii="Arial" w:hAnsi="Arial" w:cs="Arial"/>
                <w:sz w:val="22"/>
                <w:szCs w:val="22"/>
              </w:rPr>
              <w:t>Real Future Impact</w:t>
            </w:r>
          </w:p>
          <w:p w:rsidR="00E378B5" w:rsidRPr="00FD46D3" w:rsidRDefault="00E378B5" w:rsidP="00E378B5">
            <w:pPr>
              <w:rPr>
                <w:rFonts w:ascii="Arial" w:hAnsi="Arial" w:cs="Arial"/>
                <w:sz w:val="22"/>
                <w:szCs w:val="22"/>
              </w:rPr>
            </w:pPr>
            <w:r w:rsidRPr="00FD46D3">
              <w:rPr>
                <w:rFonts w:ascii="Arial" w:hAnsi="Arial" w:cs="Arial"/>
                <w:sz w:val="22"/>
                <w:szCs w:val="22"/>
              </w:rPr>
              <w:t xml:space="preserve">2.External Commitment </w:t>
            </w:r>
          </w:p>
          <w:p w:rsidR="00E378B5" w:rsidRPr="00FD46D3" w:rsidRDefault="00E378B5" w:rsidP="00E378B5">
            <w:pPr>
              <w:rPr>
                <w:rFonts w:ascii="Arial" w:hAnsi="Arial" w:cs="Arial"/>
                <w:sz w:val="22"/>
                <w:szCs w:val="22"/>
              </w:rPr>
            </w:pPr>
            <w:r w:rsidRPr="00FD46D3">
              <w:rPr>
                <w:rFonts w:ascii="Arial" w:hAnsi="Arial" w:cs="Arial"/>
                <w:sz w:val="22"/>
                <w:szCs w:val="22"/>
              </w:rPr>
              <w:t>3.Distinctive Angle</w:t>
            </w:r>
          </w:p>
          <w:p w:rsidR="00E378B5" w:rsidRPr="00FD46D3" w:rsidRDefault="00E378B5" w:rsidP="00E378B5">
            <w:pPr>
              <w:rPr>
                <w:rFonts w:ascii="Arial" w:hAnsi="Arial" w:cs="Arial"/>
                <w:sz w:val="22"/>
                <w:szCs w:val="22"/>
              </w:rPr>
            </w:pPr>
            <w:r w:rsidRPr="00FD46D3">
              <w:rPr>
                <w:rFonts w:ascii="Arial" w:hAnsi="Arial" w:cs="Arial"/>
                <w:sz w:val="22"/>
                <w:szCs w:val="22"/>
              </w:rPr>
              <w:t xml:space="preserve">4.Scaling towards Critical Mass  </w:t>
            </w:r>
          </w:p>
          <w:p w:rsidR="00E378B5" w:rsidRPr="00FD46D3" w:rsidRDefault="00E378B5" w:rsidP="00E378B5">
            <w:pPr>
              <w:rPr>
                <w:rFonts w:ascii="Arial" w:hAnsi="Arial" w:cs="Arial"/>
                <w:szCs w:val="22"/>
              </w:rPr>
            </w:pPr>
          </w:p>
        </w:tc>
      </w:tr>
    </w:tbl>
    <w:p w:rsidR="00E378B5" w:rsidRDefault="00E378B5" w:rsidP="00E378B5">
      <w:pPr>
        <w:jc w:val="center"/>
        <w:rPr>
          <w:bCs/>
          <w:sz w:val="18"/>
          <w:szCs w:val="18"/>
          <w:lang w:val="en-GB"/>
        </w:rPr>
      </w:pPr>
      <w:r w:rsidRPr="00523208">
        <w:rPr>
          <w:rFonts w:ascii="Arial" w:hAnsi="Arial"/>
          <w:lang w:val="en-GB"/>
        </w:rPr>
        <w:t xml:space="preserve">Source: </w:t>
      </w:r>
      <w:r>
        <w:rPr>
          <w:rFonts w:ascii="Arial" w:hAnsi="Arial"/>
          <w:lang w:val="en-GB"/>
        </w:rPr>
        <w:t>Office of the Chief Scientist Queensland (2015)</w:t>
      </w:r>
    </w:p>
    <w:p w:rsidR="00E378B5" w:rsidRPr="00E86ACB" w:rsidRDefault="00E378B5" w:rsidP="00E86ACB">
      <w:pPr>
        <w:spacing w:after="240"/>
        <w:rPr>
          <w:rFonts w:ascii="Arial" w:hAnsi="Arial" w:cs="Arial"/>
          <w:b/>
          <w:sz w:val="40"/>
          <w:szCs w:val="40"/>
        </w:rPr>
      </w:pPr>
      <w:bookmarkStart w:id="108" w:name="_Toc442159251"/>
      <w:bookmarkStart w:id="109" w:name="_Toc486145218"/>
      <w:bookmarkStart w:id="110" w:name="_Toc486145327"/>
      <w:bookmarkStart w:id="111" w:name="_Toc486146243"/>
      <w:r w:rsidRPr="00E86ACB">
        <w:rPr>
          <w:rFonts w:ascii="Arial" w:hAnsi="Arial" w:cs="Arial"/>
          <w:b/>
          <w:sz w:val="40"/>
          <w:szCs w:val="40"/>
        </w:rPr>
        <w:t>6. Valuation of Impacts</w:t>
      </w:r>
      <w:bookmarkEnd w:id="108"/>
      <w:bookmarkEnd w:id="109"/>
      <w:bookmarkEnd w:id="110"/>
      <w:bookmarkEnd w:id="111"/>
      <w:r w:rsidRPr="00E86ACB">
        <w:rPr>
          <w:rFonts w:ascii="Arial" w:hAnsi="Arial" w:cs="Arial"/>
          <w:b/>
          <w:sz w:val="40"/>
          <w:szCs w:val="40"/>
        </w:rPr>
        <w:t xml:space="preserve"> </w:t>
      </w:r>
    </w:p>
    <w:p w:rsidR="00E378B5" w:rsidRPr="007013B8" w:rsidRDefault="00E378B5" w:rsidP="00A0699E">
      <w:pPr>
        <w:spacing w:after="240"/>
        <w:rPr>
          <w:rFonts w:ascii="Arial" w:hAnsi="Arial" w:cs="Arial"/>
          <w:b/>
          <w:sz w:val="24"/>
        </w:rPr>
      </w:pPr>
      <w:bookmarkStart w:id="112" w:name="_Toc465932644"/>
      <w:r w:rsidRPr="007013B8">
        <w:rPr>
          <w:rFonts w:ascii="Arial" w:hAnsi="Arial" w:cs="Arial"/>
          <w:b/>
          <w:sz w:val="24"/>
        </w:rPr>
        <w:t>Impacts Valued</w:t>
      </w:r>
      <w:bookmarkEnd w:id="112"/>
      <w:r w:rsidRPr="007013B8">
        <w:rPr>
          <w:rFonts w:ascii="Arial" w:hAnsi="Arial" w:cs="Arial"/>
          <w:b/>
          <w:sz w:val="24"/>
        </w:rPr>
        <w:t xml:space="preserve"> </w:t>
      </w:r>
    </w:p>
    <w:p w:rsidR="00E378B5" w:rsidRPr="001B23EE" w:rsidRDefault="00E378B5" w:rsidP="00A0699E">
      <w:pPr>
        <w:spacing w:after="240"/>
        <w:rPr>
          <w:rFonts w:ascii="Arial" w:hAnsi="Arial" w:cs="Arial"/>
        </w:rPr>
      </w:pPr>
      <w:r w:rsidRPr="001B23EE">
        <w:rPr>
          <w:rFonts w:ascii="Arial" w:hAnsi="Arial" w:cs="Arial"/>
        </w:rPr>
        <w:t xml:space="preserve">Analyses </w:t>
      </w:r>
      <w:r>
        <w:rPr>
          <w:rFonts w:ascii="Arial" w:hAnsi="Arial" w:cs="Arial"/>
        </w:rPr>
        <w:t xml:space="preserve">were </w:t>
      </w:r>
      <w:r w:rsidRPr="001B23EE">
        <w:rPr>
          <w:rFonts w:ascii="Arial" w:hAnsi="Arial" w:cs="Arial"/>
        </w:rPr>
        <w:t xml:space="preserve">undertaken for total benefits that included future expected benefits. A degree of conservatism was used when finalising assumptions, particularly when </w:t>
      </w:r>
      <w:r>
        <w:rPr>
          <w:rFonts w:ascii="Arial" w:hAnsi="Arial" w:cs="Arial"/>
        </w:rPr>
        <w:t xml:space="preserve">some </w:t>
      </w:r>
      <w:r w:rsidRPr="001B23EE">
        <w:rPr>
          <w:rFonts w:ascii="Arial" w:hAnsi="Arial" w:cs="Arial"/>
        </w:rPr>
        <w:t xml:space="preserve">uncertainty was involved. Sensitivity analyses </w:t>
      </w:r>
      <w:r>
        <w:rPr>
          <w:rFonts w:ascii="Arial" w:hAnsi="Arial" w:cs="Arial"/>
        </w:rPr>
        <w:t>were undertaken on the discount rate as well as for an alternative counterfactual</w:t>
      </w:r>
      <w:r w:rsidRPr="001B23EE">
        <w:rPr>
          <w:rFonts w:ascii="Arial" w:hAnsi="Arial" w:cs="Arial"/>
        </w:rPr>
        <w:t>.</w:t>
      </w:r>
    </w:p>
    <w:p w:rsidR="00E378B5" w:rsidRPr="00363377" w:rsidRDefault="00E378B5" w:rsidP="00A0699E">
      <w:pPr>
        <w:spacing w:after="240"/>
        <w:rPr>
          <w:rFonts w:ascii="Arial" w:hAnsi="Arial" w:cs="Arial"/>
          <w:color w:val="000000" w:themeColor="text1"/>
        </w:rPr>
      </w:pPr>
      <w:r w:rsidRPr="00363377">
        <w:rPr>
          <w:rFonts w:ascii="Arial" w:hAnsi="Arial" w:cs="Arial"/>
          <w:color w:val="000000" w:themeColor="text1"/>
        </w:rPr>
        <w:t>Two impacts were valued</w:t>
      </w:r>
      <w:r>
        <w:rPr>
          <w:rFonts w:ascii="Arial" w:hAnsi="Arial" w:cs="Arial"/>
          <w:color w:val="000000" w:themeColor="text1"/>
        </w:rPr>
        <w:t xml:space="preserve">. The first was the value gain for crab passing through the SFM. And the </w:t>
      </w:r>
      <w:r w:rsidRPr="00A0699E">
        <w:rPr>
          <w:rFonts w:ascii="Arial" w:hAnsi="Arial" w:cs="Arial"/>
        </w:rPr>
        <w:t>second</w:t>
      </w:r>
      <w:r>
        <w:rPr>
          <w:rFonts w:ascii="Arial" w:hAnsi="Arial" w:cs="Arial"/>
          <w:color w:val="000000" w:themeColor="text1"/>
        </w:rPr>
        <w:t xml:space="preserve"> was for the value gain due for crab passing through supply chains other than the SFM. </w:t>
      </w:r>
      <w:r w:rsidRPr="00363377">
        <w:rPr>
          <w:rFonts w:ascii="Arial" w:hAnsi="Arial" w:cs="Arial"/>
          <w:color w:val="000000" w:themeColor="text1"/>
        </w:rPr>
        <w:t xml:space="preserve"> </w:t>
      </w:r>
    </w:p>
    <w:p w:rsidR="00E378B5" w:rsidRPr="007013B8" w:rsidRDefault="00E378B5" w:rsidP="00A0699E">
      <w:pPr>
        <w:spacing w:after="240"/>
        <w:rPr>
          <w:rFonts w:ascii="Arial" w:hAnsi="Arial" w:cs="Arial"/>
          <w:b/>
          <w:sz w:val="24"/>
        </w:rPr>
      </w:pPr>
      <w:bookmarkStart w:id="113" w:name="_Toc465932645"/>
      <w:r w:rsidRPr="007013B8">
        <w:rPr>
          <w:rFonts w:ascii="Arial" w:hAnsi="Arial" w:cs="Arial"/>
          <w:b/>
          <w:sz w:val="24"/>
        </w:rPr>
        <w:t xml:space="preserve">Impacts </w:t>
      </w:r>
      <w:r>
        <w:rPr>
          <w:rFonts w:ascii="Arial" w:hAnsi="Arial" w:cs="Arial"/>
          <w:b/>
          <w:sz w:val="24"/>
        </w:rPr>
        <w:t>not</w:t>
      </w:r>
      <w:r w:rsidRPr="007013B8">
        <w:rPr>
          <w:rFonts w:ascii="Arial" w:hAnsi="Arial" w:cs="Arial"/>
          <w:b/>
          <w:sz w:val="24"/>
        </w:rPr>
        <w:t xml:space="preserve"> Valued</w:t>
      </w:r>
      <w:bookmarkEnd w:id="113"/>
    </w:p>
    <w:p w:rsidR="00E378B5" w:rsidRDefault="00E378B5" w:rsidP="00A0699E">
      <w:pPr>
        <w:spacing w:after="240"/>
        <w:rPr>
          <w:rFonts w:ascii="Arial" w:hAnsi="Arial" w:cs="Arial"/>
        </w:rPr>
      </w:pPr>
      <w:r w:rsidRPr="00711C64">
        <w:rPr>
          <w:rFonts w:ascii="Arial" w:hAnsi="Arial" w:cs="Arial"/>
        </w:rPr>
        <w:t xml:space="preserve">Not all impacts identified in Table </w:t>
      </w:r>
      <w:r>
        <w:rPr>
          <w:rFonts w:ascii="Arial" w:hAnsi="Arial" w:cs="Arial"/>
        </w:rPr>
        <w:t>3</w:t>
      </w:r>
      <w:r w:rsidRPr="00711C64">
        <w:rPr>
          <w:rFonts w:ascii="Arial" w:hAnsi="Arial" w:cs="Arial"/>
        </w:rPr>
        <w:t xml:space="preserve"> could be valued in the assessment. This was for various reasons including time and resources, availability of baseline data, </w:t>
      </w:r>
      <w:r>
        <w:rPr>
          <w:rFonts w:ascii="Arial" w:hAnsi="Arial" w:cs="Arial"/>
        </w:rPr>
        <w:t xml:space="preserve">difficulty in </w:t>
      </w:r>
      <w:r w:rsidRPr="00711C64">
        <w:rPr>
          <w:rFonts w:ascii="Arial" w:hAnsi="Arial" w:cs="Arial"/>
        </w:rPr>
        <w:t>quantifying the causal relationships between the research outputs and the specific impact, and the difficulty of placing credible monetary values on some of the environmental and social benefits.</w:t>
      </w:r>
    </w:p>
    <w:p w:rsidR="00E378B5" w:rsidRPr="00EA05EA" w:rsidRDefault="00E378B5" w:rsidP="00E378B5">
      <w:pPr>
        <w:rPr>
          <w:rFonts w:ascii="Arial" w:hAnsi="Arial" w:cs="Arial"/>
        </w:rPr>
      </w:pPr>
      <w:r w:rsidRPr="00EA05EA">
        <w:rPr>
          <w:rFonts w:ascii="Arial" w:hAnsi="Arial" w:cs="Arial"/>
        </w:rPr>
        <w:t>The economic impacts identified but not valued included:</w:t>
      </w:r>
    </w:p>
    <w:p w:rsidR="00E378B5" w:rsidRPr="00B92F11" w:rsidRDefault="00E378B5" w:rsidP="000F22FE">
      <w:pPr>
        <w:pStyle w:val="ListParagraph"/>
        <w:framePr w:hSpace="180" w:wrap="around" w:vAnchor="text" w:hAnchor="text" w:xAlign="center" w:y="1"/>
        <w:widowControl w:val="0"/>
        <w:numPr>
          <w:ilvl w:val="0"/>
          <w:numId w:val="12"/>
        </w:numPr>
        <w:suppressAutoHyphens/>
        <w:contextualSpacing w:val="0"/>
        <w:suppressOverlap/>
        <w:rPr>
          <w:rFonts w:ascii="Arial" w:hAnsi="Arial" w:cs="Arial"/>
          <w:color w:val="000000" w:themeColor="text1"/>
          <w:szCs w:val="22"/>
        </w:rPr>
      </w:pPr>
      <w:r w:rsidRPr="00B92F11">
        <w:rPr>
          <w:rFonts w:ascii="Arial" w:hAnsi="Arial" w:cs="Arial"/>
          <w:color w:val="000000" w:themeColor="text1"/>
          <w:szCs w:val="22"/>
        </w:rPr>
        <w:t xml:space="preserve">Potential for demand expansion from effect of improved and consistent product quality reaching the consumer.  </w:t>
      </w:r>
    </w:p>
    <w:p w:rsidR="00E378B5" w:rsidRDefault="00E378B5" w:rsidP="000F22FE">
      <w:pPr>
        <w:pStyle w:val="ListParagraph"/>
        <w:framePr w:hSpace="180" w:wrap="around" w:vAnchor="text" w:hAnchor="text" w:xAlign="center" w:y="1"/>
        <w:widowControl w:val="0"/>
        <w:numPr>
          <w:ilvl w:val="0"/>
          <w:numId w:val="12"/>
        </w:numPr>
        <w:suppressAutoHyphens/>
        <w:contextualSpacing w:val="0"/>
        <w:suppressOverlap/>
        <w:rPr>
          <w:rFonts w:ascii="Arial" w:hAnsi="Arial" w:cs="Arial"/>
          <w:szCs w:val="22"/>
        </w:rPr>
      </w:pPr>
      <w:r w:rsidRPr="007435FD">
        <w:rPr>
          <w:rFonts w:ascii="Arial" w:hAnsi="Arial" w:cs="Arial"/>
          <w:szCs w:val="22"/>
        </w:rPr>
        <w:t>Increased confidence in the efficiency of the supply chain potentially leading to greater investment in the industry by responsible parties</w:t>
      </w:r>
      <w:r>
        <w:rPr>
          <w:rFonts w:ascii="Arial" w:hAnsi="Arial" w:cs="Arial"/>
          <w:szCs w:val="22"/>
        </w:rPr>
        <w:t xml:space="preserve">. </w:t>
      </w:r>
    </w:p>
    <w:p w:rsidR="00E378B5" w:rsidRPr="00363377" w:rsidRDefault="00E378B5" w:rsidP="00A0699E">
      <w:pPr>
        <w:pStyle w:val="ListParagraph"/>
        <w:numPr>
          <w:ilvl w:val="0"/>
          <w:numId w:val="12"/>
        </w:numPr>
        <w:suppressAutoHyphens/>
        <w:spacing w:after="240"/>
        <w:contextualSpacing w:val="0"/>
        <w:rPr>
          <w:rFonts w:ascii="Arial" w:hAnsi="Arial" w:cs="Arial"/>
        </w:rPr>
      </w:pPr>
      <w:r>
        <w:rPr>
          <w:rFonts w:ascii="Arial" w:hAnsi="Arial" w:cs="Arial"/>
        </w:rPr>
        <w:t>The c</w:t>
      </w:r>
      <w:r w:rsidRPr="00363377">
        <w:rPr>
          <w:rFonts w:ascii="Arial" w:hAnsi="Arial" w:cs="Arial"/>
        </w:rPr>
        <w:t xml:space="preserve">ontribution to potential future objective measurement systems that could further increase industry value.   </w:t>
      </w:r>
      <w:r w:rsidRPr="00363377">
        <w:rPr>
          <w:rFonts w:ascii="Arial" w:hAnsi="Arial" w:cs="Arial"/>
          <w:color w:val="FF0000"/>
        </w:rPr>
        <w:t xml:space="preserve">  </w:t>
      </w:r>
    </w:p>
    <w:p w:rsidR="00E378B5" w:rsidRPr="008106FC" w:rsidRDefault="00E378B5" w:rsidP="00A0699E">
      <w:pPr>
        <w:spacing w:after="240"/>
        <w:rPr>
          <w:color w:val="000000" w:themeColor="text1"/>
        </w:rPr>
      </w:pPr>
      <w:r w:rsidRPr="008106FC">
        <w:rPr>
          <w:rFonts w:ascii="Arial" w:hAnsi="Arial" w:cs="Arial"/>
          <w:color w:val="000000" w:themeColor="text1"/>
        </w:rPr>
        <w:t xml:space="preserve">The environmental impact identified but not valued was </w:t>
      </w:r>
      <w:r>
        <w:rPr>
          <w:rFonts w:ascii="Arial" w:hAnsi="Arial" w:cs="Arial"/>
          <w:color w:val="000000" w:themeColor="text1"/>
        </w:rPr>
        <w:t xml:space="preserve">a marginal increase in </w:t>
      </w:r>
      <w:r w:rsidRPr="008106FC">
        <w:rPr>
          <w:rFonts w:ascii="Arial" w:hAnsi="Arial" w:cs="Arial"/>
          <w:color w:val="000000" w:themeColor="text1"/>
        </w:rPr>
        <w:t xml:space="preserve">improved resource sustainability due to reduced </w:t>
      </w:r>
      <w:r>
        <w:rPr>
          <w:rFonts w:ascii="Arial" w:hAnsi="Arial" w:cs="Arial"/>
          <w:color w:val="000000" w:themeColor="text1"/>
        </w:rPr>
        <w:t xml:space="preserve">harvest </w:t>
      </w:r>
      <w:r w:rsidRPr="008106FC">
        <w:rPr>
          <w:rFonts w:ascii="Arial" w:hAnsi="Arial" w:cs="Arial"/>
          <w:color w:val="000000" w:themeColor="text1"/>
        </w:rPr>
        <w:t>of newly moulted crab</w:t>
      </w:r>
      <w:r>
        <w:rPr>
          <w:rFonts w:ascii="Arial" w:hAnsi="Arial" w:cs="Arial"/>
          <w:color w:val="000000" w:themeColor="text1"/>
        </w:rPr>
        <w:t>s</w:t>
      </w:r>
      <w:r w:rsidRPr="008106FC">
        <w:rPr>
          <w:rFonts w:ascii="Arial" w:hAnsi="Arial" w:cs="Arial"/>
          <w:color w:val="000000" w:themeColor="text1"/>
        </w:rPr>
        <w:t>.</w:t>
      </w:r>
    </w:p>
    <w:p w:rsidR="00E378B5" w:rsidRDefault="00E378B5" w:rsidP="00E378B5">
      <w:pPr>
        <w:rPr>
          <w:rFonts w:ascii="Arial" w:hAnsi="Arial" w:cs="Arial"/>
        </w:rPr>
      </w:pPr>
      <w:r w:rsidRPr="00711C64">
        <w:rPr>
          <w:rFonts w:ascii="Arial" w:hAnsi="Arial" w:cs="Arial"/>
        </w:rPr>
        <w:t>The social impacts identified but not valued include</w:t>
      </w:r>
      <w:r>
        <w:rPr>
          <w:rFonts w:ascii="Arial" w:hAnsi="Arial" w:cs="Arial"/>
        </w:rPr>
        <w:t>d:</w:t>
      </w:r>
    </w:p>
    <w:p w:rsidR="00E378B5" w:rsidRPr="008106FC" w:rsidRDefault="00E378B5" w:rsidP="000F22FE">
      <w:pPr>
        <w:pStyle w:val="ListParagraph"/>
        <w:numPr>
          <w:ilvl w:val="0"/>
          <w:numId w:val="12"/>
        </w:numPr>
        <w:suppressAutoHyphens/>
        <w:contextualSpacing w:val="0"/>
        <w:rPr>
          <w:rFonts w:ascii="Arial" w:hAnsi="Arial" w:cs="Arial"/>
        </w:rPr>
      </w:pPr>
      <w:r w:rsidRPr="008106FC">
        <w:rPr>
          <w:rFonts w:ascii="Arial" w:hAnsi="Arial" w:cs="Arial"/>
        </w:rPr>
        <w:t xml:space="preserve">Increased community well-being through the spill-over effects of a more profitable </w:t>
      </w:r>
      <w:r>
        <w:rPr>
          <w:rFonts w:ascii="Arial" w:hAnsi="Arial" w:cs="Arial"/>
        </w:rPr>
        <w:t xml:space="preserve">crab </w:t>
      </w:r>
      <w:r w:rsidRPr="008106FC">
        <w:rPr>
          <w:rFonts w:ascii="Arial" w:hAnsi="Arial" w:cs="Arial"/>
        </w:rPr>
        <w:t>industry</w:t>
      </w:r>
    </w:p>
    <w:p w:rsidR="00E378B5" w:rsidRPr="008106FC" w:rsidRDefault="00E378B5" w:rsidP="000F22FE">
      <w:pPr>
        <w:pStyle w:val="ListParagraph"/>
        <w:numPr>
          <w:ilvl w:val="0"/>
          <w:numId w:val="12"/>
        </w:numPr>
        <w:suppressAutoHyphens/>
        <w:contextualSpacing w:val="0"/>
        <w:rPr>
          <w:rFonts w:ascii="Arial" w:hAnsi="Arial" w:cs="Arial"/>
        </w:rPr>
      </w:pPr>
      <w:r w:rsidRPr="008106FC">
        <w:rPr>
          <w:rFonts w:ascii="Arial" w:hAnsi="Arial" w:cs="Arial"/>
        </w:rPr>
        <w:t xml:space="preserve">Increased equity in the supply chain regarding rewarding compliance and good management.  </w:t>
      </w:r>
    </w:p>
    <w:p w:rsidR="00E378B5" w:rsidRPr="00755A0B" w:rsidRDefault="00E378B5" w:rsidP="000F22FE">
      <w:pPr>
        <w:pStyle w:val="ListParagraph"/>
        <w:numPr>
          <w:ilvl w:val="0"/>
          <w:numId w:val="12"/>
        </w:numPr>
        <w:suppressAutoHyphens/>
        <w:contextualSpacing w:val="0"/>
        <w:rPr>
          <w:rFonts w:ascii="Arial" w:hAnsi="Arial" w:cs="Arial"/>
        </w:rPr>
      </w:pPr>
      <w:r w:rsidRPr="00755A0B">
        <w:rPr>
          <w:rFonts w:ascii="Arial" w:hAnsi="Arial" w:cs="Arial"/>
        </w:rPr>
        <w:t>Increased industry capacity to develop and negotiate solutions to industry issues in future</w:t>
      </w:r>
      <w:r>
        <w:rPr>
          <w:rFonts w:ascii="Arial" w:hAnsi="Arial" w:cs="Arial"/>
        </w:rPr>
        <w:t>.</w:t>
      </w:r>
      <w:r w:rsidRPr="00755A0B">
        <w:rPr>
          <w:rFonts w:ascii="Arial" w:hAnsi="Arial" w:cs="Arial"/>
        </w:rPr>
        <w:t xml:space="preserve">  </w:t>
      </w:r>
    </w:p>
    <w:p w:rsidR="00E378B5" w:rsidRPr="00755A0B" w:rsidRDefault="00E378B5" w:rsidP="000F22FE">
      <w:pPr>
        <w:pStyle w:val="ListParagraph"/>
        <w:numPr>
          <w:ilvl w:val="0"/>
          <w:numId w:val="12"/>
        </w:numPr>
        <w:suppressAutoHyphens/>
        <w:contextualSpacing w:val="0"/>
        <w:rPr>
          <w:rFonts w:ascii="Arial" w:hAnsi="Arial" w:cs="Arial"/>
        </w:rPr>
      </w:pPr>
      <w:r w:rsidRPr="00755A0B">
        <w:rPr>
          <w:rFonts w:ascii="Arial" w:hAnsi="Arial" w:cs="Arial"/>
        </w:rPr>
        <w:t>Increased scientific research capacity about information relevant to live crustacean supply chains</w:t>
      </w:r>
      <w:r>
        <w:rPr>
          <w:rFonts w:ascii="Arial" w:hAnsi="Arial" w:cs="Arial"/>
        </w:rPr>
        <w:t>.</w:t>
      </w:r>
      <w:r w:rsidRPr="00755A0B">
        <w:rPr>
          <w:rFonts w:ascii="Arial" w:hAnsi="Arial" w:cs="Arial"/>
        </w:rPr>
        <w:t xml:space="preserve"> </w:t>
      </w:r>
    </w:p>
    <w:p w:rsidR="00E378B5" w:rsidRPr="008106FC" w:rsidRDefault="00E378B5" w:rsidP="00A0699E">
      <w:pPr>
        <w:pStyle w:val="ListParagraph"/>
        <w:numPr>
          <w:ilvl w:val="0"/>
          <w:numId w:val="12"/>
        </w:numPr>
        <w:suppressAutoHyphens/>
        <w:spacing w:after="240"/>
        <w:contextualSpacing w:val="0"/>
        <w:rPr>
          <w:rFonts w:ascii="Arial" w:hAnsi="Arial" w:cs="Arial"/>
        </w:rPr>
      </w:pPr>
      <w:r w:rsidRPr="00755A0B">
        <w:rPr>
          <w:rFonts w:ascii="Arial" w:hAnsi="Arial" w:cs="Arial"/>
        </w:rPr>
        <w:t>Improvements in animal welfare due to less crab damage from strength testing.</w:t>
      </w:r>
      <w:r w:rsidRPr="008106FC">
        <w:rPr>
          <w:rFonts w:ascii="Arial" w:hAnsi="Arial" w:cs="Arial"/>
        </w:rPr>
        <w:t xml:space="preserve">  </w:t>
      </w:r>
    </w:p>
    <w:p w:rsidR="00E378B5" w:rsidRPr="00755A0B" w:rsidRDefault="00E378B5" w:rsidP="00A0699E">
      <w:pPr>
        <w:spacing w:after="240"/>
        <w:rPr>
          <w:rFonts w:ascii="Arial" w:hAnsi="Arial" w:cs="Arial"/>
          <w:b/>
          <w:sz w:val="24"/>
        </w:rPr>
      </w:pPr>
      <w:bookmarkStart w:id="114" w:name="_Toc465932646"/>
      <w:r w:rsidRPr="00755A0B">
        <w:rPr>
          <w:rFonts w:ascii="Arial" w:hAnsi="Arial" w:cs="Arial"/>
          <w:b/>
          <w:sz w:val="24"/>
        </w:rPr>
        <w:t xml:space="preserve">Valuation of Benefit 1: Reduced </w:t>
      </w:r>
      <w:r>
        <w:rPr>
          <w:rFonts w:ascii="Arial" w:hAnsi="Arial" w:cs="Arial"/>
          <w:b/>
          <w:sz w:val="24"/>
        </w:rPr>
        <w:t>D</w:t>
      </w:r>
      <w:r w:rsidRPr="00755A0B">
        <w:rPr>
          <w:rFonts w:ascii="Arial" w:hAnsi="Arial" w:cs="Arial"/>
          <w:b/>
          <w:sz w:val="24"/>
        </w:rPr>
        <w:t xml:space="preserve">owngrading </w:t>
      </w:r>
      <w:bookmarkEnd w:id="114"/>
      <w:r>
        <w:rPr>
          <w:rFonts w:ascii="Arial" w:hAnsi="Arial" w:cs="Arial"/>
          <w:b/>
          <w:sz w:val="24"/>
        </w:rPr>
        <w:t xml:space="preserve">Applied to the SFM Throughput </w:t>
      </w:r>
    </w:p>
    <w:p w:rsidR="00E378B5" w:rsidRDefault="00E378B5" w:rsidP="00A0699E">
      <w:pPr>
        <w:spacing w:after="240"/>
        <w:rPr>
          <w:rFonts w:ascii="Arial" w:hAnsi="Arial" w:cs="Arial"/>
        </w:rPr>
      </w:pPr>
      <w:r>
        <w:rPr>
          <w:rFonts w:ascii="Arial" w:hAnsi="Arial" w:cs="Arial"/>
        </w:rPr>
        <w:t xml:space="preserve">The grade scores for 370 crabs tested in the project were estimated for both Version 2 and Version 3 of the revised grading Scheme. The change in the grades for each crab from Version 3 indicated an average increase in revenue of $2.18 per kg for male crabs and $2.80 per kg for female crabs across all grades. As female crabs cannot be harvested in Queensland, and based on Queensland fisheries contributing 75% of all crab supplied to the SFM, a weighted average of $2.26 per kg for all crabs was </w:t>
      </w:r>
      <w:r w:rsidRPr="006361BE">
        <w:rPr>
          <w:rFonts w:ascii="Arial" w:hAnsi="Arial" w:cs="Arial"/>
        </w:rPr>
        <w:t>estimated</w:t>
      </w:r>
      <w:r>
        <w:rPr>
          <w:rFonts w:ascii="Arial" w:hAnsi="Arial" w:cs="Arial"/>
        </w:rPr>
        <w:t xml:space="preserve"> from the two figures above.</w:t>
      </w:r>
    </w:p>
    <w:p w:rsidR="00E378B5" w:rsidRDefault="00E378B5" w:rsidP="00A0699E">
      <w:pPr>
        <w:spacing w:after="240"/>
        <w:rPr>
          <w:rFonts w:ascii="Arial" w:hAnsi="Arial" w:cs="Arial"/>
        </w:rPr>
      </w:pPr>
      <w:r>
        <w:rPr>
          <w:rFonts w:ascii="Arial" w:hAnsi="Arial" w:cs="Arial"/>
        </w:rPr>
        <w:t>Based on a total commercial catch of mud crabs of 1,600 tonnes per annum and assuming the improvement applies to all commercial crab passing through the SFM, the annual gain could be of the order of $976,000 per annum ($0.98m). This assumes the SFM accounts for 27% of the total Australian commercial production.</w:t>
      </w:r>
    </w:p>
    <w:p w:rsidR="00E378B5" w:rsidRDefault="00E378B5" w:rsidP="00A0699E">
      <w:pPr>
        <w:spacing w:after="240"/>
        <w:rPr>
          <w:rFonts w:ascii="Arial" w:hAnsi="Arial" w:cs="Arial"/>
        </w:rPr>
      </w:pPr>
      <w:r>
        <w:rPr>
          <w:rFonts w:ascii="Arial" w:hAnsi="Arial" w:cs="Arial"/>
        </w:rPr>
        <w:t xml:space="preserve">The final report for the project (Mayze et al, 2016, p 111) estimates that the value of crab passing through the SFM would have increased from $11.4 m to $12.4 m, a gain of about $1m per annum due to Version 3 of the scheme. There is consistency between these two estimates of value improvement </w:t>
      </w:r>
      <w:r w:rsidRPr="00CD2DF8">
        <w:rPr>
          <w:rFonts w:ascii="Arial" w:hAnsi="Arial" w:cs="Arial"/>
        </w:rPr>
        <w:t>($1m versus $0.9</w:t>
      </w:r>
      <w:r>
        <w:rPr>
          <w:rFonts w:ascii="Arial" w:hAnsi="Arial" w:cs="Arial"/>
        </w:rPr>
        <w:t>8</w:t>
      </w:r>
      <w:r w:rsidRPr="00CD2DF8">
        <w:rPr>
          <w:rFonts w:ascii="Arial" w:hAnsi="Arial" w:cs="Arial"/>
        </w:rPr>
        <w:t>m</w:t>
      </w:r>
      <w:r>
        <w:rPr>
          <w:rFonts w:ascii="Arial" w:hAnsi="Arial" w:cs="Arial"/>
        </w:rPr>
        <w:t>). Specific assumptions for the current estimate of $976,000 are provided in Table 6.</w:t>
      </w:r>
    </w:p>
    <w:p w:rsidR="00E378B5" w:rsidRDefault="00E378B5" w:rsidP="00A0699E">
      <w:pPr>
        <w:spacing w:after="240"/>
        <w:rPr>
          <w:rFonts w:ascii="Arial" w:hAnsi="Arial" w:cs="Arial"/>
        </w:rPr>
      </w:pPr>
      <w:r w:rsidRPr="00BD0919">
        <w:rPr>
          <w:rFonts w:ascii="Arial" w:hAnsi="Arial" w:cs="Arial"/>
        </w:rPr>
        <w:t xml:space="preserve">The estimates above are based on the improvement of Version 3 over Version 2. As Version 2 was an improvement over Version 1 (the original scheme), the estimates above are conservative. However, the Version 1 to Version 2 improvements were not included in the Project Final Report and while they could be estimated by the DAF team, time and resource constraints prevented their inclusion </w:t>
      </w:r>
      <w:r>
        <w:rPr>
          <w:rFonts w:ascii="Arial" w:hAnsi="Arial" w:cs="Arial"/>
        </w:rPr>
        <w:t xml:space="preserve">for </w:t>
      </w:r>
      <w:r w:rsidRPr="00BD0919">
        <w:rPr>
          <w:rFonts w:ascii="Arial" w:hAnsi="Arial" w:cs="Arial"/>
        </w:rPr>
        <w:t>the present economic evaluation.</w:t>
      </w:r>
    </w:p>
    <w:p w:rsidR="00E378B5" w:rsidRPr="00711C64" w:rsidRDefault="00E378B5" w:rsidP="00A0699E">
      <w:pPr>
        <w:spacing w:after="240"/>
        <w:rPr>
          <w:rFonts w:ascii="Arial" w:hAnsi="Arial" w:cs="Arial"/>
          <w:b/>
          <w:sz w:val="24"/>
        </w:rPr>
      </w:pPr>
      <w:r w:rsidRPr="00711C64">
        <w:rPr>
          <w:rFonts w:ascii="Arial" w:hAnsi="Arial" w:cs="Arial"/>
          <w:b/>
          <w:sz w:val="24"/>
        </w:rPr>
        <w:t xml:space="preserve">Valuation of Benefit 2: </w:t>
      </w:r>
      <w:r>
        <w:rPr>
          <w:rFonts w:ascii="Arial" w:hAnsi="Arial" w:cs="Arial"/>
          <w:b/>
          <w:sz w:val="24"/>
        </w:rPr>
        <w:t xml:space="preserve">Improvements in non-SFM Supply Chains  </w:t>
      </w:r>
    </w:p>
    <w:p w:rsidR="00E378B5" w:rsidRDefault="00E378B5" w:rsidP="00A0699E">
      <w:pPr>
        <w:spacing w:after="240"/>
        <w:rPr>
          <w:rFonts w:ascii="Arial" w:hAnsi="Arial" w:cs="Arial"/>
        </w:rPr>
      </w:pPr>
      <w:r w:rsidRPr="0034403D">
        <w:rPr>
          <w:rFonts w:ascii="Arial" w:hAnsi="Arial" w:cs="Arial"/>
        </w:rPr>
        <w:t xml:space="preserve">The improvement in the </w:t>
      </w:r>
      <w:r>
        <w:rPr>
          <w:rFonts w:ascii="Arial" w:hAnsi="Arial" w:cs="Arial"/>
        </w:rPr>
        <w:t xml:space="preserve">unit </w:t>
      </w:r>
      <w:r w:rsidRPr="0034403D">
        <w:rPr>
          <w:rFonts w:ascii="Arial" w:hAnsi="Arial" w:cs="Arial"/>
        </w:rPr>
        <w:t xml:space="preserve">price per kg </w:t>
      </w:r>
      <w:r>
        <w:rPr>
          <w:rFonts w:ascii="Arial" w:hAnsi="Arial" w:cs="Arial"/>
        </w:rPr>
        <w:t xml:space="preserve">gain </w:t>
      </w:r>
      <w:r w:rsidRPr="0034403D">
        <w:rPr>
          <w:rFonts w:ascii="Arial" w:hAnsi="Arial" w:cs="Arial"/>
        </w:rPr>
        <w:t>along the non</w:t>
      </w:r>
      <w:r>
        <w:rPr>
          <w:rFonts w:ascii="Arial" w:hAnsi="Arial" w:cs="Arial"/>
        </w:rPr>
        <w:t>-</w:t>
      </w:r>
      <w:r w:rsidRPr="0034403D">
        <w:rPr>
          <w:rFonts w:ascii="Arial" w:hAnsi="Arial" w:cs="Arial"/>
        </w:rPr>
        <w:t>SFM supply chain</w:t>
      </w:r>
      <w:r>
        <w:rPr>
          <w:rFonts w:ascii="Arial" w:hAnsi="Arial" w:cs="Arial"/>
        </w:rPr>
        <w:t>s</w:t>
      </w:r>
      <w:r w:rsidRPr="0034403D">
        <w:rPr>
          <w:rFonts w:ascii="Arial" w:hAnsi="Arial" w:cs="Arial"/>
        </w:rPr>
        <w:t xml:space="preserve"> </w:t>
      </w:r>
      <w:r>
        <w:rPr>
          <w:rFonts w:ascii="Arial" w:hAnsi="Arial" w:cs="Arial"/>
        </w:rPr>
        <w:t>are</w:t>
      </w:r>
      <w:r w:rsidRPr="0034403D">
        <w:rPr>
          <w:rFonts w:ascii="Arial" w:hAnsi="Arial" w:cs="Arial"/>
        </w:rPr>
        <w:t xml:space="preserve"> assumed the same as for the S</w:t>
      </w:r>
      <w:r>
        <w:rPr>
          <w:rFonts w:ascii="Arial" w:hAnsi="Arial" w:cs="Arial"/>
        </w:rPr>
        <w:t>F</w:t>
      </w:r>
      <w:r w:rsidRPr="0034403D">
        <w:rPr>
          <w:rFonts w:ascii="Arial" w:hAnsi="Arial" w:cs="Arial"/>
        </w:rPr>
        <w:t xml:space="preserve">M supply chain. However, </w:t>
      </w:r>
      <w:r>
        <w:rPr>
          <w:rFonts w:ascii="Arial" w:hAnsi="Arial" w:cs="Arial"/>
        </w:rPr>
        <w:t xml:space="preserve">while </w:t>
      </w:r>
      <w:r w:rsidRPr="0034403D">
        <w:rPr>
          <w:rFonts w:ascii="Arial" w:hAnsi="Arial" w:cs="Arial"/>
        </w:rPr>
        <w:t xml:space="preserve">the level of maximum adoption of the grading scheme is assumed to be </w:t>
      </w:r>
      <w:r>
        <w:rPr>
          <w:rFonts w:ascii="Arial" w:hAnsi="Arial" w:cs="Arial"/>
        </w:rPr>
        <w:t xml:space="preserve">somewhat </w:t>
      </w:r>
      <w:r w:rsidRPr="0034403D">
        <w:rPr>
          <w:rFonts w:ascii="Arial" w:hAnsi="Arial" w:cs="Arial"/>
        </w:rPr>
        <w:t>lower than that for the SFM pathway</w:t>
      </w:r>
      <w:r>
        <w:rPr>
          <w:rFonts w:ascii="Arial" w:hAnsi="Arial" w:cs="Arial"/>
        </w:rPr>
        <w:t xml:space="preserve">, </w:t>
      </w:r>
      <w:r w:rsidRPr="00851B9E">
        <w:rPr>
          <w:rFonts w:ascii="Arial" w:hAnsi="Arial" w:cs="Arial"/>
        </w:rPr>
        <w:t xml:space="preserve">the adoption is assumed to be just as rapid due to the close involvement of the non-SFM crabbers </w:t>
      </w:r>
      <w:r>
        <w:rPr>
          <w:rFonts w:ascii="Arial" w:hAnsi="Arial" w:cs="Arial"/>
        </w:rPr>
        <w:t xml:space="preserve">and supply chains in the project. Details of specific assumptions are provided in Table 6. </w:t>
      </w:r>
    </w:p>
    <w:p w:rsidR="00E378B5" w:rsidRPr="00AC3B3B" w:rsidRDefault="00E378B5" w:rsidP="00A0699E">
      <w:pPr>
        <w:spacing w:after="240"/>
        <w:rPr>
          <w:rFonts w:ascii="Arial" w:hAnsi="Arial" w:cs="Arial"/>
          <w:b/>
          <w:color w:val="000000" w:themeColor="text1"/>
          <w:sz w:val="24"/>
        </w:rPr>
      </w:pPr>
      <w:r>
        <w:rPr>
          <w:rFonts w:ascii="Arial" w:hAnsi="Arial" w:cs="Arial"/>
          <w:b/>
          <w:color w:val="000000" w:themeColor="text1"/>
          <w:sz w:val="24"/>
        </w:rPr>
        <w:t xml:space="preserve">Base </w:t>
      </w:r>
      <w:r w:rsidRPr="00AC3B3B">
        <w:rPr>
          <w:rFonts w:ascii="Arial" w:hAnsi="Arial" w:cs="Arial"/>
          <w:b/>
          <w:color w:val="000000" w:themeColor="text1"/>
          <w:sz w:val="24"/>
        </w:rPr>
        <w:t xml:space="preserve">Counterfactual </w:t>
      </w:r>
    </w:p>
    <w:p w:rsidR="00E378B5" w:rsidRDefault="00E378B5" w:rsidP="00A0699E">
      <w:pPr>
        <w:spacing w:after="240"/>
        <w:rPr>
          <w:rFonts w:ascii="Arial" w:hAnsi="Arial" w:cs="Arial"/>
        </w:rPr>
      </w:pPr>
      <w:r w:rsidRPr="00327088">
        <w:rPr>
          <w:rFonts w:ascii="Arial" w:hAnsi="Arial" w:cs="Arial"/>
        </w:rPr>
        <w:t>If this project had not been funded</w:t>
      </w:r>
      <w:r>
        <w:rPr>
          <w:rFonts w:ascii="Arial" w:hAnsi="Arial" w:cs="Arial"/>
        </w:rPr>
        <w:t xml:space="preserve">, it is assumed that the existing issues with the Version 1 scheme would have continued. An alternative counterfactual could have been that the issues and dissatisfaction with the scheme would have worsened over time to a point where it would have been essential for a revised scheme to have been developed. Assumptions for such an alternative counterfactual and the resulting investment criteria are provided in Table 6. </w:t>
      </w:r>
    </w:p>
    <w:p w:rsidR="00E378B5" w:rsidRPr="00AC3B3B" w:rsidRDefault="00E378B5" w:rsidP="00A0699E">
      <w:pPr>
        <w:spacing w:after="240"/>
        <w:rPr>
          <w:rFonts w:ascii="Arial" w:hAnsi="Arial" w:cs="Arial"/>
          <w:b/>
          <w:color w:val="000000" w:themeColor="text1"/>
          <w:sz w:val="24"/>
        </w:rPr>
      </w:pPr>
      <w:r w:rsidRPr="00AC3B3B">
        <w:rPr>
          <w:rFonts w:ascii="Arial" w:hAnsi="Arial" w:cs="Arial"/>
          <w:b/>
          <w:color w:val="000000" w:themeColor="text1"/>
          <w:sz w:val="24"/>
        </w:rPr>
        <w:t xml:space="preserve">Attribution  </w:t>
      </w:r>
    </w:p>
    <w:p w:rsidR="00E378B5" w:rsidRDefault="00E378B5" w:rsidP="00A0699E">
      <w:pPr>
        <w:spacing w:after="240"/>
        <w:rPr>
          <w:rFonts w:ascii="Arial" w:hAnsi="Arial" w:cs="Arial"/>
          <w:color w:val="000000" w:themeColor="text1"/>
        </w:rPr>
      </w:pPr>
      <w:r w:rsidRPr="00E17DEC">
        <w:rPr>
          <w:rFonts w:ascii="Arial" w:hAnsi="Arial" w:cs="Arial"/>
          <w:color w:val="000000" w:themeColor="text1"/>
        </w:rPr>
        <w:t>The research findings</w:t>
      </w:r>
      <w:r>
        <w:rPr>
          <w:rFonts w:ascii="Arial" w:hAnsi="Arial" w:cs="Arial"/>
          <w:color w:val="000000" w:themeColor="text1"/>
        </w:rPr>
        <w:t xml:space="preserve"> and their usage </w:t>
      </w:r>
      <w:r w:rsidRPr="00E17DEC">
        <w:rPr>
          <w:rFonts w:ascii="Arial" w:hAnsi="Arial" w:cs="Arial"/>
          <w:color w:val="000000" w:themeColor="text1"/>
        </w:rPr>
        <w:t xml:space="preserve">have occurred in </w:t>
      </w:r>
      <w:r>
        <w:rPr>
          <w:rFonts w:ascii="Arial" w:hAnsi="Arial" w:cs="Arial"/>
          <w:color w:val="000000" w:themeColor="text1"/>
        </w:rPr>
        <w:t>close cooperation with industry and the existing crab supply chain</w:t>
      </w:r>
      <w:r w:rsidRPr="00E17DEC">
        <w:rPr>
          <w:rFonts w:ascii="Arial" w:hAnsi="Arial" w:cs="Arial"/>
          <w:color w:val="000000" w:themeColor="text1"/>
        </w:rPr>
        <w:t>.</w:t>
      </w:r>
      <w:r>
        <w:rPr>
          <w:rFonts w:ascii="Arial" w:hAnsi="Arial" w:cs="Arial"/>
          <w:color w:val="000000" w:themeColor="text1"/>
        </w:rPr>
        <w:t xml:space="preserve"> Other direct factors contributing to the impacts valued are considered minimal. However, apportioning of impact needs to accommodate the industry goodwill and respect provided to the Queensland research team that has been developed in past projects. The Queensland team has been involved with many facets and sectors of the industry over a considerable period.</w:t>
      </w:r>
    </w:p>
    <w:p w:rsidR="00E378B5" w:rsidRPr="00AC3B3B" w:rsidRDefault="00E378B5" w:rsidP="00A0699E">
      <w:pPr>
        <w:spacing w:after="240"/>
        <w:rPr>
          <w:rFonts w:ascii="Arial" w:hAnsi="Arial" w:cs="Arial"/>
          <w:b/>
          <w:color w:val="000000" w:themeColor="text1"/>
          <w:sz w:val="24"/>
        </w:rPr>
      </w:pPr>
      <w:r w:rsidRPr="00AC3B3B">
        <w:rPr>
          <w:rFonts w:ascii="Arial" w:hAnsi="Arial" w:cs="Arial"/>
          <w:b/>
          <w:color w:val="000000" w:themeColor="text1"/>
          <w:sz w:val="24"/>
        </w:rPr>
        <w:t xml:space="preserve">Extension </w:t>
      </w:r>
    </w:p>
    <w:p w:rsidR="00E378B5" w:rsidRPr="00724D63" w:rsidRDefault="00E378B5" w:rsidP="00A0699E">
      <w:pPr>
        <w:spacing w:after="240"/>
        <w:rPr>
          <w:rFonts w:ascii="Arial" w:hAnsi="Arial" w:cs="Arial"/>
          <w:color w:val="FF0000"/>
        </w:rPr>
      </w:pPr>
      <w:r>
        <w:rPr>
          <w:rFonts w:ascii="Arial" w:hAnsi="Arial" w:cs="Arial"/>
          <w:color w:val="000000" w:themeColor="text1"/>
        </w:rPr>
        <w:t xml:space="preserve">As </w:t>
      </w:r>
      <w:r w:rsidRPr="004410A2">
        <w:rPr>
          <w:rFonts w:ascii="Arial" w:hAnsi="Arial" w:cs="Arial"/>
          <w:color w:val="000000" w:themeColor="text1"/>
        </w:rPr>
        <w:t xml:space="preserve">the impacts assumed have </w:t>
      </w:r>
      <w:r>
        <w:rPr>
          <w:rFonts w:ascii="Arial" w:hAnsi="Arial" w:cs="Arial"/>
          <w:color w:val="000000" w:themeColor="text1"/>
        </w:rPr>
        <w:t xml:space="preserve">already occurred, it is </w:t>
      </w:r>
      <w:r w:rsidRPr="004410A2">
        <w:rPr>
          <w:rFonts w:ascii="Arial" w:hAnsi="Arial" w:cs="Arial"/>
          <w:color w:val="000000" w:themeColor="text1"/>
        </w:rPr>
        <w:t xml:space="preserve">assumed </w:t>
      </w:r>
      <w:r>
        <w:rPr>
          <w:rFonts w:ascii="Arial" w:hAnsi="Arial" w:cs="Arial"/>
          <w:color w:val="000000" w:themeColor="text1"/>
        </w:rPr>
        <w:t>the level adoption does not</w:t>
      </w:r>
      <w:r w:rsidRPr="004410A2">
        <w:rPr>
          <w:rFonts w:ascii="Arial" w:hAnsi="Arial" w:cs="Arial"/>
          <w:color w:val="000000" w:themeColor="text1"/>
        </w:rPr>
        <w:t xml:space="preserve"> require additional extension resources to that already undertaken.</w:t>
      </w:r>
      <w:r>
        <w:rPr>
          <w:rFonts w:ascii="Arial" w:hAnsi="Arial" w:cs="Arial"/>
          <w:color w:val="000000" w:themeColor="text1"/>
        </w:rPr>
        <w:t xml:space="preserve"> Moreover, it may be difficult to engage the remaining population of crabbers that are currently not using the revised scheme.</w:t>
      </w:r>
      <w:r w:rsidRPr="00724D63">
        <w:rPr>
          <w:rFonts w:ascii="Arial" w:hAnsi="Arial" w:cs="Arial"/>
          <w:color w:val="FF0000"/>
        </w:rPr>
        <w:t xml:space="preserve"> </w:t>
      </w:r>
    </w:p>
    <w:p w:rsidR="00E378B5" w:rsidRPr="00AC3B3B" w:rsidRDefault="00E378B5" w:rsidP="00A0699E">
      <w:pPr>
        <w:spacing w:after="240"/>
        <w:rPr>
          <w:rFonts w:ascii="Arial" w:hAnsi="Arial" w:cs="Arial"/>
          <w:b/>
          <w:color w:val="000000" w:themeColor="text1"/>
          <w:sz w:val="24"/>
        </w:rPr>
      </w:pPr>
      <w:r w:rsidRPr="00AC3B3B">
        <w:rPr>
          <w:rFonts w:ascii="Arial" w:hAnsi="Arial" w:cs="Arial"/>
          <w:b/>
          <w:color w:val="000000" w:themeColor="text1"/>
          <w:sz w:val="24"/>
        </w:rPr>
        <w:t>Summary of Assumptions</w:t>
      </w:r>
    </w:p>
    <w:p w:rsidR="00E378B5" w:rsidRDefault="00E378B5" w:rsidP="00A0699E">
      <w:pPr>
        <w:spacing w:after="240"/>
        <w:rPr>
          <w:rFonts w:ascii="Arial" w:hAnsi="Arial" w:cs="Arial"/>
          <w:color w:val="000000" w:themeColor="text1"/>
        </w:rPr>
      </w:pPr>
      <w:r w:rsidRPr="00E17DEC">
        <w:rPr>
          <w:rFonts w:ascii="Arial" w:hAnsi="Arial" w:cs="Arial"/>
          <w:color w:val="000000" w:themeColor="text1"/>
        </w:rPr>
        <w:t xml:space="preserve">A summary of the key assumptions made for valuation of the impacts is shown in </w:t>
      </w:r>
      <w:r w:rsidRPr="00E17DEC">
        <w:rPr>
          <w:rFonts w:ascii="Arial" w:hAnsi="Arial" w:cs="Arial"/>
        </w:rPr>
        <w:t xml:space="preserve">Table </w:t>
      </w:r>
      <w:r>
        <w:rPr>
          <w:rFonts w:ascii="Arial" w:hAnsi="Arial" w:cs="Arial"/>
        </w:rPr>
        <w:t>6</w:t>
      </w:r>
      <w:r w:rsidRPr="00E17DEC">
        <w:rPr>
          <w:rFonts w:ascii="Arial" w:hAnsi="Arial" w:cs="Arial"/>
        </w:rPr>
        <w:t>.</w:t>
      </w:r>
      <w:r w:rsidRPr="00E17DEC">
        <w:rPr>
          <w:rFonts w:ascii="Arial" w:hAnsi="Arial" w:cs="Arial"/>
          <w:color w:val="000000" w:themeColor="text1"/>
        </w:rPr>
        <w:t xml:space="preserve"> </w:t>
      </w:r>
    </w:p>
    <w:p w:rsidR="00E378B5" w:rsidRPr="00E86ACB" w:rsidRDefault="00E378B5" w:rsidP="00E86ACB">
      <w:pPr>
        <w:pStyle w:val="Caption"/>
        <w:spacing w:after="240"/>
        <w:jc w:val="center"/>
        <w:rPr>
          <w:rFonts w:ascii="Arial" w:hAnsi="Arial"/>
          <w:b w:val="0"/>
          <w:i/>
          <w:color w:val="000000" w:themeColor="text1"/>
          <w:sz w:val="22"/>
          <w:szCs w:val="22"/>
        </w:rPr>
      </w:pPr>
      <w:bookmarkStart w:id="115" w:name="_Toc475102788"/>
      <w:bookmarkStart w:id="116" w:name="_Toc476387752"/>
      <w:r w:rsidRPr="00E86ACB">
        <w:rPr>
          <w:rFonts w:ascii="Arial" w:hAnsi="Arial"/>
          <w:b w:val="0"/>
          <w:color w:val="000000" w:themeColor="text1"/>
          <w:sz w:val="22"/>
          <w:szCs w:val="22"/>
        </w:rPr>
        <w:t xml:space="preserve">Table </w:t>
      </w:r>
      <w:r w:rsidRPr="00E86ACB">
        <w:rPr>
          <w:rFonts w:ascii="Arial" w:hAnsi="Arial"/>
          <w:b w:val="0"/>
          <w:i/>
          <w:color w:val="000000" w:themeColor="text1"/>
          <w:sz w:val="22"/>
          <w:szCs w:val="22"/>
        </w:rPr>
        <w:fldChar w:fldCharType="begin"/>
      </w:r>
      <w:r w:rsidRPr="00E86ACB">
        <w:rPr>
          <w:rFonts w:ascii="Arial" w:hAnsi="Arial"/>
          <w:b w:val="0"/>
          <w:color w:val="000000" w:themeColor="text1"/>
          <w:sz w:val="22"/>
          <w:szCs w:val="22"/>
        </w:rPr>
        <w:instrText xml:space="preserve"> SEQ Table \* ARABIC </w:instrText>
      </w:r>
      <w:r w:rsidRPr="00E86ACB">
        <w:rPr>
          <w:rFonts w:ascii="Arial" w:hAnsi="Arial"/>
          <w:b w:val="0"/>
          <w:i/>
          <w:color w:val="000000" w:themeColor="text1"/>
          <w:sz w:val="22"/>
          <w:szCs w:val="22"/>
        </w:rPr>
        <w:fldChar w:fldCharType="separate"/>
      </w:r>
      <w:r w:rsidR="00DF217D">
        <w:rPr>
          <w:rFonts w:ascii="Arial" w:hAnsi="Arial"/>
          <w:b w:val="0"/>
          <w:noProof/>
          <w:color w:val="000000" w:themeColor="text1"/>
          <w:sz w:val="22"/>
          <w:szCs w:val="22"/>
        </w:rPr>
        <w:t>6</w:t>
      </w:r>
      <w:r w:rsidRPr="00E86ACB">
        <w:rPr>
          <w:rFonts w:ascii="Arial" w:hAnsi="Arial"/>
          <w:b w:val="0"/>
          <w:i/>
          <w:color w:val="000000" w:themeColor="text1"/>
          <w:sz w:val="22"/>
          <w:szCs w:val="22"/>
        </w:rPr>
        <w:fldChar w:fldCharType="end"/>
      </w:r>
      <w:r w:rsidRPr="00E86ACB">
        <w:rPr>
          <w:rFonts w:ascii="Arial" w:hAnsi="Arial"/>
          <w:b w:val="0"/>
          <w:color w:val="000000" w:themeColor="text1"/>
          <w:sz w:val="22"/>
          <w:szCs w:val="22"/>
        </w:rPr>
        <w:t>: Summary of Assumptions</w:t>
      </w:r>
      <w:bookmarkEnd w:id="115"/>
      <w:bookmarkEnd w:id="116"/>
    </w:p>
    <w:tbl>
      <w:tblPr>
        <w:tblStyle w:val="TableGrid"/>
        <w:tblW w:w="9586" w:type="dxa"/>
        <w:jc w:val="center"/>
        <w:tblLook w:val="04A0" w:firstRow="1" w:lastRow="0" w:firstColumn="1" w:lastColumn="0" w:noHBand="0" w:noVBand="1"/>
      </w:tblPr>
      <w:tblGrid>
        <w:gridCol w:w="3539"/>
        <w:gridCol w:w="2410"/>
        <w:gridCol w:w="3637"/>
      </w:tblGrid>
      <w:tr w:rsidR="00E378B5" w:rsidRPr="00A75CF6" w:rsidTr="00E378B5">
        <w:trPr>
          <w:jc w:val="center"/>
        </w:trPr>
        <w:tc>
          <w:tcPr>
            <w:tcW w:w="3539" w:type="dxa"/>
          </w:tcPr>
          <w:p w:rsidR="00E378B5" w:rsidRPr="002A0785" w:rsidRDefault="00E378B5" w:rsidP="00E378B5">
            <w:pPr>
              <w:rPr>
                <w:rFonts w:ascii="Arial" w:hAnsi="Arial" w:cs="Arial"/>
                <w:b/>
                <w:color w:val="000000" w:themeColor="text1"/>
                <w:sz w:val="22"/>
                <w:szCs w:val="22"/>
              </w:rPr>
            </w:pPr>
            <w:r w:rsidRPr="002A0785">
              <w:rPr>
                <w:rFonts w:ascii="Arial" w:hAnsi="Arial" w:cs="Arial"/>
                <w:b/>
                <w:color w:val="000000" w:themeColor="text1"/>
                <w:sz w:val="22"/>
                <w:szCs w:val="22"/>
              </w:rPr>
              <w:t xml:space="preserve">Variable </w:t>
            </w:r>
          </w:p>
        </w:tc>
        <w:tc>
          <w:tcPr>
            <w:tcW w:w="2410" w:type="dxa"/>
          </w:tcPr>
          <w:p w:rsidR="00E378B5" w:rsidRPr="002A0785" w:rsidRDefault="00E378B5" w:rsidP="00E378B5">
            <w:pPr>
              <w:jc w:val="center"/>
              <w:rPr>
                <w:rFonts w:ascii="Arial" w:hAnsi="Arial" w:cs="Arial"/>
                <w:b/>
                <w:color w:val="000000" w:themeColor="text1"/>
                <w:sz w:val="22"/>
                <w:szCs w:val="22"/>
              </w:rPr>
            </w:pPr>
            <w:r w:rsidRPr="002A0785">
              <w:rPr>
                <w:rFonts w:ascii="Arial" w:hAnsi="Arial" w:cs="Arial"/>
                <w:b/>
                <w:color w:val="000000" w:themeColor="text1"/>
                <w:sz w:val="22"/>
                <w:szCs w:val="22"/>
              </w:rPr>
              <w:t>Assumption</w:t>
            </w:r>
          </w:p>
        </w:tc>
        <w:tc>
          <w:tcPr>
            <w:tcW w:w="3637" w:type="dxa"/>
          </w:tcPr>
          <w:p w:rsidR="00E378B5" w:rsidRPr="002A0785" w:rsidRDefault="00E378B5" w:rsidP="00E378B5">
            <w:pPr>
              <w:jc w:val="center"/>
              <w:rPr>
                <w:rFonts w:ascii="Arial" w:hAnsi="Arial" w:cs="Arial"/>
                <w:b/>
                <w:color w:val="000000" w:themeColor="text1"/>
                <w:sz w:val="22"/>
                <w:szCs w:val="22"/>
              </w:rPr>
            </w:pPr>
            <w:r w:rsidRPr="002A0785">
              <w:rPr>
                <w:rFonts w:ascii="Arial" w:hAnsi="Arial" w:cs="Arial"/>
                <w:b/>
                <w:color w:val="000000" w:themeColor="text1"/>
                <w:sz w:val="22"/>
                <w:szCs w:val="22"/>
              </w:rPr>
              <w:t>Source</w:t>
            </w:r>
          </w:p>
        </w:tc>
      </w:tr>
      <w:tr w:rsidR="00E378B5" w:rsidRPr="00A75CF6" w:rsidTr="00E378B5">
        <w:trPr>
          <w:jc w:val="center"/>
        </w:trPr>
        <w:tc>
          <w:tcPr>
            <w:tcW w:w="9586" w:type="dxa"/>
            <w:gridSpan w:val="3"/>
          </w:tcPr>
          <w:p w:rsidR="00E378B5" w:rsidRPr="00FF2172" w:rsidRDefault="00E378B5" w:rsidP="00E378B5">
            <w:pPr>
              <w:rPr>
                <w:rFonts w:ascii="Arial" w:hAnsi="Arial" w:cs="Arial"/>
                <w:b/>
                <w:color w:val="000000" w:themeColor="text1"/>
                <w:sz w:val="22"/>
                <w:szCs w:val="22"/>
              </w:rPr>
            </w:pPr>
            <w:r w:rsidRPr="00FF2172">
              <w:rPr>
                <w:rFonts w:ascii="Arial" w:hAnsi="Arial" w:cs="Arial"/>
                <w:b/>
                <w:color w:val="000000" w:themeColor="text1"/>
                <w:sz w:val="22"/>
                <w:szCs w:val="22"/>
              </w:rPr>
              <w:t>BASE COUNTERFACTUAL</w:t>
            </w:r>
            <w:r>
              <w:rPr>
                <w:rFonts w:ascii="Arial" w:hAnsi="Arial" w:cs="Arial"/>
                <w:b/>
                <w:color w:val="000000" w:themeColor="text1"/>
                <w:sz w:val="22"/>
                <w:szCs w:val="22"/>
              </w:rPr>
              <w:t xml:space="preserve">: </w:t>
            </w:r>
            <w:r w:rsidRPr="000947C5">
              <w:rPr>
                <w:rFonts w:ascii="Arial" w:hAnsi="Arial" w:cs="Arial"/>
                <w:color w:val="000000" w:themeColor="text1"/>
                <w:sz w:val="22"/>
                <w:szCs w:val="22"/>
              </w:rPr>
              <w:t>Version 1 continues indefinitely at current dissatisfaction levels.</w:t>
            </w:r>
            <w:r>
              <w:rPr>
                <w:rFonts w:ascii="Arial" w:hAnsi="Arial" w:cs="Arial"/>
                <w:b/>
                <w:color w:val="000000" w:themeColor="text1"/>
                <w:sz w:val="22"/>
                <w:szCs w:val="22"/>
              </w:rPr>
              <w:t xml:space="preserve"> </w:t>
            </w:r>
          </w:p>
        </w:tc>
      </w:tr>
      <w:tr w:rsidR="00E378B5" w:rsidRPr="00A75CF6" w:rsidTr="00E378B5">
        <w:trPr>
          <w:jc w:val="center"/>
        </w:trPr>
        <w:tc>
          <w:tcPr>
            <w:tcW w:w="9586" w:type="dxa"/>
            <w:gridSpan w:val="3"/>
          </w:tcPr>
          <w:p w:rsidR="00E378B5" w:rsidRPr="005F1CAC" w:rsidRDefault="00E378B5" w:rsidP="00E378B5">
            <w:pPr>
              <w:rPr>
                <w:rFonts w:ascii="Arial" w:hAnsi="Arial" w:cs="Arial"/>
                <w:b/>
                <w:color w:val="000000" w:themeColor="text1"/>
                <w:sz w:val="22"/>
                <w:szCs w:val="22"/>
              </w:rPr>
            </w:pPr>
            <w:r w:rsidRPr="005F1CAC">
              <w:rPr>
                <w:rFonts w:ascii="Arial" w:hAnsi="Arial" w:cs="Arial"/>
                <w:b/>
                <w:color w:val="000000" w:themeColor="text1"/>
                <w:sz w:val="22"/>
                <w:szCs w:val="22"/>
              </w:rPr>
              <w:t xml:space="preserve">Benefit 1: Reduced Downgrading </w:t>
            </w:r>
            <w:r>
              <w:rPr>
                <w:rFonts w:ascii="Arial" w:hAnsi="Arial" w:cs="Arial"/>
                <w:b/>
                <w:color w:val="000000" w:themeColor="text1"/>
                <w:sz w:val="22"/>
                <w:szCs w:val="22"/>
              </w:rPr>
              <w:t>in SFM</w:t>
            </w:r>
          </w:p>
        </w:tc>
      </w:tr>
      <w:tr w:rsidR="00E378B5" w:rsidRPr="00A75CF6" w:rsidTr="00E378B5">
        <w:trPr>
          <w:jc w:val="center"/>
        </w:trPr>
        <w:tc>
          <w:tcPr>
            <w:tcW w:w="3539" w:type="dxa"/>
          </w:tcPr>
          <w:p w:rsidR="00E378B5" w:rsidRPr="002A078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Average Male Crab Sale Price for Version 3 over Version 2  </w:t>
            </w:r>
          </w:p>
        </w:tc>
        <w:tc>
          <w:tcPr>
            <w:tcW w:w="2410" w:type="dxa"/>
          </w:tcPr>
          <w:p w:rsidR="00E378B5" w:rsidRPr="00C758B1" w:rsidRDefault="00E378B5" w:rsidP="00E378B5">
            <w:pPr>
              <w:jc w:val="center"/>
              <w:rPr>
                <w:rFonts w:ascii="Arial" w:hAnsi="Arial" w:cs="Arial"/>
                <w:color w:val="000000" w:themeColor="text1"/>
                <w:sz w:val="22"/>
                <w:szCs w:val="22"/>
              </w:rPr>
            </w:pPr>
            <w:r w:rsidRPr="00C758B1">
              <w:rPr>
                <w:rFonts w:ascii="Arial" w:hAnsi="Arial" w:cs="Arial"/>
                <w:color w:val="000000" w:themeColor="text1"/>
                <w:sz w:val="22"/>
                <w:szCs w:val="22"/>
              </w:rPr>
              <w:t xml:space="preserve">$2.18 per kg </w:t>
            </w:r>
          </w:p>
        </w:tc>
        <w:tc>
          <w:tcPr>
            <w:tcW w:w="3637" w:type="dxa"/>
          </w:tcPr>
          <w:p w:rsidR="00E378B5" w:rsidRPr="002A0785" w:rsidRDefault="00E378B5" w:rsidP="00E378B5">
            <w:pPr>
              <w:rPr>
                <w:rFonts w:ascii="Arial" w:hAnsi="Arial" w:cs="Arial"/>
                <w:color w:val="000000" w:themeColor="text1"/>
                <w:sz w:val="22"/>
                <w:szCs w:val="22"/>
              </w:rPr>
            </w:pPr>
            <w:r w:rsidRPr="00A554A5">
              <w:rPr>
                <w:rFonts w:ascii="Arial" w:hAnsi="Arial" w:cs="Arial"/>
                <w:color w:val="000000" w:themeColor="text1"/>
                <w:sz w:val="22"/>
                <w:szCs w:val="22"/>
              </w:rPr>
              <w:t xml:space="preserve">Final Report for FRDC Project 2014/218 </w:t>
            </w:r>
            <w:r>
              <w:rPr>
                <w:rFonts w:ascii="Arial" w:hAnsi="Arial" w:cs="Arial"/>
                <w:color w:val="000000" w:themeColor="text1"/>
                <w:sz w:val="22"/>
                <w:szCs w:val="22"/>
              </w:rPr>
              <w:t>(2016)</w:t>
            </w:r>
          </w:p>
        </w:tc>
      </w:tr>
      <w:tr w:rsidR="00E378B5" w:rsidRPr="00A75CF6" w:rsidTr="00E378B5">
        <w:trPr>
          <w:jc w:val="center"/>
        </w:trPr>
        <w:tc>
          <w:tcPr>
            <w:tcW w:w="3539" w:type="dxa"/>
          </w:tcPr>
          <w:p w:rsidR="00E378B5" w:rsidRPr="002A0785" w:rsidRDefault="00E378B5" w:rsidP="00E378B5">
            <w:pPr>
              <w:rPr>
                <w:rFonts w:ascii="Arial" w:hAnsi="Arial" w:cs="Arial"/>
                <w:color w:val="000000" w:themeColor="text1"/>
                <w:sz w:val="22"/>
                <w:szCs w:val="22"/>
              </w:rPr>
            </w:pPr>
            <w:r>
              <w:rPr>
                <w:rFonts w:ascii="Arial" w:hAnsi="Arial" w:cs="Arial"/>
                <w:color w:val="000000" w:themeColor="text1"/>
                <w:sz w:val="22"/>
                <w:szCs w:val="22"/>
              </w:rPr>
              <w:t>Average Female Crab Sale Price for Version 3 over Version 2</w:t>
            </w:r>
          </w:p>
        </w:tc>
        <w:tc>
          <w:tcPr>
            <w:tcW w:w="2410" w:type="dxa"/>
          </w:tcPr>
          <w:p w:rsidR="00E378B5" w:rsidRPr="00C758B1" w:rsidRDefault="00E378B5" w:rsidP="00E378B5">
            <w:pPr>
              <w:jc w:val="center"/>
              <w:rPr>
                <w:rFonts w:ascii="Arial" w:hAnsi="Arial" w:cs="Arial"/>
                <w:color w:val="000000" w:themeColor="text1"/>
                <w:sz w:val="22"/>
                <w:szCs w:val="22"/>
              </w:rPr>
            </w:pPr>
            <w:r w:rsidRPr="00C758B1">
              <w:rPr>
                <w:rFonts w:ascii="Arial" w:hAnsi="Arial" w:cs="Arial"/>
                <w:color w:val="000000" w:themeColor="text1"/>
                <w:sz w:val="22"/>
                <w:szCs w:val="22"/>
              </w:rPr>
              <w:t xml:space="preserve">$2.80 per kg </w:t>
            </w:r>
          </w:p>
        </w:tc>
        <w:tc>
          <w:tcPr>
            <w:tcW w:w="3637" w:type="dxa"/>
          </w:tcPr>
          <w:p w:rsidR="00E378B5" w:rsidRPr="002A0785" w:rsidRDefault="00E378B5" w:rsidP="00E378B5">
            <w:pPr>
              <w:rPr>
                <w:rFonts w:ascii="Arial" w:hAnsi="Arial" w:cs="Arial"/>
                <w:color w:val="000000" w:themeColor="text1"/>
                <w:sz w:val="22"/>
                <w:szCs w:val="22"/>
              </w:rPr>
            </w:pPr>
            <w:r w:rsidRPr="00A554A5">
              <w:rPr>
                <w:rFonts w:ascii="Arial" w:hAnsi="Arial" w:cs="Arial"/>
                <w:color w:val="000000" w:themeColor="text1"/>
                <w:sz w:val="22"/>
                <w:szCs w:val="22"/>
              </w:rPr>
              <w:t>Final Report for FRDC Project 2014/218 (2016)</w:t>
            </w:r>
          </w:p>
        </w:tc>
      </w:tr>
      <w:tr w:rsidR="00E378B5" w:rsidRPr="00A75CF6" w:rsidTr="00E378B5">
        <w:trPr>
          <w:jc w:val="center"/>
        </w:trPr>
        <w:tc>
          <w:tcPr>
            <w:tcW w:w="3539" w:type="dxa"/>
          </w:tcPr>
          <w:p w:rsidR="00E378B5" w:rsidRPr="00C758B1" w:rsidRDefault="00E378B5" w:rsidP="00E378B5">
            <w:pPr>
              <w:rPr>
                <w:rFonts w:ascii="Arial" w:hAnsi="Arial" w:cs="Arial"/>
                <w:color w:val="000000" w:themeColor="text1"/>
                <w:sz w:val="22"/>
                <w:szCs w:val="22"/>
              </w:rPr>
            </w:pPr>
            <w:r w:rsidRPr="00C758B1">
              <w:rPr>
                <w:rFonts w:ascii="Arial" w:hAnsi="Arial" w:cs="Arial"/>
                <w:color w:val="000000" w:themeColor="text1"/>
                <w:sz w:val="22"/>
                <w:szCs w:val="22"/>
              </w:rPr>
              <w:t xml:space="preserve">Average Sale Price for all </w:t>
            </w:r>
            <w:r>
              <w:rPr>
                <w:rFonts w:ascii="Arial" w:hAnsi="Arial" w:cs="Arial"/>
                <w:color w:val="000000" w:themeColor="text1"/>
                <w:sz w:val="22"/>
                <w:szCs w:val="22"/>
              </w:rPr>
              <w:t>Crab</w:t>
            </w:r>
            <w:r w:rsidRPr="00C758B1">
              <w:rPr>
                <w:rFonts w:ascii="Arial" w:hAnsi="Arial" w:cs="Arial"/>
                <w:color w:val="000000" w:themeColor="text1"/>
                <w:sz w:val="22"/>
                <w:szCs w:val="22"/>
              </w:rPr>
              <w:t xml:space="preserve"> Based on a Simple Average </w:t>
            </w:r>
          </w:p>
        </w:tc>
        <w:tc>
          <w:tcPr>
            <w:tcW w:w="2410" w:type="dxa"/>
          </w:tcPr>
          <w:p w:rsidR="00E378B5" w:rsidRPr="00A554A5" w:rsidRDefault="00E378B5" w:rsidP="00E378B5">
            <w:pPr>
              <w:jc w:val="center"/>
              <w:rPr>
                <w:rFonts w:ascii="Arial" w:hAnsi="Arial" w:cs="Arial"/>
                <w:color w:val="000000" w:themeColor="text1"/>
                <w:sz w:val="22"/>
                <w:szCs w:val="22"/>
              </w:rPr>
            </w:pPr>
            <w:r w:rsidRPr="00A554A5">
              <w:rPr>
                <w:rFonts w:ascii="Arial" w:hAnsi="Arial" w:cs="Arial"/>
                <w:color w:val="000000" w:themeColor="text1"/>
                <w:sz w:val="22"/>
                <w:szCs w:val="22"/>
              </w:rPr>
              <w:t>$2.4</w:t>
            </w:r>
            <w:r>
              <w:rPr>
                <w:rFonts w:ascii="Arial" w:hAnsi="Arial" w:cs="Arial"/>
                <w:color w:val="000000" w:themeColor="text1"/>
                <w:sz w:val="22"/>
                <w:szCs w:val="22"/>
              </w:rPr>
              <w:t>9</w:t>
            </w:r>
            <w:r w:rsidRPr="00A554A5">
              <w:rPr>
                <w:rFonts w:ascii="Arial" w:hAnsi="Arial" w:cs="Arial"/>
                <w:color w:val="000000" w:themeColor="text1"/>
                <w:sz w:val="22"/>
                <w:szCs w:val="22"/>
              </w:rPr>
              <w:t>per kg</w:t>
            </w:r>
          </w:p>
        </w:tc>
        <w:tc>
          <w:tcPr>
            <w:tcW w:w="3637" w:type="dxa"/>
          </w:tcPr>
          <w:p w:rsidR="00E378B5" w:rsidRPr="00A554A5" w:rsidRDefault="00E378B5" w:rsidP="00E378B5">
            <w:pPr>
              <w:rPr>
                <w:rFonts w:ascii="Arial" w:hAnsi="Arial" w:cs="Arial"/>
                <w:color w:val="000000" w:themeColor="text1"/>
                <w:sz w:val="22"/>
                <w:szCs w:val="22"/>
              </w:rPr>
            </w:pPr>
            <w:r w:rsidRPr="00A554A5">
              <w:rPr>
                <w:rFonts w:ascii="Arial" w:hAnsi="Arial" w:cs="Arial"/>
                <w:color w:val="000000" w:themeColor="text1"/>
                <w:sz w:val="22"/>
                <w:szCs w:val="22"/>
              </w:rPr>
              <w:t>($2.18 + 2.80)/2 = $2.49</w:t>
            </w:r>
          </w:p>
        </w:tc>
      </w:tr>
      <w:tr w:rsidR="00E378B5" w:rsidRPr="00A75CF6" w:rsidTr="00E378B5">
        <w:trPr>
          <w:jc w:val="center"/>
        </w:trPr>
        <w:tc>
          <w:tcPr>
            <w:tcW w:w="3539" w:type="dxa"/>
          </w:tcPr>
          <w:p w:rsidR="00E378B5" w:rsidRPr="00C758B1" w:rsidRDefault="00E378B5" w:rsidP="00E378B5">
            <w:pPr>
              <w:rPr>
                <w:rFonts w:ascii="Arial" w:hAnsi="Arial" w:cs="Arial"/>
                <w:color w:val="000000" w:themeColor="text1"/>
                <w:sz w:val="22"/>
                <w:szCs w:val="22"/>
              </w:rPr>
            </w:pPr>
            <w:r w:rsidRPr="00C758B1">
              <w:rPr>
                <w:rFonts w:ascii="Arial" w:hAnsi="Arial" w:cs="Arial"/>
                <w:color w:val="000000" w:themeColor="text1"/>
                <w:sz w:val="22"/>
                <w:szCs w:val="22"/>
              </w:rPr>
              <w:t xml:space="preserve">Proportion of Commercial Mud </w:t>
            </w:r>
            <w:r>
              <w:rPr>
                <w:rFonts w:ascii="Arial" w:hAnsi="Arial" w:cs="Arial"/>
                <w:color w:val="000000" w:themeColor="text1"/>
                <w:sz w:val="22"/>
                <w:szCs w:val="22"/>
              </w:rPr>
              <w:t>Crabs</w:t>
            </w:r>
            <w:r w:rsidRPr="00C758B1">
              <w:rPr>
                <w:rFonts w:ascii="Arial" w:hAnsi="Arial" w:cs="Arial"/>
                <w:color w:val="000000" w:themeColor="text1"/>
                <w:sz w:val="22"/>
                <w:szCs w:val="22"/>
              </w:rPr>
              <w:t xml:space="preserve"> from Queensland where Taking Female Mud </w:t>
            </w:r>
            <w:r>
              <w:rPr>
                <w:rFonts w:ascii="Arial" w:hAnsi="Arial" w:cs="Arial"/>
                <w:color w:val="000000" w:themeColor="text1"/>
                <w:sz w:val="22"/>
                <w:szCs w:val="22"/>
              </w:rPr>
              <w:t>Crabs</w:t>
            </w:r>
            <w:r w:rsidRPr="00C758B1">
              <w:rPr>
                <w:rFonts w:ascii="Arial" w:hAnsi="Arial" w:cs="Arial"/>
                <w:color w:val="000000" w:themeColor="text1"/>
                <w:sz w:val="22"/>
                <w:szCs w:val="22"/>
              </w:rPr>
              <w:t xml:space="preserve"> </w:t>
            </w:r>
            <w:r>
              <w:rPr>
                <w:rFonts w:ascii="Arial" w:hAnsi="Arial" w:cs="Arial"/>
                <w:color w:val="000000" w:themeColor="text1"/>
                <w:sz w:val="22"/>
                <w:szCs w:val="22"/>
              </w:rPr>
              <w:t xml:space="preserve">is not permitted </w:t>
            </w:r>
            <w:r w:rsidRPr="00C758B1">
              <w:rPr>
                <w:rFonts w:ascii="Arial" w:hAnsi="Arial" w:cs="Arial"/>
                <w:color w:val="000000" w:themeColor="text1"/>
                <w:sz w:val="22"/>
                <w:szCs w:val="22"/>
              </w:rPr>
              <w:t xml:space="preserve"> </w:t>
            </w:r>
          </w:p>
        </w:tc>
        <w:tc>
          <w:tcPr>
            <w:tcW w:w="2410" w:type="dxa"/>
          </w:tcPr>
          <w:p w:rsidR="00E378B5" w:rsidRPr="00C758B1" w:rsidRDefault="00E378B5" w:rsidP="00E378B5">
            <w:pPr>
              <w:jc w:val="center"/>
              <w:rPr>
                <w:rFonts w:ascii="Arial" w:hAnsi="Arial" w:cs="Arial"/>
                <w:color w:val="000000" w:themeColor="text1"/>
                <w:sz w:val="22"/>
                <w:szCs w:val="22"/>
              </w:rPr>
            </w:pPr>
            <w:r w:rsidRPr="00C758B1">
              <w:rPr>
                <w:rFonts w:ascii="Arial" w:hAnsi="Arial" w:cs="Arial"/>
                <w:color w:val="000000" w:themeColor="text1"/>
                <w:sz w:val="22"/>
                <w:szCs w:val="22"/>
              </w:rPr>
              <w:t>75%</w:t>
            </w:r>
          </w:p>
        </w:tc>
        <w:tc>
          <w:tcPr>
            <w:tcW w:w="3637" w:type="dxa"/>
          </w:tcPr>
          <w:p w:rsidR="00E378B5" w:rsidRPr="00C758B1"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Based on </w:t>
            </w:r>
            <w:r w:rsidRPr="00C758B1">
              <w:rPr>
                <w:rFonts w:ascii="Arial" w:hAnsi="Arial" w:cs="Arial"/>
                <w:color w:val="000000" w:themeColor="text1"/>
                <w:sz w:val="22"/>
                <w:szCs w:val="22"/>
              </w:rPr>
              <w:t>FRDC (2016</w:t>
            </w:r>
            <w:r>
              <w:rPr>
                <w:rFonts w:ascii="Arial" w:hAnsi="Arial" w:cs="Arial"/>
                <w:color w:val="000000" w:themeColor="text1"/>
                <w:sz w:val="22"/>
                <w:szCs w:val="22"/>
              </w:rPr>
              <w:t>a</w:t>
            </w:r>
            <w:r w:rsidRPr="00C758B1">
              <w:rPr>
                <w:rFonts w:ascii="Arial" w:hAnsi="Arial" w:cs="Arial"/>
                <w:color w:val="000000" w:themeColor="text1"/>
                <w:sz w:val="22"/>
                <w:szCs w:val="22"/>
              </w:rPr>
              <w:t>)</w:t>
            </w:r>
          </w:p>
        </w:tc>
      </w:tr>
      <w:tr w:rsidR="00E378B5" w:rsidRPr="00A75CF6" w:rsidTr="00E378B5">
        <w:trPr>
          <w:jc w:val="center"/>
        </w:trPr>
        <w:tc>
          <w:tcPr>
            <w:tcW w:w="3539" w:type="dxa"/>
          </w:tcPr>
          <w:p w:rsidR="00E378B5" w:rsidRPr="00A554A5" w:rsidRDefault="00E378B5" w:rsidP="00E378B5">
            <w:pPr>
              <w:rPr>
                <w:rFonts w:ascii="Arial" w:hAnsi="Arial" w:cs="Arial"/>
                <w:color w:val="000000" w:themeColor="text1"/>
                <w:sz w:val="22"/>
                <w:szCs w:val="22"/>
              </w:rPr>
            </w:pPr>
            <w:r w:rsidRPr="00A554A5">
              <w:rPr>
                <w:rFonts w:ascii="Arial" w:hAnsi="Arial" w:cs="Arial"/>
                <w:color w:val="000000" w:themeColor="text1"/>
                <w:sz w:val="22"/>
                <w:szCs w:val="22"/>
              </w:rPr>
              <w:t xml:space="preserve">Average Weighted Sale Price </w:t>
            </w:r>
            <w:r>
              <w:rPr>
                <w:rFonts w:ascii="Arial" w:hAnsi="Arial" w:cs="Arial"/>
                <w:color w:val="000000" w:themeColor="text1"/>
                <w:sz w:val="22"/>
                <w:szCs w:val="22"/>
              </w:rPr>
              <w:t xml:space="preserve">Gain due to Version 3 </w:t>
            </w:r>
            <w:r w:rsidRPr="00A554A5">
              <w:rPr>
                <w:rFonts w:ascii="Arial" w:hAnsi="Arial" w:cs="Arial"/>
                <w:color w:val="000000" w:themeColor="text1"/>
                <w:sz w:val="22"/>
                <w:szCs w:val="22"/>
              </w:rPr>
              <w:t xml:space="preserve">  </w:t>
            </w:r>
          </w:p>
        </w:tc>
        <w:tc>
          <w:tcPr>
            <w:tcW w:w="2410" w:type="dxa"/>
          </w:tcPr>
          <w:p w:rsidR="00E378B5" w:rsidRPr="00A554A5" w:rsidRDefault="00E378B5" w:rsidP="00E378B5">
            <w:pPr>
              <w:jc w:val="center"/>
              <w:rPr>
                <w:rFonts w:ascii="Arial" w:hAnsi="Arial" w:cs="Arial"/>
                <w:color w:val="000000" w:themeColor="text1"/>
                <w:sz w:val="22"/>
                <w:szCs w:val="22"/>
              </w:rPr>
            </w:pPr>
            <w:r w:rsidRPr="00A554A5">
              <w:rPr>
                <w:rFonts w:ascii="Arial" w:hAnsi="Arial" w:cs="Arial"/>
                <w:color w:val="000000" w:themeColor="text1"/>
                <w:sz w:val="22"/>
                <w:szCs w:val="22"/>
              </w:rPr>
              <w:t>$2.</w:t>
            </w:r>
            <w:r>
              <w:rPr>
                <w:rFonts w:ascii="Arial" w:hAnsi="Arial" w:cs="Arial"/>
                <w:color w:val="000000" w:themeColor="text1"/>
                <w:sz w:val="22"/>
                <w:szCs w:val="22"/>
              </w:rPr>
              <w:t>26</w:t>
            </w:r>
            <w:r w:rsidRPr="00A554A5">
              <w:rPr>
                <w:rFonts w:ascii="Arial" w:hAnsi="Arial" w:cs="Arial"/>
                <w:color w:val="000000" w:themeColor="text1"/>
                <w:sz w:val="22"/>
                <w:szCs w:val="22"/>
              </w:rPr>
              <w:t xml:space="preserve"> per kg</w:t>
            </w:r>
          </w:p>
        </w:tc>
        <w:tc>
          <w:tcPr>
            <w:tcW w:w="3637" w:type="dxa"/>
          </w:tcPr>
          <w:p w:rsidR="00E378B5" w:rsidRPr="00A554A5" w:rsidRDefault="00E378B5" w:rsidP="00E378B5">
            <w:pPr>
              <w:rPr>
                <w:rFonts w:ascii="Arial" w:hAnsi="Arial" w:cs="Arial"/>
                <w:color w:val="000000" w:themeColor="text1"/>
                <w:sz w:val="22"/>
                <w:szCs w:val="22"/>
              </w:rPr>
            </w:pPr>
            <w:r w:rsidRPr="00A554A5">
              <w:rPr>
                <w:rFonts w:ascii="Arial" w:hAnsi="Arial" w:cs="Arial"/>
                <w:color w:val="000000" w:themeColor="text1"/>
                <w:sz w:val="22"/>
                <w:szCs w:val="22"/>
              </w:rPr>
              <w:t>(2.18x</w:t>
            </w:r>
            <w:r>
              <w:rPr>
                <w:rFonts w:ascii="Arial" w:hAnsi="Arial" w:cs="Arial"/>
                <w:color w:val="000000" w:themeColor="text1"/>
                <w:sz w:val="22"/>
                <w:szCs w:val="22"/>
              </w:rPr>
              <w:t>0.75</w:t>
            </w:r>
            <w:r w:rsidRPr="00A554A5">
              <w:rPr>
                <w:rFonts w:ascii="Arial" w:hAnsi="Arial" w:cs="Arial"/>
                <w:color w:val="000000" w:themeColor="text1"/>
                <w:sz w:val="22"/>
                <w:szCs w:val="22"/>
              </w:rPr>
              <w:t xml:space="preserve"> +2.4</w:t>
            </w:r>
            <w:r>
              <w:rPr>
                <w:rFonts w:ascii="Arial" w:hAnsi="Arial" w:cs="Arial"/>
                <w:color w:val="000000" w:themeColor="text1"/>
                <w:sz w:val="22"/>
                <w:szCs w:val="22"/>
              </w:rPr>
              <w:t>9</w:t>
            </w:r>
            <w:r w:rsidRPr="00A554A5">
              <w:rPr>
                <w:rFonts w:ascii="Arial" w:hAnsi="Arial" w:cs="Arial"/>
                <w:color w:val="000000" w:themeColor="text1"/>
                <w:sz w:val="22"/>
                <w:szCs w:val="22"/>
              </w:rPr>
              <w:t>x</w:t>
            </w:r>
            <w:r>
              <w:rPr>
                <w:rFonts w:ascii="Arial" w:hAnsi="Arial" w:cs="Arial"/>
                <w:color w:val="000000" w:themeColor="text1"/>
                <w:sz w:val="22"/>
                <w:szCs w:val="22"/>
              </w:rPr>
              <w:t>0.25</w:t>
            </w:r>
            <w:r w:rsidRPr="00A554A5">
              <w:rPr>
                <w:rFonts w:ascii="Arial" w:hAnsi="Arial" w:cs="Arial"/>
                <w:color w:val="000000" w:themeColor="text1"/>
                <w:sz w:val="22"/>
                <w:szCs w:val="22"/>
              </w:rPr>
              <w:t>) =2.</w:t>
            </w:r>
            <w:r>
              <w:rPr>
                <w:rFonts w:ascii="Arial" w:hAnsi="Arial" w:cs="Arial"/>
                <w:color w:val="000000" w:themeColor="text1"/>
                <w:sz w:val="22"/>
                <w:szCs w:val="22"/>
              </w:rPr>
              <w:t>26</w:t>
            </w:r>
          </w:p>
        </w:tc>
      </w:tr>
      <w:tr w:rsidR="00E378B5" w:rsidRPr="00A75CF6" w:rsidTr="00E378B5">
        <w:trPr>
          <w:jc w:val="center"/>
        </w:trPr>
        <w:tc>
          <w:tcPr>
            <w:tcW w:w="3539" w:type="dxa"/>
          </w:tcPr>
          <w:p w:rsidR="00E378B5" w:rsidRPr="002A078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National Commercial Catch of Mud Crab </w:t>
            </w:r>
          </w:p>
        </w:tc>
        <w:tc>
          <w:tcPr>
            <w:tcW w:w="2410" w:type="dxa"/>
          </w:tcPr>
          <w:p w:rsidR="00E378B5" w:rsidRPr="00C758B1" w:rsidRDefault="00E378B5" w:rsidP="00E378B5">
            <w:pPr>
              <w:jc w:val="center"/>
              <w:rPr>
                <w:rFonts w:ascii="Arial" w:hAnsi="Arial" w:cs="Arial"/>
                <w:color w:val="000000" w:themeColor="text1"/>
                <w:sz w:val="22"/>
                <w:szCs w:val="22"/>
              </w:rPr>
            </w:pPr>
            <w:r w:rsidRPr="00C758B1">
              <w:rPr>
                <w:rFonts w:ascii="Arial" w:hAnsi="Arial" w:cs="Arial"/>
                <w:color w:val="000000" w:themeColor="text1"/>
                <w:sz w:val="22"/>
                <w:szCs w:val="22"/>
              </w:rPr>
              <w:t xml:space="preserve">1,600 tonnes per annum </w:t>
            </w:r>
          </w:p>
        </w:tc>
        <w:tc>
          <w:tcPr>
            <w:tcW w:w="3637" w:type="dxa"/>
          </w:tcPr>
          <w:p w:rsidR="00E378B5" w:rsidRPr="002A078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Based on FRDC </w:t>
            </w:r>
            <w:r w:rsidRPr="002A0785">
              <w:rPr>
                <w:rFonts w:ascii="Arial" w:hAnsi="Arial" w:cs="Arial"/>
                <w:color w:val="000000" w:themeColor="text1"/>
                <w:sz w:val="22"/>
                <w:szCs w:val="22"/>
              </w:rPr>
              <w:t>(201</w:t>
            </w:r>
            <w:r>
              <w:rPr>
                <w:rFonts w:ascii="Arial" w:hAnsi="Arial" w:cs="Arial"/>
                <w:color w:val="000000" w:themeColor="text1"/>
                <w:sz w:val="22"/>
                <w:szCs w:val="22"/>
              </w:rPr>
              <w:t>6a</w:t>
            </w:r>
            <w:r w:rsidRPr="002A0785">
              <w:rPr>
                <w:rFonts w:ascii="Arial" w:hAnsi="Arial" w:cs="Arial"/>
                <w:color w:val="000000" w:themeColor="text1"/>
                <w:sz w:val="22"/>
                <w:szCs w:val="22"/>
              </w:rPr>
              <w:t>)</w:t>
            </w:r>
          </w:p>
        </w:tc>
      </w:tr>
      <w:tr w:rsidR="00E378B5" w:rsidRPr="00A75CF6" w:rsidTr="00E378B5">
        <w:trPr>
          <w:jc w:val="center"/>
        </w:trPr>
        <w:tc>
          <w:tcPr>
            <w:tcW w:w="3539" w:type="dxa"/>
          </w:tcPr>
          <w:p w:rsidR="00E378B5" w:rsidRPr="002A078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Commercial Catch of Sydney Fish Market as % total Commercial Catch </w:t>
            </w:r>
          </w:p>
        </w:tc>
        <w:tc>
          <w:tcPr>
            <w:tcW w:w="2410" w:type="dxa"/>
          </w:tcPr>
          <w:p w:rsidR="00E378B5" w:rsidRPr="00C758B1" w:rsidRDefault="00E378B5" w:rsidP="00E378B5">
            <w:pPr>
              <w:jc w:val="center"/>
              <w:rPr>
                <w:rFonts w:ascii="Arial" w:hAnsi="Arial" w:cs="Arial"/>
                <w:color w:val="000000" w:themeColor="text1"/>
                <w:sz w:val="22"/>
                <w:szCs w:val="22"/>
              </w:rPr>
            </w:pPr>
            <w:r w:rsidRPr="00C758B1">
              <w:rPr>
                <w:rFonts w:ascii="Arial" w:hAnsi="Arial" w:cs="Arial"/>
                <w:color w:val="000000" w:themeColor="text1"/>
                <w:sz w:val="22"/>
                <w:szCs w:val="22"/>
              </w:rPr>
              <w:t>2</w:t>
            </w:r>
            <w:r>
              <w:rPr>
                <w:rFonts w:ascii="Arial" w:hAnsi="Arial" w:cs="Arial"/>
                <w:color w:val="000000" w:themeColor="text1"/>
                <w:sz w:val="22"/>
                <w:szCs w:val="22"/>
              </w:rPr>
              <w:t>7</w:t>
            </w:r>
            <w:r w:rsidRPr="00C758B1">
              <w:rPr>
                <w:rFonts w:ascii="Arial" w:hAnsi="Arial" w:cs="Arial"/>
                <w:color w:val="000000" w:themeColor="text1"/>
                <w:sz w:val="22"/>
                <w:szCs w:val="22"/>
              </w:rPr>
              <w:t>%</w:t>
            </w:r>
            <w:r>
              <w:rPr>
                <w:rFonts w:ascii="Arial" w:hAnsi="Arial" w:cs="Arial"/>
                <w:color w:val="000000" w:themeColor="text1"/>
                <w:sz w:val="22"/>
                <w:szCs w:val="22"/>
              </w:rPr>
              <w:t xml:space="preserve"> </w:t>
            </w:r>
          </w:p>
        </w:tc>
        <w:tc>
          <w:tcPr>
            <w:tcW w:w="3637" w:type="dxa"/>
          </w:tcPr>
          <w:p w:rsidR="00E378B5" w:rsidRPr="002A078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Agtrans Research, based on values in Final Report for FRDC Project 2014/218 and </w:t>
            </w:r>
            <w:r w:rsidRPr="00B468C0">
              <w:rPr>
                <w:rFonts w:ascii="Arial" w:hAnsi="Arial" w:cs="Arial"/>
                <w:color w:val="000000" w:themeColor="text1"/>
                <w:sz w:val="22"/>
                <w:szCs w:val="22"/>
              </w:rPr>
              <w:t xml:space="preserve">confirmed as appropriate by Sue Poole after discussions with </w:t>
            </w:r>
            <w:r>
              <w:rPr>
                <w:rFonts w:ascii="Arial" w:hAnsi="Arial" w:cs="Arial"/>
                <w:color w:val="000000" w:themeColor="text1"/>
                <w:sz w:val="22"/>
                <w:szCs w:val="22"/>
              </w:rPr>
              <w:t xml:space="preserve">a </w:t>
            </w:r>
            <w:r w:rsidRPr="00B468C0">
              <w:rPr>
                <w:rFonts w:ascii="Arial" w:hAnsi="Arial" w:cs="Arial"/>
                <w:color w:val="000000" w:themeColor="text1"/>
                <w:sz w:val="22"/>
                <w:szCs w:val="22"/>
              </w:rPr>
              <w:t xml:space="preserve">SFM representative  </w:t>
            </w:r>
          </w:p>
        </w:tc>
      </w:tr>
      <w:tr w:rsidR="00E378B5" w:rsidRPr="00A75CF6" w:rsidTr="00E378B5">
        <w:trPr>
          <w:jc w:val="center"/>
        </w:trPr>
        <w:tc>
          <w:tcPr>
            <w:tcW w:w="3539" w:type="dxa"/>
          </w:tcPr>
          <w:p w:rsidR="00E378B5" w:rsidRPr="002A078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Potential annual benefit to SFM supply chain from Version 3 over Version 2 with total adoption </w:t>
            </w:r>
          </w:p>
        </w:tc>
        <w:tc>
          <w:tcPr>
            <w:tcW w:w="2410" w:type="dxa"/>
          </w:tcPr>
          <w:p w:rsidR="00E378B5" w:rsidRPr="002A0785" w:rsidRDefault="00E378B5" w:rsidP="00E378B5">
            <w:pPr>
              <w:jc w:val="center"/>
              <w:rPr>
                <w:rFonts w:ascii="Arial" w:hAnsi="Arial" w:cs="Arial"/>
                <w:color w:val="000000" w:themeColor="text1"/>
                <w:sz w:val="22"/>
                <w:szCs w:val="22"/>
              </w:rPr>
            </w:pPr>
            <w:r>
              <w:rPr>
                <w:rFonts w:ascii="Arial" w:hAnsi="Arial" w:cs="Arial"/>
                <w:color w:val="000000" w:themeColor="text1"/>
                <w:sz w:val="22"/>
                <w:szCs w:val="22"/>
              </w:rPr>
              <w:t>$0.976 million per annum</w:t>
            </w:r>
          </w:p>
        </w:tc>
        <w:tc>
          <w:tcPr>
            <w:tcW w:w="3637" w:type="dxa"/>
          </w:tcPr>
          <w:p w:rsidR="00E378B5" w:rsidRPr="001E24D2" w:rsidRDefault="00E378B5" w:rsidP="00E378B5">
            <w:pPr>
              <w:rPr>
                <w:rFonts w:ascii="Arial" w:hAnsi="Arial" w:cs="Arial"/>
                <w:sz w:val="22"/>
                <w:szCs w:val="22"/>
              </w:rPr>
            </w:pPr>
            <w:r w:rsidRPr="001E24D2">
              <w:rPr>
                <w:rFonts w:ascii="Arial" w:hAnsi="Arial" w:cs="Arial"/>
                <w:sz w:val="22"/>
                <w:szCs w:val="22"/>
              </w:rPr>
              <w:t>1</w:t>
            </w:r>
            <w:r>
              <w:rPr>
                <w:rFonts w:ascii="Arial" w:hAnsi="Arial" w:cs="Arial"/>
                <w:sz w:val="22"/>
                <w:szCs w:val="22"/>
              </w:rPr>
              <w:t>,</w:t>
            </w:r>
            <w:r w:rsidRPr="001E24D2">
              <w:rPr>
                <w:rFonts w:ascii="Arial" w:hAnsi="Arial" w:cs="Arial"/>
                <w:sz w:val="22"/>
                <w:szCs w:val="22"/>
              </w:rPr>
              <w:t>600 tonnes x 27% x $2.26 per kg</w:t>
            </w:r>
          </w:p>
        </w:tc>
      </w:tr>
      <w:tr w:rsidR="00E378B5" w:rsidRPr="00A75CF6" w:rsidTr="00E378B5">
        <w:trPr>
          <w:jc w:val="center"/>
        </w:trPr>
        <w:tc>
          <w:tcPr>
            <w:tcW w:w="3539" w:type="dxa"/>
          </w:tcPr>
          <w:p w:rsidR="00E378B5" w:rsidRPr="005F1CAC" w:rsidRDefault="00E378B5" w:rsidP="00E378B5">
            <w:pPr>
              <w:rPr>
                <w:rFonts w:ascii="Arial" w:hAnsi="Arial" w:cs="Arial"/>
                <w:color w:val="000000" w:themeColor="text1"/>
                <w:sz w:val="22"/>
                <w:szCs w:val="22"/>
              </w:rPr>
            </w:pPr>
            <w:r w:rsidRPr="005F1CAC">
              <w:rPr>
                <w:rFonts w:ascii="Arial" w:hAnsi="Arial" w:cs="Arial"/>
                <w:color w:val="000000" w:themeColor="text1"/>
                <w:sz w:val="22"/>
                <w:szCs w:val="22"/>
              </w:rPr>
              <w:t>Maximum adoption of Vers</w:t>
            </w:r>
            <w:r>
              <w:rPr>
                <w:rFonts w:ascii="Arial" w:hAnsi="Arial" w:cs="Arial"/>
                <w:color w:val="000000" w:themeColor="text1"/>
                <w:sz w:val="22"/>
                <w:szCs w:val="22"/>
              </w:rPr>
              <w:t>i</w:t>
            </w:r>
            <w:r w:rsidRPr="005F1CAC">
              <w:rPr>
                <w:rFonts w:ascii="Arial" w:hAnsi="Arial" w:cs="Arial"/>
                <w:color w:val="000000" w:themeColor="text1"/>
                <w:sz w:val="22"/>
                <w:szCs w:val="22"/>
              </w:rPr>
              <w:t>on 3 by SFM suppliers</w:t>
            </w:r>
          </w:p>
        </w:tc>
        <w:tc>
          <w:tcPr>
            <w:tcW w:w="2410" w:type="dxa"/>
          </w:tcPr>
          <w:p w:rsidR="00E378B5" w:rsidRPr="005F1CAC" w:rsidRDefault="00E378B5" w:rsidP="00E378B5">
            <w:pPr>
              <w:jc w:val="center"/>
              <w:rPr>
                <w:rFonts w:ascii="Arial" w:hAnsi="Arial" w:cs="Arial"/>
                <w:color w:val="000000" w:themeColor="text1"/>
                <w:sz w:val="22"/>
                <w:szCs w:val="22"/>
              </w:rPr>
            </w:pPr>
            <w:r>
              <w:rPr>
                <w:rFonts w:ascii="Arial" w:hAnsi="Arial" w:cs="Arial"/>
                <w:color w:val="000000" w:themeColor="text1"/>
                <w:sz w:val="22"/>
                <w:szCs w:val="22"/>
              </w:rPr>
              <w:t>10</w:t>
            </w:r>
            <w:r w:rsidRPr="005F1CAC">
              <w:rPr>
                <w:rFonts w:ascii="Arial" w:hAnsi="Arial" w:cs="Arial"/>
                <w:color w:val="000000" w:themeColor="text1"/>
                <w:sz w:val="22"/>
                <w:szCs w:val="22"/>
              </w:rPr>
              <w:t>0%</w:t>
            </w:r>
          </w:p>
        </w:tc>
        <w:tc>
          <w:tcPr>
            <w:tcW w:w="3637" w:type="dxa"/>
          </w:tcPr>
          <w:p w:rsidR="00E378B5" w:rsidRPr="001E24D2" w:rsidRDefault="00E378B5" w:rsidP="00E378B5">
            <w:pPr>
              <w:rPr>
                <w:rFonts w:ascii="Arial" w:hAnsi="Arial" w:cs="Arial"/>
                <w:sz w:val="22"/>
                <w:szCs w:val="22"/>
              </w:rPr>
            </w:pPr>
            <w:r w:rsidRPr="001E24D2">
              <w:rPr>
                <w:rFonts w:ascii="Arial" w:hAnsi="Arial" w:cs="Arial"/>
                <w:sz w:val="22"/>
                <w:szCs w:val="22"/>
              </w:rPr>
              <w:t xml:space="preserve">Agtrans Research after discussion with Sue Poole and Paul Exley </w:t>
            </w:r>
          </w:p>
        </w:tc>
      </w:tr>
      <w:tr w:rsidR="00E378B5" w:rsidRPr="00A75CF6" w:rsidTr="00E378B5">
        <w:trPr>
          <w:jc w:val="center"/>
        </w:trPr>
        <w:tc>
          <w:tcPr>
            <w:tcW w:w="3539" w:type="dxa"/>
          </w:tcPr>
          <w:p w:rsidR="00E378B5" w:rsidRPr="005F1CAC"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Year in which maximum adoption reached by SFM suppliers  </w:t>
            </w:r>
          </w:p>
        </w:tc>
        <w:tc>
          <w:tcPr>
            <w:tcW w:w="2410" w:type="dxa"/>
          </w:tcPr>
          <w:p w:rsidR="00E378B5" w:rsidRPr="005F1CAC" w:rsidRDefault="00E378B5" w:rsidP="00E378B5">
            <w:pPr>
              <w:jc w:val="center"/>
              <w:rPr>
                <w:rFonts w:ascii="Arial" w:hAnsi="Arial" w:cs="Arial"/>
                <w:color w:val="000000" w:themeColor="text1"/>
                <w:sz w:val="22"/>
                <w:szCs w:val="22"/>
              </w:rPr>
            </w:pPr>
            <w:r>
              <w:rPr>
                <w:rFonts w:ascii="Arial" w:hAnsi="Arial" w:cs="Arial"/>
                <w:color w:val="000000" w:themeColor="text1"/>
                <w:sz w:val="22"/>
                <w:szCs w:val="22"/>
              </w:rPr>
              <w:t>30 June 2017</w:t>
            </w:r>
          </w:p>
        </w:tc>
        <w:tc>
          <w:tcPr>
            <w:tcW w:w="3637" w:type="dxa"/>
          </w:tcPr>
          <w:p w:rsidR="00E378B5" w:rsidRPr="001E24D2" w:rsidRDefault="00E378B5" w:rsidP="00E378B5">
            <w:pPr>
              <w:rPr>
                <w:rFonts w:ascii="Arial" w:hAnsi="Arial" w:cs="Arial"/>
                <w:sz w:val="22"/>
                <w:szCs w:val="22"/>
              </w:rPr>
            </w:pPr>
            <w:r w:rsidRPr="001E24D2">
              <w:rPr>
                <w:rFonts w:ascii="Arial" w:hAnsi="Arial" w:cs="Arial"/>
                <w:sz w:val="22"/>
                <w:szCs w:val="22"/>
              </w:rPr>
              <w:t>Agtrans Research after discussion with Sue Poole and Paul Exley</w:t>
            </w:r>
          </w:p>
        </w:tc>
      </w:tr>
      <w:tr w:rsidR="00E378B5" w:rsidRPr="00A75CF6" w:rsidTr="00E378B5">
        <w:trPr>
          <w:jc w:val="center"/>
        </w:trPr>
        <w:tc>
          <w:tcPr>
            <w:tcW w:w="9586" w:type="dxa"/>
            <w:gridSpan w:val="3"/>
          </w:tcPr>
          <w:p w:rsidR="00E378B5" w:rsidRPr="002F5B75" w:rsidRDefault="00E378B5" w:rsidP="00E378B5">
            <w:pPr>
              <w:rPr>
                <w:rFonts w:ascii="Arial" w:hAnsi="Arial" w:cs="Arial"/>
                <w:b/>
                <w:color w:val="000000" w:themeColor="text1"/>
                <w:sz w:val="22"/>
                <w:szCs w:val="22"/>
              </w:rPr>
            </w:pPr>
            <w:r w:rsidRPr="002F5B75">
              <w:rPr>
                <w:rFonts w:ascii="Arial" w:hAnsi="Arial" w:cs="Arial"/>
                <w:b/>
                <w:color w:val="000000" w:themeColor="text1"/>
                <w:sz w:val="22"/>
                <w:szCs w:val="22"/>
              </w:rPr>
              <w:t xml:space="preserve">Benefit 2: Reduced Downgrading in Non-SFM Supply Chains  </w:t>
            </w:r>
          </w:p>
        </w:tc>
      </w:tr>
      <w:tr w:rsidR="00E378B5" w:rsidRPr="00A75CF6" w:rsidTr="00E378B5">
        <w:trPr>
          <w:jc w:val="center"/>
        </w:trPr>
        <w:tc>
          <w:tcPr>
            <w:tcW w:w="3539" w:type="dxa"/>
          </w:tcPr>
          <w:p w:rsidR="00E378B5" w:rsidRPr="00A374B8" w:rsidRDefault="00E378B5" w:rsidP="00E378B5">
            <w:pPr>
              <w:rPr>
                <w:rFonts w:ascii="Arial" w:hAnsi="Arial" w:cs="Arial"/>
                <w:color w:val="000000" w:themeColor="text1"/>
                <w:sz w:val="22"/>
                <w:szCs w:val="22"/>
              </w:rPr>
            </w:pPr>
            <w:r w:rsidRPr="00A374B8">
              <w:rPr>
                <w:rFonts w:ascii="Arial" w:hAnsi="Arial" w:cs="Arial"/>
                <w:color w:val="000000" w:themeColor="text1"/>
                <w:sz w:val="22"/>
                <w:szCs w:val="22"/>
              </w:rPr>
              <w:t xml:space="preserve">Non-Sydney Fish Market Supply chain for commercial catch  </w:t>
            </w:r>
          </w:p>
        </w:tc>
        <w:tc>
          <w:tcPr>
            <w:tcW w:w="2410" w:type="dxa"/>
          </w:tcPr>
          <w:p w:rsidR="00E378B5" w:rsidRPr="00A374B8" w:rsidRDefault="00E378B5" w:rsidP="00E378B5">
            <w:pPr>
              <w:jc w:val="center"/>
              <w:rPr>
                <w:rFonts w:ascii="Arial" w:hAnsi="Arial" w:cs="Arial"/>
                <w:color w:val="000000" w:themeColor="text1"/>
                <w:sz w:val="22"/>
                <w:szCs w:val="22"/>
              </w:rPr>
            </w:pPr>
            <w:r w:rsidRPr="00A374B8">
              <w:rPr>
                <w:rFonts w:ascii="Arial" w:hAnsi="Arial" w:cs="Arial"/>
                <w:color w:val="000000" w:themeColor="text1"/>
                <w:sz w:val="22"/>
                <w:szCs w:val="22"/>
              </w:rPr>
              <w:t>1</w:t>
            </w:r>
            <w:r>
              <w:rPr>
                <w:rFonts w:ascii="Arial" w:hAnsi="Arial" w:cs="Arial"/>
                <w:color w:val="000000" w:themeColor="text1"/>
                <w:sz w:val="22"/>
                <w:szCs w:val="22"/>
              </w:rPr>
              <w:t>,</w:t>
            </w:r>
            <w:r w:rsidRPr="00A374B8">
              <w:rPr>
                <w:rFonts w:ascii="Arial" w:hAnsi="Arial" w:cs="Arial"/>
                <w:color w:val="000000" w:themeColor="text1"/>
                <w:sz w:val="22"/>
                <w:szCs w:val="22"/>
              </w:rPr>
              <w:t xml:space="preserve">168 tonnes </w:t>
            </w:r>
          </w:p>
        </w:tc>
        <w:tc>
          <w:tcPr>
            <w:tcW w:w="3637" w:type="dxa"/>
          </w:tcPr>
          <w:p w:rsidR="00E378B5" w:rsidRPr="00A374B8" w:rsidRDefault="00E378B5" w:rsidP="00E378B5">
            <w:pPr>
              <w:rPr>
                <w:rFonts w:ascii="Arial" w:hAnsi="Arial" w:cs="Arial"/>
                <w:color w:val="000000" w:themeColor="text1"/>
                <w:sz w:val="22"/>
                <w:szCs w:val="22"/>
              </w:rPr>
            </w:pPr>
            <w:r w:rsidRPr="00A374B8">
              <w:rPr>
                <w:rFonts w:ascii="Arial" w:hAnsi="Arial" w:cs="Arial"/>
                <w:color w:val="000000" w:themeColor="text1"/>
                <w:sz w:val="22"/>
                <w:szCs w:val="22"/>
              </w:rPr>
              <w:t>1600 x (100%-27%)</w:t>
            </w:r>
          </w:p>
        </w:tc>
      </w:tr>
      <w:tr w:rsidR="00E378B5" w:rsidRPr="00A75CF6" w:rsidTr="00E378B5">
        <w:trPr>
          <w:jc w:val="center"/>
        </w:trPr>
        <w:tc>
          <w:tcPr>
            <w:tcW w:w="3539" w:type="dxa"/>
          </w:tcPr>
          <w:p w:rsidR="00E378B5" w:rsidRPr="005F1CAC"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Potential annual benefit to non-SFM </w:t>
            </w:r>
            <w:r w:rsidRPr="005F1CAC">
              <w:rPr>
                <w:rFonts w:ascii="Arial" w:hAnsi="Arial" w:cs="Arial"/>
                <w:color w:val="000000" w:themeColor="text1"/>
                <w:sz w:val="22"/>
                <w:szCs w:val="22"/>
              </w:rPr>
              <w:t xml:space="preserve">commercial catch </w:t>
            </w:r>
            <w:r>
              <w:rPr>
                <w:rFonts w:ascii="Arial" w:hAnsi="Arial" w:cs="Arial"/>
                <w:color w:val="000000" w:themeColor="text1"/>
                <w:sz w:val="22"/>
                <w:szCs w:val="22"/>
              </w:rPr>
              <w:t xml:space="preserve">from Version 3 over Version 2 with total instant adoption </w:t>
            </w:r>
            <w:r w:rsidRPr="005F1CAC">
              <w:rPr>
                <w:rFonts w:ascii="Arial" w:hAnsi="Arial" w:cs="Arial"/>
                <w:color w:val="000000" w:themeColor="text1"/>
                <w:sz w:val="22"/>
                <w:szCs w:val="22"/>
              </w:rPr>
              <w:t xml:space="preserve"> </w:t>
            </w:r>
          </w:p>
        </w:tc>
        <w:tc>
          <w:tcPr>
            <w:tcW w:w="2410" w:type="dxa"/>
          </w:tcPr>
          <w:p w:rsidR="00E378B5" w:rsidRPr="005F1CAC" w:rsidRDefault="00E378B5" w:rsidP="00E378B5">
            <w:pPr>
              <w:jc w:val="center"/>
              <w:rPr>
                <w:rFonts w:ascii="Arial" w:hAnsi="Arial" w:cs="Arial"/>
                <w:color w:val="000000" w:themeColor="text1"/>
                <w:sz w:val="22"/>
                <w:szCs w:val="22"/>
              </w:rPr>
            </w:pPr>
            <w:r w:rsidRPr="005F1CAC">
              <w:rPr>
                <w:rFonts w:ascii="Arial" w:hAnsi="Arial" w:cs="Arial"/>
                <w:color w:val="000000" w:themeColor="text1"/>
                <w:sz w:val="22"/>
                <w:szCs w:val="22"/>
              </w:rPr>
              <w:t>$</w:t>
            </w:r>
            <w:r>
              <w:rPr>
                <w:rFonts w:ascii="Arial" w:hAnsi="Arial" w:cs="Arial"/>
                <w:color w:val="000000" w:themeColor="text1"/>
                <w:sz w:val="22"/>
                <w:szCs w:val="22"/>
              </w:rPr>
              <w:t>2.64</w:t>
            </w:r>
            <w:r w:rsidRPr="005F1CAC">
              <w:rPr>
                <w:rFonts w:ascii="Arial" w:hAnsi="Arial" w:cs="Arial"/>
                <w:color w:val="000000" w:themeColor="text1"/>
                <w:sz w:val="22"/>
                <w:szCs w:val="22"/>
              </w:rPr>
              <w:t xml:space="preserve"> million per annum</w:t>
            </w:r>
          </w:p>
        </w:tc>
        <w:tc>
          <w:tcPr>
            <w:tcW w:w="3637" w:type="dxa"/>
          </w:tcPr>
          <w:p w:rsidR="00E378B5" w:rsidRPr="005F1CAC" w:rsidRDefault="00E378B5" w:rsidP="00E378B5">
            <w:pPr>
              <w:rPr>
                <w:rFonts w:ascii="Arial" w:hAnsi="Arial" w:cs="Arial"/>
                <w:color w:val="000000" w:themeColor="text1"/>
                <w:sz w:val="22"/>
                <w:szCs w:val="22"/>
              </w:rPr>
            </w:pPr>
            <w:r>
              <w:rPr>
                <w:rFonts w:ascii="Arial" w:hAnsi="Arial" w:cs="Arial"/>
                <w:color w:val="000000" w:themeColor="text1"/>
                <w:sz w:val="22"/>
                <w:szCs w:val="22"/>
              </w:rPr>
              <w:t>1,168 tonnes x $2.26</w:t>
            </w:r>
          </w:p>
        </w:tc>
      </w:tr>
      <w:tr w:rsidR="00E378B5" w:rsidRPr="00A75CF6" w:rsidTr="00E378B5">
        <w:trPr>
          <w:jc w:val="center"/>
        </w:trPr>
        <w:tc>
          <w:tcPr>
            <w:tcW w:w="3539" w:type="dxa"/>
          </w:tcPr>
          <w:p w:rsidR="00E378B5" w:rsidRPr="005F1CAC"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Maximum adoption of Version 3 by non-SFM suppliers </w:t>
            </w:r>
          </w:p>
        </w:tc>
        <w:tc>
          <w:tcPr>
            <w:tcW w:w="2410" w:type="dxa"/>
          </w:tcPr>
          <w:p w:rsidR="00E378B5" w:rsidRPr="005F1CAC" w:rsidRDefault="00E378B5" w:rsidP="00E378B5">
            <w:pPr>
              <w:jc w:val="center"/>
              <w:rPr>
                <w:rFonts w:ascii="Arial" w:hAnsi="Arial" w:cs="Arial"/>
                <w:color w:val="000000" w:themeColor="text1"/>
                <w:sz w:val="22"/>
                <w:szCs w:val="22"/>
              </w:rPr>
            </w:pPr>
            <w:r>
              <w:rPr>
                <w:rFonts w:ascii="Arial" w:hAnsi="Arial" w:cs="Arial"/>
                <w:color w:val="000000" w:themeColor="text1"/>
                <w:sz w:val="22"/>
                <w:szCs w:val="22"/>
              </w:rPr>
              <w:t>60%</w:t>
            </w:r>
          </w:p>
        </w:tc>
        <w:tc>
          <w:tcPr>
            <w:tcW w:w="3637" w:type="dxa"/>
          </w:tcPr>
          <w:p w:rsidR="00E378B5" w:rsidRPr="002F5B75" w:rsidRDefault="00E378B5" w:rsidP="00E378B5">
            <w:pPr>
              <w:rPr>
                <w:rFonts w:ascii="Arial" w:hAnsi="Arial" w:cs="Arial"/>
                <w:color w:val="FF0000"/>
                <w:sz w:val="22"/>
                <w:szCs w:val="22"/>
              </w:rPr>
            </w:pPr>
            <w:r w:rsidRPr="001E24D2">
              <w:rPr>
                <w:rFonts w:ascii="Arial" w:hAnsi="Arial" w:cs="Arial"/>
                <w:sz w:val="22"/>
                <w:szCs w:val="22"/>
              </w:rPr>
              <w:t xml:space="preserve">Agtrans Research after discussion with Sue Poole and Paul Exley </w:t>
            </w:r>
          </w:p>
        </w:tc>
      </w:tr>
      <w:tr w:rsidR="00E378B5" w:rsidRPr="00A75CF6" w:rsidTr="00E378B5">
        <w:trPr>
          <w:jc w:val="center"/>
        </w:trPr>
        <w:tc>
          <w:tcPr>
            <w:tcW w:w="3539" w:type="dxa"/>
          </w:tcPr>
          <w:p w:rsidR="00E378B5" w:rsidRPr="005F1CAC"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Year in which maximum adoption reached by non-SFM suppliers  </w:t>
            </w:r>
          </w:p>
        </w:tc>
        <w:tc>
          <w:tcPr>
            <w:tcW w:w="2410" w:type="dxa"/>
          </w:tcPr>
          <w:p w:rsidR="00E378B5" w:rsidRPr="005F1CAC" w:rsidRDefault="00E378B5" w:rsidP="00E378B5">
            <w:pPr>
              <w:jc w:val="center"/>
              <w:rPr>
                <w:rFonts w:ascii="Arial" w:hAnsi="Arial" w:cs="Arial"/>
                <w:color w:val="000000" w:themeColor="text1"/>
                <w:sz w:val="22"/>
                <w:szCs w:val="22"/>
              </w:rPr>
            </w:pPr>
            <w:r>
              <w:rPr>
                <w:rFonts w:ascii="Arial" w:hAnsi="Arial" w:cs="Arial"/>
                <w:color w:val="000000" w:themeColor="text1"/>
                <w:sz w:val="22"/>
                <w:szCs w:val="22"/>
              </w:rPr>
              <w:t>30 June 2017</w:t>
            </w:r>
          </w:p>
        </w:tc>
        <w:tc>
          <w:tcPr>
            <w:tcW w:w="3637" w:type="dxa"/>
          </w:tcPr>
          <w:p w:rsidR="00E378B5" w:rsidRPr="002F5B75" w:rsidRDefault="00E378B5" w:rsidP="00E378B5">
            <w:pPr>
              <w:rPr>
                <w:rFonts w:ascii="Arial" w:hAnsi="Arial" w:cs="Arial"/>
                <w:color w:val="FF0000"/>
                <w:sz w:val="22"/>
                <w:szCs w:val="22"/>
              </w:rPr>
            </w:pPr>
            <w:r w:rsidRPr="001E24D2">
              <w:rPr>
                <w:rFonts w:ascii="Arial" w:hAnsi="Arial" w:cs="Arial"/>
                <w:sz w:val="22"/>
                <w:szCs w:val="22"/>
              </w:rPr>
              <w:t xml:space="preserve">Agtrans Research after discussion with Sue Poole and Paul Exley </w:t>
            </w:r>
          </w:p>
        </w:tc>
      </w:tr>
      <w:tr w:rsidR="00E378B5" w:rsidRPr="00A75CF6" w:rsidTr="00E378B5">
        <w:trPr>
          <w:jc w:val="center"/>
        </w:trPr>
        <w:tc>
          <w:tcPr>
            <w:tcW w:w="9586" w:type="dxa"/>
            <w:gridSpan w:val="3"/>
          </w:tcPr>
          <w:p w:rsidR="00E378B5" w:rsidRPr="00003A07" w:rsidRDefault="00E378B5" w:rsidP="00E378B5">
            <w:pPr>
              <w:rPr>
                <w:rFonts w:ascii="Arial" w:hAnsi="Arial" w:cs="Arial"/>
                <w:b/>
                <w:i/>
                <w:color w:val="000000" w:themeColor="text1"/>
                <w:sz w:val="22"/>
                <w:szCs w:val="22"/>
              </w:rPr>
            </w:pPr>
            <w:r w:rsidRPr="00003A07">
              <w:rPr>
                <w:rFonts w:ascii="Arial" w:hAnsi="Arial" w:cs="Arial"/>
                <w:b/>
                <w:i/>
                <w:color w:val="000000" w:themeColor="text1"/>
                <w:sz w:val="22"/>
                <w:szCs w:val="22"/>
              </w:rPr>
              <w:t>Attribution</w:t>
            </w:r>
          </w:p>
        </w:tc>
      </w:tr>
      <w:tr w:rsidR="00E378B5" w:rsidRPr="00A75CF6" w:rsidTr="00E378B5">
        <w:trPr>
          <w:jc w:val="center"/>
        </w:trPr>
        <w:tc>
          <w:tcPr>
            <w:tcW w:w="3539" w:type="dxa"/>
          </w:tcPr>
          <w:p w:rsidR="00E378B5" w:rsidRPr="005F1CAC" w:rsidRDefault="00E378B5" w:rsidP="00E378B5">
            <w:pPr>
              <w:rPr>
                <w:rFonts w:ascii="Arial" w:hAnsi="Arial" w:cs="Arial"/>
                <w:color w:val="000000" w:themeColor="text1"/>
                <w:sz w:val="22"/>
                <w:szCs w:val="22"/>
              </w:rPr>
            </w:pPr>
            <w:r w:rsidRPr="005F1CAC">
              <w:rPr>
                <w:rFonts w:ascii="Arial" w:hAnsi="Arial" w:cs="Arial"/>
                <w:color w:val="000000" w:themeColor="text1"/>
                <w:sz w:val="22"/>
                <w:szCs w:val="22"/>
              </w:rPr>
              <w:t>Attribution of th</w:t>
            </w:r>
            <w:r>
              <w:rPr>
                <w:rFonts w:ascii="Arial" w:hAnsi="Arial" w:cs="Arial"/>
                <w:color w:val="000000" w:themeColor="text1"/>
                <w:sz w:val="22"/>
                <w:szCs w:val="22"/>
              </w:rPr>
              <w:t>e above benefit estimated for this p</w:t>
            </w:r>
            <w:r w:rsidRPr="005F1CAC">
              <w:rPr>
                <w:rFonts w:ascii="Arial" w:hAnsi="Arial" w:cs="Arial"/>
                <w:color w:val="000000" w:themeColor="text1"/>
                <w:sz w:val="22"/>
                <w:szCs w:val="22"/>
              </w:rPr>
              <w:t xml:space="preserve">roject </w:t>
            </w:r>
          </w:p>
        </w:tc>
        <w:tc>
          <w:tcPr>
            <w:tcW w:w="2410" w:type="dxa"/>
          </w:tcPr>
          <w:p w:rsidR="00E378B5" w:rsidRPr="005F1CAC" w:rsidRDefault="00E378B5" w:rsidP="00E378B5">
            <w:pPr>
              <w:jc w:val="center"/>
              <w:rPr>
                <w:rFonts w:ascii="Arial" w:hAnsi="Arial" w:cs="Arial"/>
                <w:color w:val="000000" w:themeColor="text1"/>
                <w:sz w:val="22"/>
                <w:szCs w:val="22"/>
              </w:rPr>
            </w:pPr>
            <w:r>
              <w:rPr>
                <w:rFonts w:ascii="Arial" w:hAnsi="Arial" w:cs="Arial"/>
                <w:color w:val="000000" w:themeColor="text1"/>
                <w:sz w:val="22"/>
                <w:szCs w:val="22"/>
              </w:rPr>
              <w:t>50</w:t>
            </w:r>
            <w:r w:rsidRPr="005F1CAC">
              <w:rPr>
                <w:rFonts w:ascii="Arial" w:hAnsi="Arial" w:cs="Arial"/>
                <w:color w:val="000000" w:themeColor="text1"/>
                <w:sz w:val="22"/>
                <w:szCs w:val="22"/>
              </w:rPr>
              <w:t>%</w:t>
            </w:r>
          </w:p>
        </w:tc>
        <w:tc>
          <w:tcPr>
            <w:tcW w:w="3637" w:type="dxa"/>
          </w:tcPr>
          <w:p w:rsidR="00E378B5" w:rsidRPr="005F1CAC"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Agtrans Research, based on communication and goodwill built in previous years by the same Queensland project team </w:t>
            </w:r>
          </w:p>
        </w:tc>
      </w:tr>
      <w:tr w:rsidR="00E378B5" w:rsidRPr="00A75CF6" w:rsidTr="00E378B5">
        <w:trPr>
          <w:jc w:val="center"/>
        </w:trPr>
        <w:tc>
          <w:tcPr>
            <w:tcW w:w="9586" w:type="dxa"/>
            <w:gridSpan w:val="3"/>
          </w:tcPr>
          <w:p w:rsidR="00E378B5" w:rsidRPr="000947C5" w:rsidRDefault="00E378B5" w:rsidP="00E378B5">
            <w:pPr>
              <w:rPr>
                <w:rFonts w:ascii="Arial" w:hAnsi="Arial" w:cs="Arial"/>
                <w:color w:val="000000" w:themeColor="text1"/>
              </w:rPr>
            </w:pPr>
            <w:r w:rsidRPr="000947C5">
              <w:rPr>
                <w:rFonts w:ascii="Arial" w:hAnsi="Arial" w:cs="Arial"/>
                <w:b/>
                <w:color w:val="000000" w:themeColor="text1"/>
                <w:sz w:val="22"/>
                <w:szCs w:val="22"/>
              </w:rPr>
              <w:t>ALTERNATIVE COUNTERFACTUA</w:t>
            </w:r>
            <w:r>
              <w:rPr>
                <w:rFonts w:ascii="Arial" w:hAnsi="Arial" w:cs="Arial"/>
                <w:b/>
                <w:color w:val="000000" w:themeColor="text1"/>
                <w:sz w:val="22"/>
                <w:szCs w:val="22"/>
              </w:rPr>
              <w:t xml:space="preserve">L: </w:t>
            </w:r>
            <w:r>
              <w:rPr>
                <w:rFonts w:ascii="Arial" w:hAnsi="Arial" w:cs="Arial"/>
                <w:color w:val="000000" w:themeColor="text1"/>
                <w:sz w:val="22"/>
                <w:szCs w:val="22"/>
              </w:rPr>
              <w:t>A</w:t>
            </w:r>
            <w:r w:rsidRPr="000947C5">
              <w:rPr>
                <w:rFonts w:ascii="Arial" w:hAnsi="Arial" w:cs="Arial"/>
                <w:color w:val="000000" w:themeColor="text1"/>
                <w:sz w:val="22"/>
                <w:szCs w:val="22"/>
              </w:rPr>
              <w:t xml:space="preserve"> </w:t>
            </w:r>
            <w:r>
              <w:rPr>
                <w:rFonts w:ascii="Arial" w:hAnsi="Arial" w:cs="Arial"/>
                <w:color w:val="000000" w:themeColor="text1"/>
                <w:sz w:val="22"/>
                <w:szCs w:val="22"/>
              </w:rPr>
              <w:t xml:space="preserve">similar project to </w:t>
            </w:r>
            <w:r w:rsidRPr="000947C5">
              <w:rPr>
                <w:rFonts w:ascii="Arial" w:hAnsi="Arial" w:cs="Arial"/>
                <w:color w:val="000000" w:themeColor="text1"/>
                <w:sz w:val="22"/>
                <w:szCs w:val="22"/>
              </w:rPr>
              <w:t>FRDC Project 2014/218</w:t>
            </w:r>
            <w:r>
              <w:rPr>
                <w:rFonts w:ascii="Arial" w:hAnsi="Arial" w:cs="Arial"/>
                <w:color w:val="000000" w:themeColor="text1"/>
                <w:sz w:val="22"/>
                <w:szCs w:val="22"/>
              </w:rPr>
              <w:t xml:space="preserve"> that is first funded in the year ended June 2021 </w:t>
            </w:r>
          </w:p>
        </w:tc>
      </w:tr>
      <w:tr w:rsidR="00E378B5" w:rsidRPr="00A75CF6" w:rsidTr="00E378B5">
        <w:trPr>
          <w:jc w:val="center"/>
        </w:trPr>
        <w:tc>
          <w:tcPr>
            <w:tcW w:w="3539" w:type="dxa"/>
          </w:tcPr>
          <w:p w:rsidR="00E378B5" w:rsidRPr="001E24D2" w:rsidRDefault="00E378B5" w:rsidP="00E378B5">
            <w:pPr>
              <w:rPr>
                <w:rFonts w:ascii="Arial" w:hAnsi="Arial" w:cs="Arial"/>
                <w:color w:val="000000" w:themeColor="text1"/>
                <w:sz w:val="22"/>
                <w:szCs w:val="22"/>
              </w:rPr>
            </w:pPr>
            <w:r w:rsidRPr="001E24D2">
              <w:rPr>
                <w:rFonts w:ascii="Arial" w:hAnsi="Arial" w:cs="Arial"/>
                <w:color w:val="000000" w:themeColor="text1"/>
                <w:sz w:val="22"/>
                <w:szCs w:val="22"/>
              </w:rPr>
              <w:t>Benefit 1:</w:t>
            </w:r>
          </w:p>
        </w:tc>
        <w:tc>
          <w:tcPr>
            <w:tcW w:w="6047" w:type="dxa"/>
            <w:gridSpan w:val="2"/>
          </w:tcPr>
          <w:p w:rsidR="00E378B5" w:rsidRPr="001E24D2" w:rsidRDefault="00E378B5" w:rsidP="00E378B5">
            <w:pPr>
              <w:rPr>
                <w:rFonts w:ascii="Arial" w:hAnsi="Arial" w:cs="Arial"/>
                <w:color w:val="000000" w:themeColor="text1"/>
                <w:sz w:val="22"/>
                <w:szCs w:val="22"/>
              </w:rPr>
            </w:pPr>
            <w:r w:rsidRPr="001E24D2">
              <w:rPr>
                <w:rFonts w:ascii="Arial" w:hAnsi="Arial" w:cs="Arial"/>
                <w:color w:val="000000" w:themeColor="text1"/>
                <w:sz w:val="22"/>
                <w:szCs w:val="22"/>
              </w:rPr>
              <w:t xml:space="preserve">Same assumptions as for the Base Counterfactual except </w:t>
            </w:r>
            <w:r>
              <w:rPr>
                <w:rFonts w:ascii="Arial" w:hAnsi="Arial" w:cs="Arial"/>
                <w:color w:val="000000" w:themeColor="text1"/>
                <w:sz w:val="22"/>
                <w:szCs w:val="22"/>
              </w:rPr>
              <w:t xml:space="preserve">delivered </w:t>
            </w:r>
            <w:r w:rsidRPr="001E24D2">
              <w:rPr>
                <w:rFonts w:ascii="Arial" w:hAnsi="Arial" w:cs="Arial"/>
                <w:color w:val="000000" w:themeColor="text1"/>
                <w:sz w:val="22"/>
                <w:szCs w:val="22"/>
              </w:rPr>
              <w:t xml:space="preserve">7 years later </w:t>
            </w:r>
          </w:p>
        </w:tc>
      </w:tr>
      <w:tr w:rsidR="00E378B5" w:rsidRPr="00A75CF6" w:rsidTr="00E378B5">
        <w:trPr>
          <w:jc w:val="center"/>
        </w:trPr>
        <w:tc>
          <w:tcPr>
            <w:tcW w:w="3539" w:type="dxa"/>
          </w:tcPr>
          <w:p w:rsidR="00E378B5" w:rsidRPr="001E24D2" w:rsidRDefault="00E378B5" w:rsidP="00E378B5">
            <w:pPr>
              <w:rPr>
                <w:rFonts w:ascii="Arial" w:hAnsi="Arial" w:cs="Arial"/>
                <w:color w:val="000000" w:themeColor="text1"/>
                <w:sz w:val="22"/>
                <w:szCs w:val="22"/>
              </w:rPr>
            </w:pPr>
            <w:r w:rsidRPr="001E24D2">
              <w:rPr>
                <w:rFonts w:ascii="Arial" w:hAnsi="Arial" w:cs="Arial"/>
                <w:color w:val="000000" w:themeColor="text1"/>
                <w:sz w:val="22"/>
                <w:szCs w:val="22"/>
              </w:rPr>
              <w:t xml:space="preserve">Benefit 2: </w:t>
            </w:r>
          </w:p>
        </w:tc>
        <w:tc>
          <w:tcPr>
            <w:tcW w:w="6047" w:type="dxa"/>
            <w:gridSpan w:val="2"/>
          </w:tcPr>
          <w:p w:rsidR="00E378B5" w:rsidRPr="001E24D2" w:rsidRDefault="00E378B5" w:rsidP="00E378B5">
            <w:pPr>
              <w:rPr>
                <w:rFonts w:ascii="Arial" w:hAnsi="Arial" w:cs="Arial"/>
                <w:color w:val="000000" w:themeColor="text1"/>
                <w:sz w:val="22"/>
                <w:szCs w:val="22"/>
              </w:rPr>
            </w:pPr>
            <w:r w:rsidRPr="001E24D2">
              <w:rPr>
                <w:rFonts w:ascii="Arial" w:hAnsi="Arial" w:cs="Arial"/>
                <w:color w:val="000000" w:themeColor="text1"/>
                <w:sz w:val="22"/>
                <w:szCs w:val="22"/>
              </w:rPr>
              <w:t xml:space="preserve">Same assumptions as for the Base Counterfactual except </w:t>
            </w:r>
            <w:r>
              <w:rPr>
                <w:rFonts w:ascii="Arial" w:hAnsi="Arial" w:cs="Arial"/>
                <w:color w:val="000000" w:themeColor="text1"/>
                <w:sz w:val="22"/>
                <w:szCs w:val="22"/>
              </w:rPr>
              <w:t xml:space="preserve">delivered </w:t>
            </w:r>
            <w:r w:rsidRPr="001E24D2">
              <w:rPr>
                <w:rFonts w:ascii="Arial" w:hAnsi="Arial" w:cs="Arial"/>
                <w:color w:val="000000" w:themeColor="text1"/>
                <w:sz w:val="22"/>
                <w:szCs w:val="22"/>
              </w:rPr>
              <w:t>7 years later</w:t>
            </w:r>
          </w:p>
        </w:tc>
      </w:tr>
    </w:tbl>
    <w:p w:rsidR="00E378B5" w:rsidRPr="00E86ACB" w:rsidRDefault="00E378B5" w:rsidP="00E86ACB">
      <w:pPr>
        <w:spacing w:after="240"/>
        <w:rPr>
          <w:rFonts w:ascii="Arial" w:hAnsi="Arial" w:cs="Arial"/>
          <w:b/>
          <w:sz w:val="40"/>
          <w:szCs w:val="40"/>
        </w:rPr>
      </w:pPr>
      <w:bookmarkStart w:id="117" w:name="_Toc486145219"/>
      <w:bookmarkStart w:id="118" w:name="_Toc486145328"/>
      <w:bookmarkStart w:id="119" w:name="_Toc486146244"/>
      <w:bookmarkStart w:id="120" w:name="_Toc352154080"/>
      <w:bookmarkStart w:id="121" w:name="_Toc442159252"/>
      <w:r w:rsidRPr="00E86ACB">
        <w:rPr>
          <w:rFonts w:ascii="Arial" w:hAnsi="Arial" w:cs="Arial"/>
          <w:b/>
          <w:sz w:val="40"/>
          <w:szCs w:val="40"/>
        </w:rPr>
        <w:t>7. Investment Criteria</w:t>
      </w:r>
      <w:bookmarkEnd w:id="117"/>
      <w:bookmarkEnd w:id="118"/>
      <w:bookmarkEnd w:id="119"/>
      <w:r w:rsidRPr="00E86ACB">
        <w:rPr>
          <w:rFonts w:ascii="Arial" w:hAnsi="Arial" w:cs="Arial"/>
          <w:b/>
          <w:sz w:val="40"/>
          <w:szCs w:val="40"/>
        </w:rPr>
        <w:t xml:space="preserve"> </w:t>
      </w:r>
      <w:bookmarkEnd w:id="120"/>
      <w:bookmarkEnd w:id="121"/>
    </w:p>
    <w:p w:rsidR="00E378B5" w:rsidRDefault="00E378B5" w:rsidP="00A0699E">
      <w:pPr>
        <w:spacing w:after="240"/>
        <w:rPr>
          <w:rFonts w:ascii="Arial" w:hAnsi="Arial" w:cs="Arial"/>
        </w:rPr>
      </w:pPr>
      <w:r w:rsidRPr="007D67C2">
        <w:rPr>
          <w:rFonts w:ascii="Arial" w:hAnsi="Arial" w:cs="Arial"/>
        </w:rPr>
        <w:t>All past costs were expressed in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dollar terms using the Implicit Price Deflator for G</w:t>
      </w:r>
      <w:r>
        <w:rPr>
          <w:rFonts w:ascii="Arial" w:hAnsi="Arial" w:cs="Arial"/>
        </w:rPr>
        <w:t>ross Domestic Product</w:t>
      </w:r>
      <w:r w:rsidRPr="007D67C2">
        <w:rPr>
          <w:rFonts w:ascii="Arial" w:hAnsi="Arial" w:cs="Arial"/>
        </w:rPr>
        <w:t xml:space="preserve">. </w:t>
      </w:r>
      <w:r>
        <w:rPr>
          <w:rFonts w:ascii="Arial" w:hAnsi="Arial" w:cs="Arial"/>
        </w:rPr>
        <w:t xml:space="preserve">The </w:t>
      </w:r>
      <w:r w:rsidRPr="007D67C2">
        <w:rPr>
          <w:rFonts w:ascii="Arial" w:hAnsi="Arial" w:cs="Arial"/>
        </w:rPr>
        <w:t>FRDC component of project investment costs w</w:t>
      </w:r>
      <w:r>
        <w:rPr>
          <w:rFonts w:ascii="Arial" w:hAnsi="Arial" w:cs="Arial"/>
        </w:rPr>
        <w:t>as</w:t>
      </w:r>
      <w:r w:rsidRPr="007D67C2">
        <w:rPr>
          <w:rFonts w:ascii="Arial" w:hAnsi="Arial" w:cs="Arial"/>
        </w:rPr>
        <w:t xml:space="preserve"> multiplied by a factor of 1.11</w:t>
      </w:r>
      <w:r>
        <w:rPr>
          <w:rFonts w:ascii="Arial" w:hAnsi="Arial" w:cs="Arial"/>
        </w:rPr>
        <w:t>5</w:t>
      </w:r>
      <w:r w:rsidRPr="007D67C2">
        <w:rPr>
          <w:rFonts w:ascii="Arial" w:hAnsi="Arial" w:cs="Arial"/>
        </w:rPr>
        <w:t xml:space="preserve"> to accommodate program management costs</w:t>
      </w:r>
      <w:r>
        <w:rPr>
          <w:rFonts w:ascii="Arial" w:hAnsi="Arial" w:cs="Arial"/>
        </w:rPr>
        <w:t xml:space="preserve">. This factor was derived from </w:t>
      </w:r>
      <w:r w:rsidRPr="007D67C2">
        <w:rPr>
          <w:rFonts w:ascii="Arial" w:hAnsi="Arial" w:cs="Arial"/>
        </w:rPr>
        <w:t>FRDC (FRDC, 2016</w:t>
      </w:r>
      <w:r>
        <w:rPr>
          <w:rFonts w:ascii="Arial" w:hAnsi="Arial" w:cs="Arial"/>
        </w:rPr>
        <w:t>b</w:t>
      </w:r>
      <w:r w:rsidRPr="007D67C2">
        <w:rPr>
          <w:rFonts w:ascii="Arial" w:hAnsi="Arial" w:cs="Arial"/>
        </w:rPr>
        <w:t>)</w:t>
      </w:r>
      <w:r>
        <w:rPr>
          <w:rFonts w:ascii="Arial" w:hAnsi="Arial" w:cs="Arial"/>
        </w:rPr>
        <w:t xml:space="preserve">. </w:t>
      </w:r>
      <w:r w:rsidRPr="00D03CA7">
        <w:rPr>
          <w:rFonts w:ascii="Arial" w:hAnsi="Arial" w:cs="Arial"/>
        </w:rPr>
        <w:t>The DAF investment costs already had multipliers included.</w:t>
      </w:r>
    </w:p>
    <w:p w:rsidR="00E378B5" w:rsidRDefault="00E378B5" w:rsidP="00A0699E">
      <w:pPr>
        <w:spacing w:after="240"/>
        <w:rPr>
          <w:rFonts w:ascii="Arial" w:hAnsi="Arial" w:cs="Arial"/>
        </w:rPr>
      </w:pPr>
      <w:r w:rsidRPr="007D67C2">
        <w:rPr>
          <w:rFonts w:ascii="Arial" w:hAnsi="Arial" w:cs="Arial"/>
        </w:rPr>
        <w:t>All benefits after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were expressed in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dollar terms. All costs and benefits were discounted to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using a discount rate of 5%. A reinvestment rate of </w:t>
      </w:r>
      <w:r>
        <w:rPr>
          <w:rFonts w:ascii="Arial" w:hAnsi="Arial" w:cs="Arial"/>
        </w:rPr>
        <w:t>5% was used for estimating the Modified Internal Rate of Return (M</w:t>
      </w:r>
      <w:r w:rsidRPr="007D67C2">
        <w:rPr>
          <w:rFonts w:ascii="Arial" w:hAnsi="Arial" w:cs="Arial"/>
        </w:rPr>
        <w:t>IRR</w:t>
      </w:r>
      <w:r>
        <w:rPr>
          <w:rFonts w:ascii="Arial" w:hAnsi="Arial" w:cs="Arial"/>
        </w:rPr>
        <w:t>)</w:t>
      </w:r>
      <w:r w:rsidRPr="007D67C2">
        <w:rPr>
          <w:rFonts w:ascii="Arial" w:hAnsi="Arial" w:cs="Arial"/>
        </w:rPr>
        <w:t>. The base analysis used the best available estimates for each variable, notwithstanding a level of uncertainty for many of the estimates. All analyses ran for the length of the investment period plus 30 years from the last year of investment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to the final year of benefits assumed. </w:t>
      </w:r>
    </w:p>
    <w:p w:rsidR="00E378B5" w:rsidRDefault="00E378B5" w:rsidP="00A0699E">
      <w:pPr>
        <w:spacing w:after="240"/>
        <w:rPr>
          <w:rFonts w:ascii="Arial" w:hAnsi="Arial" w:cs="Arial"/>
          <w:b/>
          <w:sz w:val="24"/>
        </w:rPr>
      </w:pPr>
      <w:r w:rsidRPr="006C069D">
        <w:rPr>
          <w:rFonts w:ascii="Arial" w:hAnsi="Arial" w:cs="Arial"/>
          <w:b/>
          <w:sz w:val="24"/>
        </w:rPr>
        <w:t>Investment Criteria</w:t>
      </w:r>
      <w:r>
        <w:rPr>
          <w:rFonts w:ascii="Arial" w:hAnsi="Arial" w:cs="Arial"/>
          <w:b/>
          <w:sz w:val="24"/>
        </w:rPr>
        <w:t xml:space="preserve"> using Base Counterfactual </w:t>
      </w:r>
    </w:p>
    <w:p w:rsidR="00E378B5" w:rsidRDefault="00E378B5" w:rsidP="00A0699E">
      <w:pPr>
        <w:spacing w:after="240"/>
        <w:rPr>
          <w:rFonts w:ascii="Arial" w:hAnsi="Arial" w:cs="Arial"/>
        </w:rPr>
      </w:pPr>
      <w:r w:rsidRPr="006C069D">
        <w:rPr>
          <w:rFonts w:ascii="Arial" w:hAnsi="Arial" w:cs="Arial"/>
        </w:rPr>
        <w:t xml:space="preserve">Tables </w:t>
      </w:r>
      <w:r>
        <w:rPr>
          <w:rFonts w:ascii="Arial" w:hAnsi="Arial" w:cs="Arial"/>
        </w:rPr>
        <w:t>7, 8</w:t>
      </w:r>
      <w:r w:rsidRPr="006C069D">
        <w:rPr>
          <w:rFonts w:ascii="Arial" w:hAnsi="Arial" w:cs="Arial"/>
        </w:rPr>
        <w:t xml:space="preserve"> </w:t>
      </w:r>
      <w:r>
        <w:rPr>
          <w:rFonts w:ascii="Arial" w:hAnsi="Arial" w:cs="Arial"/>
        </w:rPr>
        <w:t xml:space="preserve">and 9 </w:t>
      </w:r>
      <w:r w:rsidRPr="006C069D">
        <w:rPr>
          <w:rFonts w:ascii="Arial" w:hAnsi="Arial" w:cs="Arial"/>
        </w:rPr>
        <w:t xml:space="preserve">show the investment criteria estimated for different periods of benefits for the total investment and the DAF </w:t>
      </w:r>
      <w:r>
        <w:rPr>
          <w:rFonts w:ascii="Arial" w:hAnsi="Arial" w:cs="Arial"/>
        </w:rPr>
        <w:t xml:space="preserve">and FRDC </w:t>
      </w:r>
      <w:r w:rsidRPr="006C069D">
        <w:rPr>
          <w:rFonts w:ascii="Arial" w:hAnsi="Arial" w:cs="Arial"/>
        </w:rPr>
        <w:t xml:space="preserve">investment respectively. The present value of benefits (PVB) attributable to DAF investment only, shown in Table </w:t>
      </w:r>
      <w:r>
        <w:rPr>
          <w:rFonts w:ascii="Arial" w:hAnsi="Arial" w:cs="Arial"/>
        </w:rPr>
        <w:t>8</w:t>
      </w:r>
      <w:r w:rsidRPr="006C069D">
        <w:rPr>
          <w:rFonts w:ascii="Arial" w:hAnsi="Arial" w:cs="Arial"/>
        </w:rPr>
        <w:t xml:space="preserve">, has been estimated by multiplying the total PVB by the DAF proportion of </w:t>
      </w:r>
      <w:r>
        <w:rPr>
          <w:rFonts w:ascii="Arial" w:hAnsi="Arial" w:cs="Arial"/>
        </w:rPr>
        <w:t xml:space="preserve">real investment </w:t>
      </w:r>
      <w:r w:rsidRPr="006C069D">
        <w:rPr>
          <w:rFonts w:ascii="Arial" w:hAnsi="Arial" w:cs="Arial"/>
        </w:rPr>
        <w:t>(6</w:t>
      </w:r>
      <w:r>
        <w:rPr>
          <w:rFonts w:ascii="Arial" w:hAnsi="Arial" w:cs="Arial"/>
        </w:rPr>
        <w:t>5.9</w:t>
      </w:r>
      <w:r w:rsidRPr="006C069D">
        <w:rPr>
          <w:rFonts w:ascii="Arial" w:hAnsi="Arial" w:cs="Arial"/>
        </w:rPr>
        <w:t>%).</w:t>
      </w:r>
    </w:p>
    <w:p w:rsidR="00E378B5" w:rsidRPr="00E86ACB" w:rsidRDefault="00E378B5" w:rsidP="00E86ACB">
      <w:pPr>
        <w:pStyle w:val="Caption"/>
        <w:spacing w:after="240"/>
        <w:jc w:val="center"/>
        <w:rPr>
          <w:rFonts w:ascii="Arial" w:hAnsi="Arial"/>
          <w:b w:val="0"/>
          <w:i/>
          <w:sz w:val="22"/>
          <w:szCs w:val="22"/>
        </w:rPr>
      </w:pPr>
      <w:bookmarkStart w:id="122" w:name="_Toc476387753"/>
      <w:bookmarkStart w:id="123" w:name="_Toc417640350"/>
      <w:bookmarkStart w:id="124" w:name="_Toc442159272"/>
      <w:bookmarkStart w:id="125" w:name="_Toc475102789"/>
      <w:r w:rsidRPr="00E86ACB">
        <w:rPr>
          <w:rFonts w:ascii="Arial" w:hAnsi="Arial"/>
          <w:b w:val="0"/>
          <w:color w:val="000000" w:themeColor="text1"/>
          <w:sz w:val="22"/>
          <w:szCs w:val="22"/>
        </w:rPr>
        <w:t xml:space="preserve">Table </w:t>
      </w:r>
      <w:r w:rsidRPr="00E86ACB">
        <w:rPr>
          <w:rFonts w:ascii="Arial" w:hAnsi="Arial"/>
          <w:b w:val="0"/>
          <w:i/>
          <w:color w:val="000000" w:themeColor="text1"/>
          <w:sz w:val="22"/>
          <w:szCs w:val="22"/>
        </w:rPr>
        <w:fldChar w:fldCharType="begin"/>
      </w:r>
      <w:r w:rsidRPr="00E86ACB">
        <w:rPr>
          <w:rFonts w:ascii="Arial" w:hAnsi="Arial"/>
          <w:b w:val="0"/>
          <w:color w:val="000000" w:themeColor="text1"/>
          <w:sz w:val="22"/>
          <w:szCs w:val="22"/>
        </w:rPr>
        <w:instrText xml:space="preserve"> SEQ Table \* ARABIC </w:instrText>
      </w:r>
      <w:r w:rsidRPr="00E86ACB">
        <w:rPr>
          <w:rFonts w:ascii="Arial" w:hAnsi="Arial"/>
          <w:b w:val="0"/>
          <w:i/>
          <w:color w:val="000000" w:themeColor="text1"/>
          <w:sz w:val="22"/>
          <w:szCs w:val="22"/>
        </w:rPr>
        <w:fldChar w:fldCharType="separate"/>
      </w:r>
      <w:r w:rsidR="00DF217D">
        <w:rPr>
          <w:rFonts w:ascii="Arial" w:hAnsi="Arial"/>
          <w:b w:val="0"/>
          <w:noProof/>
          <w:color w:val="000000" w:themeColor="text1"/>
          <w:sz w:val="22"/>
          <w:szCs w:val="22"/>
        </w:rPr>
        <w:t>7</w:t>
      </w:r>
      <w:r w:rsidRPr="00E86ACB">
        <w:rPr>
          <w:rFonts w:ascii="Arial" w:hAnsi="Arial"/>
          <w:b w:val="0"/>
          <w:i/>
          <w:color w:val="000000" w:themeColor="text1"/>
          <w:sz w:val="22"/>
          <w:szCs w:val="22"/>
        </w:rPr>
        <w:fldChar w:fldCharType="end"/>
      </w:r>
      <w:r w:rsidRPr="00E86ACB">
        <w:rPr>
          <w:rFonts w:ascii="Arial" w:hAnsi="Arial"/>
          <w:b w:val="0"/>
          <w:color w:val="000000" w:themeColor="text1"/>
          <w:sz w:val="22"/>
          <w:szCs w:val="22"/>
        </w:rPr>
        <w:t>: Investment Criteria for Total Investment in the Project</w:t>
      </w:r>
      <w:bookmarkEnd w:id="122"/>
      <w:bookmarkEnd w:id="123"/>
      <w:bookmarkEnd w:id="124"/>
      <w:bookmarkEnd w:id="125"/>
    </w:p>
    <w:tbl>
      <w:tblPr>
        <w:tblStyle w:val="TableGrid"/>
        <w:tblW w:w="5591" w:type="pct"/>
        <w:jc w:val="center"/>
        <w:tblLayout w:type="fixed"/>
        <w:tblLook w:val="04A0" w:firstRow="1" w:lastRow="0" w:firstColumn="1" w:lastColumn="0" w:noHBand="0" w:noVBand="1"/>
      </w:tblPr>
      <w:tblGrid>
        <w:gridCol w:w="3409"/>
        <w:gridCol w:w="1107"/>
        <w:gridCol w:w="1073"/>
        <w:gridCol w:w="905"/>
        <w:gridCol w:w="905"/>
        <w:gridCol w:w="905"/>
        <w:gridCol w:w="905"/>
        <w:gridCol w:w="873"/>
      </w:tblGrid>
      <w:tr w:rsidR="00E378B5" w:rsidRPr="008F6653" w:rsidTr="00E378B5">
        <w:trPr>
          <w:jc w:val="center"/>
        </w:trPr>
        <w:tc>
          <w:tcPr>
            <w:tcW w:w="1690" w:type="pct"/>
            <w:vMerge w:val="restart"/>
          </w:tcPr>
          <w:p w:rsidR="00E378B5" w:rsidRPr="006C069D" w:rsidRDefault="00E378B5" w:rsidP="00E378B5">
            <w:pPr>
              <w:rPr>
                <w:rFonts w:ascii="Arial" w:hAnsi="Arial" w:cs="Arial"/>
                <w:b/>
              </w:rPr>
            </w:pPr>
            <w:r w:rsidRPr="006C069D">
              <w:rPr>
                <w:rFonts w:ascii="Arial" w:hAnsi="Arial" w:cs="Arial"/>
                <w:b/>
              </w:rPr>
              <w:t xml:space="preserve">Investment criteria </w:t>
            </w:r>
          </w:p>
        </w:tc>
        <w:tc>
          <w:tcPr>
            <w:tcW w:w="3310" w:type="pct"/>
            <w:gridSpan w:val="7"/>
          </w:tcPr>
          <w:p w:rsidR="00E378B5" w:rsidRPr="006C069D" w:rsidRDefault="00E378B5" w:rsidP="00E378B5">
            <w:pPr>
              <w:jc w:val="center"/>
              <w:rPr>
                <w:rFonts w:ascii="Arial" w:hAnsi="Arial" w:cs="Arial"/>
                <w:b/>
              </w:rPr>
            </w:pPr>
            <w:r w:rsidRPr="006C069D">
              <w:rPr>
                <w:rFonts w:ascii="Arial" w:hAnsi="Arial" w:cs="Arial"/>
                <w:b/>
              </w:rPr>
              <w:t xml:space="preserve">Number of years from year of last investment </w:t>
            </w:r>
          </w:p>
        </w:tc>
      </w:tr>
      <w:tr w:rsidR="00E378B5" w:rsidRPr="008F6653" w:rsidTr="00E378B5">
        <w:trPr>
          <w:jc w:val="center"/>
        </w:trPr>
        <w:tc>
          <w:tcPr>
            <w:tcW w:w="1690" w:type="pct"/>
            <w:vMerge/>
          </w:tcPr>
          <w:p w:rsidR="00E378B5" w:rsidRPr="006C069D" w:rsidRDefault="00E378B5" w:rsidP="00E378B5">
            <w:pPr>
              <w:rPr>
                <w:rFonts w:ascii="Arial" w:hAnsi="Arial" w:cs="Arial"/>
              </w:rPr>
            </w:pPr>
          </w:p>
        </w:tc>
        <w:tc>
          <w:tcPr>
            <w:tcW w:w="549" w:type="pct"/>
          </w:tcPr>
          <w:p w:rsidR="00E378B5" w:rsidRPr="006C069D" w:rsidRDefault="00E378B5" w:rsidP="00E378B5">
            <w:pPr>
              <w:jc w:val="center"/>
              <w:rPr>
                <w:rFonts w:ascii="Arial" w:hAnsi="Arial" w:cs="Arial"/>
                <w:b/>
              </w:rPr>
            </w:pPr>
            <w:r w:rsidRPr="006C069D">
              <w:rPr>
                <w:rFonts w:ascii="Arial" w:hAnsi="Arial" w:cs="Arial"/>
                <w:b/>
              </w:rPr>
              <w:t>0</w:t>
            </w:r>
          </w:p>
        </w:tc>
        <w:tc>
          <w:tcPr>
            <w:tcW w:w="532" w:type="pct"/>
          </w:tcPr>
          <w:p w:rsidR="00E378B5" w:rsidRPr="006C069D" w:rsidRDefault="00E378B5" w:rsidP="00E378B5">
            <w:pPr>
              <w:jc w:val="center"/>
              <w:rPr>
                <w:rFonts w:ascii="Arial" w:hAnsi="Arial" w:cs="Arial"/>
                <w:b/>
              </w:rPr>
            </w:pPr>
            <w:r w:rsidRPr="006C069D">
              <w:rPr>
                <w:rFonts w:ascii="Arial" w:hAnsi="Arial" w:cs="Arial"/>
                <w:b/>
              </w:rPr>
              <w:t>5</w:t>
            </w:r>
          </w:p>
        </w:tc>
        <w:tc>
          <w:tcPr>
            <w:tcW w:w="449" w:type="pct"/>
          </w:tcPr>
          <w:p w:rsidR="00E378B5" w:rsidRPr="006C069D" w:rsidRDefault="00E378B5" w:rsidP="00E378B5">
            <w:pPr>
              <w:jc w:val="center"/>
              <w:rPr>
                <w:rFonts w:ascii="Arial" w:hAnsi="Arial" w:cs="Arial"/>
                <w:b/>
              </w:rPr>
            </w:pPr>
            <w:r w:rsidRPr="006C069D">
              <w:rPr>
                <w:rFonts w:ascii="Arial" w:hAnsi="Arial" w:cs="Arial"/>
                <w:b/>
              </w:rPr>
              <w:t>10</w:t>
            </w:r>
          </w:p>
        </w:tc>
        <w:tc>
          <w:tcPr>
            <w:tcW w:w="449" w:type="pct"/>
          </w:tcPr>
          <w:p w:rsidR="00E378B5" w:rsidRPr="006C069D" w:rsidRDefault="00E378B5" w:rsidP="00E378B5">
            <w:pPr>
              <w:jc w:val="center"/>
              <w:rPr>
                <w:rFonts w:ascii="Arial" w:hAnsi="Arial" w:cs="Arial"/>
                <w:b/>
              </w:rPr>
            </w:pPr>
            <w:r w:rsidRPr="006C069D">
              <w:rPr>
                <w:rFonts w:ascii="Arial" w:hAnsi="Arial" w:cs="Arial"/>
                <w:b/>
              </w:rPr>
              <w:t>15</w:t>
            </w:r>
          </w:p>
        </w:tc>
        <w:tc>
          <w:tcPr>
            <w:tcW w:w="449" w:type="pct"/>
          </w:tcPr>
          <w:p w:rsidR="00E378B5" w:rsidRPr="006C069D" w:rsidRDefault="00E378B5" w:rsidP="00E378B5">
            <w:pPr>
              <w:jc w:val="center"/>
              <w:rPr>
                <w:rFonts w:ascii="Arial" w:hAnsi="Arial" w:cs="Arial"/>
                <w:b/>
              </w:rPr>
            </w:pPr>
            <w:r w:rsidRPr="006C069D">
              <w:rPr>
                <w:rFonts w:ascii="Arial" w:hAnsi="Arial" w:cs="Arial"/>
                <w:b/>
              </w:rPr>
              <w:t>20</w:t>
            </w:r>
          </w:p>
        </w:tc>
        <w:tc>
          <w:tcPr>
            <w:tcW w:w="449" w:type="pct"/>
          </w:tcPr>
          <w:p w:rsidR="00E378B5" w:rsidRPr="006C069D" w:rsidRDefault="00E378B5" w:rsidP="00E378B5">
            <w:pPr>
              <w:jc w:val="center"/>
              <w:rPr>
                <w:rFonts w:ascii="Arial" w:hAnsi="Arial" w:cs="Arial"/>
                <w:b/>
              </w:rPr>
            </w:pPr>
            <w:r w:rsidRPr="006C069D">
              <w:rPr>
                <w:rFonts w:ascii="Arial" w:hAnsi="Arial" w:cs="Arial"/>
                <w:b/>
              </w:rPr>
              <w:t>25</w:t>
            </w:r>
          </w:p>
        </w:tc>
        <w:tc>
          <w:tcPr>
            <w:tcW w:w="434" w:type="pct"/>
          </w:tcPr>
          <w:p w:rsidR="00E378B5" w:rsidRPr="006C069D" w:rsidRDefault="00E378B5" w:rsidP="00E378B5">
            <w:pPr>
              <w:jc w:val="center"/>
              <w:rPr>
                <w:rFonts w:ascii="Arial" w:hAnsi="Arial" w:cs="Arial"/>
                <w:b/>
              </w:rPr>
            </w:pPr>
            <w:r w:rsidRPr="006C069D">
              <w:rPr>
                <w:rFonts w:ascii="Arial" w:hAnsi="Arial" w:cs="Arial"/>
                <w:b/>
              </w:rPr>
              <w:t>30</w:t>
            </w:r>
          </w:p>
        </w:tc>
      </w:tr>
      <w:tr w:rsidR="00E378B5" w:rsidRPr="008F6653" w:rsidTr="00E378B5">
        <w:trPr>
          <w:jc w:val="center"/>
        </w:trPr>
        <w:tc>
          <w:tcPr>
            <w:tcW w:w="1690" w:type="pct"/>
          </w:tcPr>
          <w:p w:rsidR="00E378B5" w:rsidRPr="00977C30" w:rsidRDefault="00E378B5" w:rsidP="00E378B5">
            <w:pPr>
              <w:widowControl w:val="0"/>
              <w:rPr>
                <w:rFonts w:ascii="Arial" w:hAnsi="Arial" w:cs="Arial"/>
                <w:sz w:val="22"/>
                <w:szCs w:val="22"/>
              </w:rPr>
            </w:pPr>
            <w:r w:rsidRPr="00977C30">
              <w:rPr>
                <w:rFonts w:ascii="Arial" w:hAnsi="Arial" w:cs="Arial"/>
                <w:sz w:val="22"/>
                <w:szCs w:val="22"/>
              </w:rPr>
              <w:t>Present value of benefits ($m)</w:t>
            </w: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0.00</w:t>
            </w:r>
          </w:p>
        </w:tc>
        <w:tc>
          <w:tcPr>
            <w:tcW w:w="532"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5.82</w:t>
            </w:r>
          </w:p>
        </w:tc>
        <w:tc>
          <w:tcPr>
            <w:tcW w:w="449"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10.37</w:t>
            </w:r>
          </w:p>
        </w:tc>
        <w:tc>
          <w:tcPr>
            <w:tcW w:w="449"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13.94</w:t>
            </w:r>
          </w:p>
        </w:tc>
        <w:tc>
          <w:tcPr>
            <w:tcW w:w="449"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16.74</w:t>
            </w:r>
          </w:p>
        </w:tc>
        <w:tc>
          <w:tcPr>
            <w:tcW w:w="449"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18.93</w:t>
            </w:r>
          </w:p>
        </w:tc>
        <w:tc>
          <w:tcPr>
            <w:tcW w:w="434"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20.65</w:t>
            </w:r>
          </w:p>
        </w:tc>
      </w:tr>
      <w:tr w:rsidR="00E378B5" w:rsidRPr="008F6653" w:rsidTr="00E378B5">
        <w:trPr>
          <w:jc w:val="center"/>
        </w:trPr>
        <w:tc>
          <w:tcPr>
            <w:tcW w:w="1690" w:type="pct"/>
          </w:tcPr>
          <w:p w:rsidR="00E378B5" w:rsidRPr="00977C30" w:rsidRDefault="00E378B5" w:rsidP="00E378B5">
            <w:pPr>
              <w:widowControl w:val="0"/>
              <w:rPr>
                <w:rFonts w:ascii="Arial" w:hAnsi="Arial" w:cs="Arial"/>
                <w:sz w:val="22"/>
                <w:szCs w:val="22"/>
              </w:rPr>
            </w:pPr>
            <w:r w:rsidRPr="00977C30">
              <w:rPr>
                <w:rFonts w:ascii="Arial" w:hAnsi="Arial" w:cs="Arial"/>
                <w:sz w:val="22"/>
                <w:szCs w:val="22"/>
              </w:rPr>
              <w:t>Present value of costs ($m)</w:t>
            </w:r>
          </w:p>
        </w:tc>
        <w:tc>
          <w:tcPr>
            <w:tcW w:w="549"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0.63</w:t>
            </w:r>
          </w:p>
        </w:tc>
        <w:tc>
          <w:tcPr>
            <w:tcW w:w="532"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0.63</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0.63</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0.63</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0.63</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0.63</w:t>
            </w:r>
          </w:p>
        </w:tc>
        <w:tc>
          <w:tcPr>
            <w:tcW w:w="43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0.63</w:t>
            </w:r>
          </w:p>
        </w:tc>
      </w:tr>
      <w:tr w:rsidR="00E378B5" w:rsidRPr="008F6653" w:rsidTr="00E378B5">
        <w:trPr>
          <w:jc w:val="center"/>
        </w:trPr>
        <w:tc>
          <w:tcPr>
            <w:tcW w:w="1690" w:type="pct"/>
          </w:tcPr>
          <w:p w:rsidR="00E378B5" w:rsidRPr="00977C30" w:rsidRDefault="00E378B5" w:rsidP="00E378B5">
            <w:pPr>
              <w:widowControl w:val="0"/>
              <w:rPr>
                <w:rFonts w:ascii="Arial" w:hAnsi="Arial" w:cs="Arial"/>
                <w:sz w:val="22"/>
                <w:szCs w:val="22"/>
              </w:rPr>
            </w:pPr>
            <w:r w:rsidRPr="00977C30">
              <w:rPr>
                <w:rFonts w:ascii="Arial" w:hAnsi="Arial" w:cs="Arial"/>
                <w:sz w:val="22"/>
                <w:szCs w:val="22"/>
              </w:rPr>
              <w:t>Net present value ($m)</w:t>
            </w:r>
          </w:p>
        </w:tc>
        <w:tc>
          <w:tcPr>
            <w:tcW w:w="549"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-0.63</w:t>
            </w:r>
          </w:p>
        </w:tc>
        <w:tc>
          <w:tcPr>
            <w:tcW w:w="532"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5.19</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9.75</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13.32</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16.11</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18.30</w:t>
            </w:r>
          </w:p>
        </w:tc>
        <w:tc>
          <w:tcPr>
            <w:tcW w:w="43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20.02</w:t>
            </w:r>
          </w:p>
        </w:tc>
      </w:tr>
      <w:tr w:rsidR="00E378B5" w:rsidRPr="008F6653" w:rsidTr="00E378B5">
        <w:trPr>
          <w:jc w:val="center"/>
        </w:trPr>
        <w:tc>
          <w:tcPr>
            <w:tcW w:w="1690" w:type="pct"/>
          </w:tcPr>
          <w:p w:rsidR="00E378B5" w:rsidRPr="00977C30" w:rsidRDefault="00E378B5" w:rsidP="00E378B5">
            <w:pPr>
              <w:widowControl w:val="0"/>
              <w:rPr>
                <w:rFonts w:ascii="Arial" w:hAnsi="Arial" w:cs="Arial"/>
                <w:sz w:val="22"/>
                <w:szCs w:val="22"/>
              </w:rPr>
            </w:pPr>
            <w:r w:rsidRPr="00977C30">
              <w:rPr>
                <w:rFonts w:ascii="Arial" w:hAnsi="Arial" w:cs="Arial"/>
                <w:sz w:val="22"/>
                <w:szCs w:val="22"/>
              </w:rPr>
              <w:t>Benefit-cost ratio</w:t>
            </w:r>
          </w:p>
        </w:tc>
        <w:tc>
          <w:tcPr>
            <w:tcW w:w="549"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0.00</w:t>
            </w:r>
          </w:p>
        </w:tc>
        <w:tc>
          <w:tcPr>
            <w:tcW w:w="532"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9.29</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16.56</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22.27</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26.73</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30.23</w:t>
            </w:r>
          </w:p>
        </w:tc>
        <w:tc>
          <w:tcPr>
            <w:tcW w:w="43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32.98</w:t>
            </w:r>
          </w:p>
        </w:tc>
      </w:tr>
      <w:tr w:rsidR="00E378B5" w:rsidRPr="008F6653" w:rsidTr="00E378B5">
        <w:trPr>
          <w:jc w:val="center"/>
        </w:trPr>
        <w:tc>
          <w:tcPr>
            <w:tcW w:w="1690" w:type="pct"/>
          </w:tcPr>
          <w:p w:rsidR="00E378B5" w:rsidRPr="00977C30" w:rsidRDefault="00E378B5" w:rsidP="00E378B5">
            <w:pPr>
              <w:widowControl w:val="0"/>
              <w:rPr>
                <w:rFonts w:ascii="Arial" w:hAnsi="Arial" w:cs="Arial"/>
                <w:sz w:val="22"/>
                <w:szCs w:val="22"/>
              </w:rPr>
            </w:pPr>
            <w:r w:rsidRPr="00977C30">
              <w:rPr>
                <w:rFonts w:ascii="Arial" w:hAnsi="Arial" w:cs="Arial"/>
                <w:sz w:val="22"/>
                <w:szCs w:val="22"/>
              </w:rPr>
              <w:t>Internal rate of return (IRR) (%)</w:t>
            </w:r>
          </w:p>
        </w:tc>
        <w:tc>
          <w:tcPr>
            <w:tcW w:w="549"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neg.</w:t>
            </w:r>
          </w:p>
        </w:tc>
        <w:tc>
          <w:tcPr>
            <w:tcW w:w="532"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130.8</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132.3</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132.3</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132.3</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132.4</w:t>
            </w:r>
          </w:p>
        </w:tc>
        <w:tc>
          <w:tcPr>
            <w:tcW w:w="43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132.4</w:t>
            </w:r>
          </w:p>
        </w:tc>
      </w:tr>
      <w:tr w:rsidR="00E378B5" w:rsidRPr="008F6653" w:rsidTr="00E378B5">
        <w:trPr>
          <w:jc w:val="center"/>
        </w:trPr>
        <w:tc>
          <w:tcPr>
            <w:tcW w:w="1690" w:type="pct"/>
          </w:tcPr>
          <w:p w:rsidR="00E378B5" w:rsidRPr="00977C30" w:rsidRDefault="00E378B5" w:rsidP="00E378B5">
            <w:pPr>
              <w:widowControl w:val="0"/>
              <w:rPr>
                <w:rFonts w:ascii="Arial" w:hAnsi="Arial" w:cs="Arial"/>
                <w:sz w:val="22"/>
                <w:szCs w:val="22"/>
              </w:rPr>
            </w:pPr>
            <w:r w:rsidRPr="00977C30">
              <w:rPr>
                <w:rFonts w:ascii="Arial" w:hAnsi="Arial" w:cs="Arial"/>
                <w:sz w:val="22"/>
                <w:szCs w:val="22"/>
              </w:rPr>
              <w:t>Modified IRR (%)</w:t>
            </w:r>
          </w:p>
        </w:tc>
        <w:tc>
          <w:tcPr>
            <w:tcW w:w="549"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neg.</w:t>
            </w:r>
          </w:p>
        </w:tc>
        <w:tc>
          <w:tcPr>
            <w:tcW w:w="532"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64.0</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39.0</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29.1</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23.8</w:t>
            </w:r>
          </w:p>
        </w:tc>
        <w:tc>
          <w:tcPr>
            <w:tcW w:w="449"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20.3</w:t>
            </w:r>
          </w:p>
        </w:tc>
        <w:tc>
          <w:tcPr>
            <w:tcW w:w="43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18.0</w:t>
            </w:r>
          </w:p>
        </w:tc>
      </w:tr>
    </w:tbl>
    <w:p w:rsidR="00E378B5" w:rsidRPr="00A0699E" w:rsidRDefault="00E378B5" w:rsidP="00A0699E">
      <w:pPr>
        <w:pStyle w:val="Caption"/>
        <w:rPr>
          <w:rFonts w:ascii="Arial" w:hAnsi="Arial"/>
          <w:b w:val="0"/>
          <w:color w:val="000000" w:themeColor="text1"/>
          <w:sz w:val="22"/>
          <w:szCs w:val="22"/>
        </w:rPr>
      </w:pPr>
      <w:bookmarkStart w:id="126" w:name="_Toc417640351"/>
      <w:bookmarkStart w:id="127" w:name="_Toc442159273"/>
      <w:bookmarkStart w:id="128" w:name="_Toc475102790"/>
    </w:p>
    <w:p w:rsidR="00E378B5" w:rsidRPr="00E86ACB" w:rsidRDefault="00E378B5" w:rsidP="00E86ACB">
      <w:pPr>
        <w:pStyle w:val="Caption"/>
        <w:spacing w:after="240"/>
        <w:jc w:val="center"/>
        <w:rPr>
          <w:rFonts w:ascii="Arial" w:hAnsi="Arial"/>
          <w:b w:val="0"/>
          <w:color w:val="000000" w:themeColor="text1"/>
          <w:sz w:val="22"/>
          <w:szCs w:val="22"/>
        </w:rPr>
      </w:pPr>
      <w:bookmarkStart w:id="129" w:name="_Toc476387754"/>
      <w:r w:rsidRPr="00E86ACB">
        <w:rPr>
          <w:rFonts w:ascii="Arial" w:hAnsi="Arial"/>
          <w:b w:val="0"/>
          <w:color w:val="000000" w:themeColor="text1"/>
          <w:sz w:val="22"/>
          <w:szCs w:val="22"/>
        </w:rPr>
        <w:t xml:space="preserve">Table </w:t>
      </w:r>
      <w:r w:rsidRPr="00E86ACB">
        <w:rPr>
          <w:rFonts w:ascii="Arial" w:hAnsi="Arial"/>
          <w:b w:val="0"/>
          <w:color w:val="000000" w:themeColor="text1"/>
          <w:sz w:val="22"/>
          <w:szCs w:val="22"/>
        </w:rPr>
        <w:fldChar w:fldCharType="begin"/>
      </w:r>
      <w:r w:rsidRPr="00E86ACB">
        <w:rPr>
          <w:rFonts w:ascii="Arial" w:hAnsi="Arial"/>
          <w:b w:val="0"/>
          <w:color w:val="000000" w:themeColor="text1"/>
          <w:sz w:val="22"/>
          <w:szCs w:val="22"/>
        </w:rPr>
        <w:instrText xml:space="preserve"> SEQ Table \* ARABIC </w:instrText>
      </w:r>
      <w:r w:rsidRPr="00E86ACB">
        <w:rPr>
          <w:rFonts w:ascii="Arial" w:hAnsi="Arial"/>
          <w:b w:val="0"/>
          <w:color w:val="000000" w:themeColor="text1"/>
          <w:sz w:val="22"/>
          <w:szCs w:val="22"/>
        </w:rPr>
        <w:fldChar w:fldCharType="separate"/>
      </w:r>
      <w:r w:rsidR="00DF217D">
        <w:rPr>
          <w:rFonts w:ascii="Arial" w:hAnsi="Arial"/>
          <w:b w:val="0"/>
          <w:noProof/>
          <w:color w:val="000000" w:themeColor="text1"/>
          <w:sz w:val="22"/>
          <w:szCs w:val="22"/>
        </w:rPr>
        <w:t>8</w:t>
      </w:r>
      <w:r w:rsidRPr="00E86ACB">
        <w:rPr>
          <w:rFonts w:ascii="Arial" w:hAnsi="Arial"/>
          <w:b w:val="0"/>
          <w:color w:val="000000" w:themeColor="text1"/>
          <w:sz w:val="22"/>
          <w:szCs w:val="22"/>
        </w:rPr>
        <w:fldChar w:fldCharType="end"/>
      </w:r>
      <w:r w:rsidRPr="00E86ACB">
        <w:rPr>
          <w:rFonts w:ascii="Arial" w:hAnsi="Arial"/>
          <w:b w:val="0"/>
          <w:color w:val="000000" w:themeColor="text1"/>
          <w:sz w:val="22"/>
          <w:szCs w:val="22"/>
        </w:rPr>
        <w:t>: Investment Criteria for DAF Investment in the Project</w:t>
      </w:r>
      <w:bookmarkEnd w:id="129"/>
      <w:r w:rsidRPr="00E86ACB">
        <w:rPr>
          <w:rFonts w:ascii="Arial" w:hAnsi="Arial"/>
          <w:b w:val="0"/>
          <w:color w:val="000000" w:themeColor="text1"/>
          <w:sz w:val="22"/>
          <w:szCs w:val="22"/>
        </w:rPr>
        <w:t xml:space="preserve"> </w:t>
      </w:r>
      <w:bookmarkEnd w:id="126"/>
      <w:r w:rsidRPr="00E86ACB">
        <w:rPr>
          <w:rFonts w:ascii="Arial" w:hAnsi="Arial"/>
          <w:b w:val="0"/>
          <w:color w:val="000000" w:themeColor="text1"/>
          <w:sz w:val="22"/>
          <w:szCs w:val="22"/>
        </w:rPr>
        <w:t xml:space="preserve"> </w:t>
      </w:r>
      <w:bookmarkEnd w:id="127"/>
      <w:bookmarkEnd w:id="128"/>
    </w:p>
    <w:tbl>
      <w:tblPr>
        <w:tblStyle w:val="TableGrid"/>
        <w:tblW w:w="5657" w:type="pct"/>
        <w:jc w:val="center"/>
        <w:tblLayout w:type="fixed"/>
        <w:tblLook w:val="04A0" w:firstRow="1" w:lastRow="0" w:firstColumn="1" w:lastColumn="0" w:noHBand="0" w:noVBand="1"/>
      </w:tblPr>
      <w:tblGrid>
        <w:gridCol w:w="3402"/>
        <w:gridCol w:w="1128"/>
        <w:gridCol w:w="812"/>
        <w:gridCol w:w="971"/>
        <w:gridCol w:w="971"/>
        <w:gridCol w:w="971"/>
        <w:gridCol w:w="971"/>
        <w:gridCol w:w="975"/>
      </w:tblGrid>
      <w:tr w:rsidR="00E378B5" w:rsidRPr="008F6653" w:rsidTr="00E378B5">
        <w:trPr>
          <w:jc w:val="center"/>
        </w:trPr>
        <w:tc>
          <w:tcPr>
            <w:tcW w:w="1667" w:type="pct"/>
          </w:tcPr>
          <w:p w:rsidR="00E378B5" w:rsidRPr="006C069D" w:rsidRDefault="00E378B5" w:rsidP="00E378B5">
            <w:pPr>
              <w:rPr>
                <w:rFonts w:ascii="Arial" w:hAnsi="Arial" w:cs="Arial"/>
                <w:b/>
                <w:sz w:val="22"/>
                <w:szCs w:val="22"/>
              </w:rPr>
            </w:pPr>
            <w:r w:rsidRPr="006C069D">
              <w:rPr>
                <w:rFonts w:ascii="Arial" w:hAnsi="Arial" w:cs="Arial"/>
                <w:b/>
                <w:sz w:val="22"/>
                <w:szCs w:val="22"/>
              </w:rPr>
              <w:t xml:space="preserve">Investment criteria </w:t>
            </w:r>
          </w:p>
        </w:tc>
        <w:tc>
          <w:tcPr>
            <w:tcW w:w="3333" w:type="pct"/>
            <w:gridSpan w:val="7"/>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 xml:space="preserve">Number of years from year of last investment </w:t>
            </w:r>
          </w:p>
        </w:tc>
      </w:tr>
      <w:tr w:rsidR="00E378B5" w:rsidRPr="008F6653" w:rsidTr="00E86ACB">
        <w:trPr>
          <w:jc w:val="center"/>
        </w:trPr>
        <w:tc>
          <w:tcPr>
            <w:tcW w:w="1667" w:type="pct"/>
          </w:tcPr>
          <w:p w:rsidR="00E378B5" w:rsidRPr="006C069D" w:rsidRDefault="00E378B5" w:rsidP="00E378B5">
            <w:pPr>
              <w:rPr>
                <w:rFonts w:ascii="Arial" w:hAnsi="Arial" w:cs="Arial"/>
                <w:sz w:val="22"/>
                <w:szCs w:val="22"/>
              </w:rPr>
            </w:pPr>
          </w:p>
        </w:tc>
        <w:tc>
          <w:tcPr>
            <w:tcW w:w="553"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0</w:t>
            </w:r>
          </w:p>
        </w:tc>
        <w:tc>
          <w:tcPr>
            <w:tcW w:w="398"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5</w:t>
            </w:r>
          </w:p>
        </w:tc>
        <w:tc>
          <w:tcPr>
            <w:tcW w:w="476"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10</w:t>
            </w:r>
          </w:p>
        </w:tc>
        <w:tc>
          <w:tcPr>
            <w:tcW w:w="476"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15</w:t>
            </w:r>
          </w:p>
        </w:tc>
        <w:tc>
          <w:tcPr>
            <w:tcW w:w="476"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20</w:t>
            </w:r>
          </w:p>
        </w:tc>
        <w:tc>
          <w:tcPr>
            <w:tcW w:w="476"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25</w:t>
            </w:r>
          </w:p>
        </w:tc>
        <w:tc>
          <w:tcPr>
            <w:tcW w:w="478"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30</w:t>
            </w:r>
          </w:p>
        </w:tc>
      </w:tr>
      <w:tr w:rsidR="00E378B5" w:rsidRPr="0065056A" w:rsidTr="00E86ACB">
        <w:trPr>
          <w:jc w:val="center"/>
        </w:trPr>
        <w:tc>
          <w:tcPr>
            <w:tcW w:w="1667"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Present value of benefits ($m)</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0.00</w:t>
            </w:r>
          </w:p>
        </w:tc>
        <w:tc>
          <w:tcPr>
            <w:tcW w:w="398"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3.84</w:t>
            </w:r>
          </w:p>
        </w:tc>
        <w:tc>
          <w:tcPr>
            <w:tcW w:w="476"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6.85</w:t>
            </w:r>
          </w:p>
        </w:tc>
        <w:tc>
          <w:tcPr>
            <w:tcW w:w="476"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9.21</w:t>
            </w:r>
          </w:p>
        </w:tc>
        <w:tc>
          <w:tcPr>
            <w:tcW w:w="476"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11.05</w:t>
            </w:r>
          </w:p>
        </w:tc>
        <w:tc>
          <w:tcPr>
            <w:tcW w:w="476"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12.50</w:t>
            </w:r>
          </w:p>
        </w:tc>
        <w:tc>
          <w:tcPr>
            <w:tcW w:w="478"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13.63</w:t>
            </w:r>
          </w:p>
        </w:tc>
      </w:tr>
      <w:tr w:rsidR="00E378B5" w:rsidRPr="0065056A" w:rsidTr="00E86ACB">
        <w:trPr>
          <w:jc w:val="center"/>
        </w:trPr>
        <w:tc>
          <w:tcPr>
            <w:tcW w:w="1667"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Present value of costs ($m)</w:t>
            </w:r>
          </w:p>
        </w:tc>
        <w:tc>
          <w:tcPr>
            <w:tcW w:w="553"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0.41</w:t>
            </w:r>
          </w:p>
        </w:tc>
        <w:tc>
          <w:tcPr>
            <w:tcW w:w="39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0.41</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0.41</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0.41</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0.41</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0.41</w:t>
            </w:r>
          </w:p>
        </w:tc>
        <w:tc>
          <w:tcPr>
            <w:tcW w:w="47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0.41</w:t>
            </w:r>
          </w:p>
        </w:tc>
      </w:tr>
      <w:tr w:rsidR="00E378B5" w:rsidRPr="0065056A" w:rsidTr="00E86ACB">
        <w:trPr>
          <w:jc w:val="center"/>
        </w:trPr>
        <w:tc>
          <w:tcPr>
            <w:tcW w:w="1667"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Net present value ($m)</w:t>
            </w:r>
          </w:p>
        </w:tc>
        <w:tc>
          <w:tcPr>
            <w:tcW w:w="553"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-0.41</w:t>
            </w:r>
          </w:p>
        </w:tc>
        <w:tc>
          <w:tcPr>
            <w:tcW w:w="39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3.43</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6.43</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8.79</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10.64</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12.09</w:t>
            </w:r>
          </w:p>
        </w:tc>
        <w:tc>
          <w:tcPr>
            <w:tcW w:w="47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13.22</w:t>
            </w:r>
          </w:p>
        </w:tc>
      </w:tr>
      <w:tr w:rsidR="00E378B5" w:rsidRPr="0065056A" w:rsidTr="00E86ACB">
        <w:trPr>
          <w:jc w:val="center"/>
        </w:trPr>
        <w:tc>
          <w:tcPr>
            <w:tcW w:w="1667"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Benefit-cost ratio</w:t>
            </w:r>
          </w:p>
        </w:tc>
        <w:tc>
          <w:tcPr>
            <w:tcW w:w="553"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0.00</w:t>
            </w:r>
          </w:p>
        </w:tc>
        <w:tc>
          <w:tcPr>
            <w:tcW w:w="39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9.27</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16.54</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22.23</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26.69</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30.19</w:t>
            </w:r>
          </w:p>
        </w:tc>
        <w:tc>
          <w:tcPr>
            <w:tcW w:w="47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32.93</w:t>
            </w:r>
          </w:p>
        </w:tc>
      </w:tr>
      <w:tr w:rsidR="00E378B5" w:rsidRPr="0065056A" w:rsidTr="00E86ACB">
        <w:trPr>
          <w:jc w:val="center"/>
        </w:trPr>
        <w:tc>
          <w:tcPr>
            <w:tcW w:w="1667"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Internal rate of return (IRR)</w:t>
            </w:r>
            <w:r>
              <w:rPr>
                <w:rFonts w:ascii="Arial" w:hAnsi="Arial" w:cs="Arial"/>
                <w:sz w:val="22"/>
                <w:szCs w:val="22"/>
              </w:rPr>
              <w:t xml:space="preserve"> (%)</w:t>
            </w:r>
          </w:p>
        </w:tc>
        <w:tc>
          <w:tcPr>
            <w:tcW w:w="553"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neg.</w:t>
            </w:r>
          </w:p>
        </w:tc>
        <w:tc>
          <w:tcPr>
            <w:tcW w:w="39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128.6</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130.1</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130.1</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130.1</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130.1</w:t>
            </w:r>
          </w:p>
        </w:tc>
        <w:tc>
          <w:tcPr>
            <w:tcW w:w="47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130.1</w:t>
            </w:r>
          </w:p>
        </w:tc>
      </w:tr>
      <w:tr w:rsidR="00E378B5" w:rsidRPr="0065056A" w:rsidTr="00E86ACB">
        <w:trPr>
          <w:trHeight w:val="195"/>
          <w:jc w:val="center"/>
        </w:trPr>
        <w:tc>
          <w:tcPr>
            <w:tcW w:w="1667" w:type="pct"/>
          </w:tcPr>
          <w:p w:rsidR="00E378B5" w:rsidRPr="000251F2" w:rsidRDefault="00E378B5" w:rsidP="00E378B5">
            <w:pPr>
              <w:widowControl w:val="0"/>
              <w:rPr>
                <w:rFonts w:ascii="Arial" w:hAnsi="Arial" w:cs="Arial"/>
                <w:sz w:val="22"/>
                <w:szCs w:val="22"/>
              </w:rPr>
            </w:pPr>
            <w:r w:rsidRPr="000251F2">
              <w:rPr>
                <w:rFonts w:ascii="Arial" w:hAnsi="Arial" w:cs="Arial"/>
                <w:sz w:val="22"/>
                <w:szCs w:val="22"/>
              </w:rPr>
              <w:t>Modified IRR</w:t>
            </w:r>
          </w:p>
        </w:tc>
        <w:tc>
          <w:tcPr>
            <w:tcW w:w="553" w:type="pct"/>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Pr>
                <w:rFonts w:ascii="Arial" w:hAnsi="Arial" w:cs="Arial"/>
                <w:sz w:val="22"/>
                <w:szCs w:val="22"/>
              </w:rPr>
              <w:t>neg.</w:t>
            </w:r>
          </w:p>
        </w:tc>
        <w:tc>
          <w:tcPr>
            <w:tcW w:w="39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63.9</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39.0</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29.1</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23.7</w:t>
            </w:r>
          </w:p>
        </w:tc>
        <w:tc>
          <w:tcPr>
            <w:tcW w:w="476"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20.3</w:t>
            </w:r>
          </w:p>
        </w:tc>
        <w:tc>
          <w:tcPr>
            <w:tcW w:w="478"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18.0</w:t>
            </w:r>
          </w:p>
        </w:tc>
      </w:tr>
    </w:tbl>
    <w:p w:rsidR="00E378B5" w:rsidRPr="00A0699E" w:rsidRDefault="00E378B5" w:rsidP="00E378B5">
      <w:pPr>
        <w:pStyle w:val="Caption"/>
        <w:jc w:val="center"/>
        <w:rPr>
          <w:rFonts w:ascii="Arial" w:hAnsi="Arial"/>
          <w:b w:val="0"/>
          <w:color w:val="000000" w:themeColor="text1"/>
          <w:sz w:val="22"/>
          <w:szCs w:val="22"/>
        </w:rPr>
      </w:pPr>
    </w:p>
    <w:p w:rsidR="00E378B5" w:rsidRPr="00E86ACB" w:rsidRDefault="00E378B5" w:rsidP="00E86ACB">
      <w:pPr>
        <w:pStyle w:val="Caption"/>
        <w:spacing w:after="240"/>
        <w:jc w:val="center"/>
        <w:rPr>
          <w:rFonts w:ascii="Arial" w:hAnsi="Arial"/>
          <w:b w:val="0"/>
          <w:color w:val="000000" w:themeColor="text1"/>
          <w:sz w:val="22"/>
          <w:szCs w:val="22"/>
        </w:rPr>
      </w:pPr>
      <w:r w:rsidRPr="00E86ACB">
        <w:rPr>
          <w:rFonts w:ascii="Arial" w:hAnsi="Arial"/>
          <w:b w:val="0"/>
          <w:color w:val="000000" w:themeColor="text1"/>
          <w:sz w:val="22"/>
          <w:szCs w:val="22"/>
        </w:rPr>
        <w:t xml:space="preserve">Table 9: Investment Criteria for FRDC Investment in the Project  </w:t>
      </w:r>
    </w:p>
    <w:tbl>
      <w:tblPr>
        <w:tblStyle w:val="TableGrid"/>
        <w:tblW w:w="5579" w:type="pct"/>
        <w:jc w:val="center"/>
        <w:tblLayout w:type="fixed"/>
        <w:tblLook w:val="04A0" w:firstRow="1" w:lastRow="0" w:firstColumn="1" w:lastColumn="0" w:noHBand="0" w:noVBand="1"/>
      </w:tblPr>
      <w:tblGrid>
        <w:gridCol w:w="3397"/>
        <w:gridCol w:w="896"/>
        <w:gridCol w:w="56"/>
        <w:gridCol w:w="952"/>
        <w:gridCol w:w="64"/>
        <w:gridCol w:w="887"/>
        <w:gridCol w:w="18"/>
        <w:gridCol w:w="905"/>
        <w:gridCol w:w="28"/>
        <w:gridCol w:w="877"/>
        <w:gridCol w:w="74"/>
        <w:gridCol w:w="831"/>
        <w:gridCol w:w="121"/>
        <w:gridCol w:w="954"/>
      </w:tblGrid>
      <w:tr w:rsidR="00E378B5" w:rsidRPr="008F6653" w:rsidTr="00E378B5">
        <w:trPr>
          <w:jc w:val="center"/>
        </w:trPr>
        <w:tc>
          <w:tcPr>
            <w:tcW w:w="1688" w:type="pct"/>
            <w:vMerge w:val="restart"/>
          </w:tcPr>
          <w:p w:rsidR="00E378B5" w:rsidRPr="006C069D" w:rsidRDefault="00E378B5" w:rsidP="00E378B5">
            <w:pPr>
              <w:rPr>
                <w:rFonts w:ascii="Arial" w:hAnsi="Arial" w:cs="Arial"/>
                <w:b/>
                <w:sz w:val="22"/>
                <w:szCs w:val="22"/>
              </w:rPr>
            </w:pPr>
            <w:r w:rsidRPr="006C069D">
              <w:rPr>
                <w:rFonts w:ascii="Arial" w:hAnsi="Arial" w:cs="Arial"/>
                <w:b/>
                <w:sz w:val="22"/>
                <w:szCs w:val="22"/>
              </w:rPr>
              <w:t xml:space="preserve">Investment criteria </w:t>
            </w:r>
          </w:p>
        </w:tc>
        <w:tc>
          <w:tcPr>
            <w:tcW w:w="3312" w:type="pct"/>
            <w:gridSpan w:val="13"/>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 xml:space="preserve">Number of years from year of last investment </w:t>
            </w:r>
          </w:p>
        </w:tc>
      </w:tr>
      <w:tr w:rsidR="00E378B5" w:rsidRPr="008F6653" w:rsidTr="00E378B5">
        <w:trPr>
          <w:jc w:val="center"/>
        </w:trPr>
        <w:tc>
          <w:tcPr>
            <w:tcW w:w="1688" w:type="pct"/>
            <w:vMerge/>
          </w:tcPr>
          <w:p w:rsidR="00E378B5" w:rsidRPr="006C069D" w:rsidRDefault="00E378B5" w:rsidP="00E378B5">
            <w:pPr>
              <w:rPr>
                <w:rFonts w:ascii="Arial" w:hAnsi="Arial" w:cs="Arial"/>
                <w:sz w:val="22"/>
                <w:szCs w:val="22"/>
              </w:rPr>
            </w:pPr>
          </w:p>
        </w:tc>
        <w:tc>
          <w:tcPr>
            <w:tcW w:w="445"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0</w:t>
            </w:r>
          </w:p>
        </w:tc>
        <w:tc>
          <w:tcPr>
            <w:tcW w:w="533" w:type="pct"/>
            <w:gridSpan w:val="3"/>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5</w:t>
            </w:r>
          </w:p>
        </w:tc>
        <w:tc>
          <w:tcPr>
            <w:tcW w:w="450" w:type="pct"/>
            <w:gridSpan w:val="2"/>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10</w:t>
            </w:r>
          </w:p>
        </w:tc>
        <w:tc>
          <w:tcPr>
            <w:tcW w:w="450" w:type="pct"/>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15</w:t>
            </w:r>
          </w:p>
        </w:tc>
        <w:tc>
          <w:tcPr>
            <w:tcW w:w="450" w:type="pct"/>
            <w:gridSpan w:val="2"/>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20</w:t>
            </w:r>
          </w:p>
        </w:tc>
        <w:tc>
          <w:tcPr>
            <w:tcW w:w="450" w:type="pct"/>
            <w:gridSpan w:val="2"/>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25</w:t>
            </w:r>
          </w:p>
        </w:tc>
        <w:tc>
          <w:tcPr>
            <w:tcW w:w="534" w:type="pct"/>
            <w:gridSpan w:val="2"/>
          </w:tcPr>
          <w:p w:rsidR="00E378B5" w:rsidRPr="006C069D" w:rsidRDefault="00E378B5" w:rsidP="00E378B5">
            <w:pPr>
              <w:jc w:val="center"/>
              <w:rPr>
                <w:rFonts w:ascii="Arial" w:hAnsi="Arial" w:cs="Arial"/>
                <w:b/>
                <w:sz w:val="22"/>
                <w:szCs w:val="22"/>
              </w:rPr>
            </w:pPr>
            <w:r w:rsidRPr="006C069D">
              <w:rPr>
                <w:rFonts w:ascii="Arial" w:hAnsi="Arial" w:cs="Arial"/>
                <w:b/>
                <w:sz w:val="22"/>
                <w:szCs w:val="22"/>
              </w:rPr>
              <w:t>30</w:t>
            </w:r>
          </w:p>
        </w:tc>
      </w:tr>
      <w:tr w:rsidR="00E378B5" w:rsidRPr="008F6653" w:rsidTr="00E378B5">
        <w:trPr>
          <w:jc w:val="center"/>
        </w:trPr>
        <w:tc>
          <w:tcPr>
            <w:tcW w:w="1688"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Present value of benefits ($m)</w:t>
            </w:r>
          </w:p>
        </w:tc>
        <w:tc>
          <w:tcPr>
            <w:tcW w:w="473" w:type="pct"/>
            <w:gridSpan w:val="2"/>
            <w:tcBorders>
              <w:top w:val="single" w:sz="4" w:space="0" w:color="auto"/>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0.00</w:t>
            </w:r>
          </w:p>
        </w:tc>
        <w:tc>
          <w:tcPr>
            <w:tcW w:w="473"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1.40</w:t>
            </w:r>
          </w:p>
        </w:tc>
        <w:tc>
          <w:tcPr>
            <w:tcW w:w="473" w:type="pct"/>
            <w:gridSpan w:val="2"/>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2.49</w:t>
            </w:r>
          </w:p>
        </w:tc>
        <w:tc>
          <w:tcPr>
            <w:tcW w:w="473" w:type="pct"/>
            <w:gridSpan w:val="3"/>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3.35</w:t>
            </w:r>
          </w:p>
        </w:tc>
        <w:tc>
          <w:tcPr>
            <w:tcW w:w="473" w:type="pct"/>
            <w:gridSpan w:val="2"/>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4.02</w:t>
            </w:r>
          </w:p>
        </w:tc>
        <w:tc>
          <w:tcPr>
            <w:tcW w:w="473" w:type="pct"/>
            <w:gridSpan w:val="2"/>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4.55</w:t>
            </w:r>
          </w:p>
        </w:tc>
        <w:tc>
          <w:tcPr>
            <w:tcW w:w="474" w:type="pct"/>
            <w:tcBorders>
              <w:top w:val="single" w:sz="4" w:space="0" w:color="auto"/>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4.96</w:t>
            </w:r>
          </w:p>
        </w:tc>
      </w:tr>
      <w:tr w:rsidR="00E378B5" w:rsidRPr="008F6653" w:rsidTr="00E378B5">
        <w:trPr>
          <w:jc w:val="center"/>
        </w:trPr>
        <w:tc>
          <w:tcPr>
            <w:tcW w:w="1688"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Present value of costs ($m)</w:t>
            </w:r>
          </w:p>
        </w:tc>
        <w:tc>
          <w:tcPr>
            <w:tcW w:w="473" w:type="pct"/>
            <w:gridSpan w:val="2"/>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0.15</w:t>
            </w:r>
          </w:p>
        </w:tc>
        <w:tc>
          <w:tcPr>
            <w:tcW w:w="473"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0.15</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0.15</w:t>
            </w:r>
          </w:p>
        </w:tc>
        <w:tc>
          <w:tcPr>
            <w:tcW w:w="473" w:type="pct"/>
            <w:gridSpan w:val="3"/>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0.15</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0.15</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0.15</w:t>
            </w:r>
          </w:p>
        </w:tc>
        <w:tc>
          <w:tcPr>
            <w:tcW w:w="47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0.15</w:t>
            </w:r>
          </w:p>
        </w:tc>
      </w:tr>
      <w:tr w:rsidR="00E378B5" w:rsidRPr="008F6653" w:rsidTr="00E378B5">
        <w:trPr>
          <w:jc w:val="center"/>
        </w:trPr>
        <w:tc>
          <w:tcPr>
            <w:tcW w:w="1688"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Net present value ($m)</w:t>
            </w:r>
          </w:p>
        </w:tc>
        <w:tc>
          <w:tcPr>
            <w:tcW w:w="473" w:type="pct"/>
            <w:gridSpan w:val="2"/>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-0.15</w:t>
            </w:r>
          </w:p>
        </w:tc>
        <w:tc>
          <w:tcPr>
            <w:tcW w:w="473"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1.25</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2.34</w:t>
            </w:r>
          </w:p>
        </w:tc>
        <w:tc>
          <w:tcPr>
            <w:tcW w:w="473" w:type="pct"/>
            <w:gridSpan w:val="3"/>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3.20</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3.87</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4.40</w:t>
            </w:r>
          </w:p>
        </w:tc>
        <w:tc>
          <w:tcPr>
            <w:tcW w:w="47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4.81</w:t>
            </w:r>
          </w:p>
        </w:tc>
      </w:tr>
      <w:tr w:rsidR="00E378B5" w:rsidRPr="008F6653" w:rsidTr="00E378B5">
        <w:trPr>
          <w:jc w:val="center"/>
        </w:trPr>
        <w:tc>
          <w:tcPr>
            <w:tcW w:w="1688" w:type="pct"/>
          </w:tcPr>
          <w:p w:rsidR="00E378B5" w:rsidRPr="00725E53" w:rsidRDefault="00E378B5" w:rsidP="00E378B5">
            <w:pPr>
              <w:widowControl w:val="0"/>
              <w:rPr>
                <w:rFonts w:ascii="Arial" w:hAnsi="Arial" w:cs="Arial"/>
                <w:sz w:val="22"/>
                <w:szCs w:val="22"/>
              </w:rPr>
            </w:pPr>
            <w:r w:rsidRPr="00725E53">
              <w:rPr>
                <w:rFonts w:eastAsiaTheme="minorHAnsi"/>
                <w:sz w:val="22"/>
                <w:szCs w:val="22"/>
                <w:lang w:eastAsia="en-US"/>
              </w:rPr>
              <w:br w:type="page"/>
            </w:r>
            <w:r w:rsidRPr="00725E53">
              <w:rPr>
                <w:rFonts w:ascii="Arial" w:hAnsi="Arial" w:cs="Arial"/>
                <w:sz w:val="22"/>
                <w:szCs w:val="22"/>
              </w:rPr>
              <w:t>Benefit-cost ratio</w:t>
            </w:r>
          </w:p>
        </w:tc>
        <w:tc>
          <w:tcPr>
            <w:tcW w:w="473" w:type="pct"/>
            <w:gridSpan w:val="2"/>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0.00</w:t>
            </w:r>
          </w:p>
        </w:tc>
        <w:tc>
          <w:tcPr>
            <w:tcW w:w="473"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9.33</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16.64</w:t>
            </w:r>
          </w:p>
        </w:tc>
        <w:tc>
          <w:tcPr>
            <w:tcW w:w="473" w:type="pct"/>
            <w:gridSpan w:val="3"/>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22.37</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26.86</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30.37</w:t>
            </w:r>
          </w:p>
        </w:tc>
        <w:tc>
          <w:tcPr>
            <w:tcW w:w="47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33.13</w:t>
            </w:r>
          </w:p>
        </w:tc>
      </w:tr>
      <w:tr w:rsidR="00E378B5" w:rsidRPr="008F6653" w:rsidTr="00E378B5">
        <w:trPr>
          <w:jc w:val="center"/>
        </w:trPr>
        <w:tc>
          <w:tcPr>
            <w:tcW w:w="1688"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Internal rate of return (IRR) (%)</w:t>
            </w:r>
          </w:p>
        </w:tc>
        <w:tc>
          <w:tcPr>
            <w:tcW w:w="473" w:type="pct"/>
            <w:gridSpan w:val="2"/>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neg.</w:t>
            </w:r>
          </w:p>
        </w:tc>
        <w:tc>
          <w:tcPr>
            <w:tcW w:w="473"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138.7</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140.0</w:t>
            </w:r>
          </w:p>
        </w:tc>
        <w:tc>
          <w:tcPr>
            <w:tcW w:w="473" w:type="pct"/>
            <w:gridSpan w:val="3"/>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140.0</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140.0</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140.0</w:t>
            </w:r>
          </w:p>
        </w:tc>
        <w:tc>
          <w:tcPr>
            <w:tcW w:w="47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sz w:val="22"/>
                <w:szCs w:val="22"/>
              </w:rPr>
            </w:pPr>
            <w:r w:rsidRPr="00EB54A0">
              <w:rPr>
                <w:rFonts w:ascii="Arial" w:hAnsi="Arial" w:cs="Arial"/>
                <w:sz w:val="22"/>
                <w:szCs w:val="22"/>
              </w:rPr>
              <w:t>140.0</w:t>
            </w:r>
          </w:p>
        </w:tc>
      </w:tr>
      <w:tr w:rsidR="00E378B5" w:rsidRPr="008F6653" w:rsidTr="00E378B5">
        <w:trPr>
          <w:jc w:val="center"/>
        </w:trPr>
        <w:tc>
          <w:tcPr>
            <w:tcW w:w="1688" w:type="pct"/>
          </w:tcPr>
          <w:p w:rsidR="00E378B5" w:rsidRPr="00725E53" w:rsidRDefault="00E378B5" w:rsidP="00E378B5">
            <w:pPr>
              <w:widowControl w:val="0"/>
              <w:rPr>
                <w:rFonts w:ascii="Arial" w:hAnsi="Arial" w:cs="Arial"/>
                <w:sz w:val="22"/>
                <w:szCs w:val="22"/>
              </w:rPr>
            </w:pPr>
            <w:r w:rsidRPr="00725E53">
              <w:rPr>
                <w:rFonts w:ascii="Arial" w:hAnsi="Arial" w:cs="Arial"/>
                <w:sz w:val="22"/>
                <w:szCs w:val="22"/>
              </w:rPr>
              <w:t>Modified IRR (%)</w:t>
            </w:r>
          </w:p>
        </w:tc>
        <w:tc>
          <w:tcPr>
            <w:tcW w:w="473" w:type="pct"/>
            <w:gridSpan w:val="2"/>
            <w:tcBorders>
              <w:top w:val="nil"/>
              <w:left w:val="single" w:sz="4" w:space="0" w:color="auto"/>
              <w:bottom w:val="single" w:sz="4" w:space="0" w:color="auto"/>
              <w:right w:val="single" w:sz="4" w:space="0" w:color="auto"/>
            </w:tcBorders>
            <w:shd w:val="clear" w:color="auto" w:fill="auto"/>
          </w:tcPr>
          <w:p w:rsidR="00E378B5" w:rsidRPr="00EB54A0" w:rsidRDefault="00E378B5" w:rsidP="00E378B5">
            <w:pPr>
              <w:jc w:val="right"/>
              <w:rPr>
                <w:rFonts w:ascii="Arial" w:hAnsi="Arial" w:cs="Arial"/>
                <w:color w:val="FF0000"/>
                <w:sz w:val="22"/>
                <w:szCs w:val="22"/>
              </w:rPr>
            </w:pPr>
            <w:r w:rsidRPr="00EB54A0">
              <w:rPr>
                <w:rFonts w:ascii="Arial" w:hAnsi="Arial" w:cs="Arial"/>
                <w:sz w:val="22"/>
                <w:szCs w:val="22"/>
              </w:rPr>
              <w:t>neg.</w:t>
            </w:r>
          </w:p>
        </w:tc>
        <w:tc>
          <w:tcPr>
            <w:tcW w:w="473"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color w:val="FF0000"/>
                <w:sz w:val="22"/>
                <w:szCs w:val="22"/>
              </w:rPr>
            </w:pPr>
            <w:r w:rsidRPr="00EB54A0">
              <w:rPr>
                <w:rFonts w:ascii="Arial" w:hAnsi="Arial" w:cs="Arial"/>
                <w:sz w:val="22"/>
                <w:szCs w:val="22"/>
              </w:rPr>
              <w:t>64.1</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color w:val="FF0000"/>
                <w:sz w:val="22"/>
                <w:szCs w:val="22"/>
              </w:rPr>
            </w:pPr>
            <w:r w:rsidRPr="00EB54A0">
              <w:rPr>
                <w:rFonts w:ascii="Arial" w:hAnsi="Arial" w:cs="Arial"/>
                <w:sz w:val="22"/>
                <w:szCs w:val="22"/>
              </w:rPr>
              <w:t>39.0</w:t>
            </w:r>
          </w:p>
        </w:tc>
        <w:tc>
          <w:tcPr>
            <w:tcW w:w="473" w:type="pct"/>
            <w:gridSpan w:val="3"/>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color w:val="FF0000"/>
                <w:sz w:val="22"/>
                <w:szCs w:val="22"/>
              </w:rPr>
            </w:pPr>
            <w:r w:rsidRPr="00EB54A0">
              <w:rPr>
                <w:rFonts w:ascii="Arial" w:hAnsi="Arial" w:cs="Arial"/>
                <w:sz w:val="22"/>
                <w:szCs w:val="22"/>
              </w:rPr>
              <w:t>29.1</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color w:val="FF0000"/>
                <w:sz w:val="22"/>
                <w:szCs w:val="22"/>
              </w:rPr>
            </w:pPr>
            <w:r w:rsidRPr="00EB54A0">
              <w:rPr>
                <w:rFonts w:ascii="Arial" w:hAnsi="Arial" w:cs="Arial"/>
                <w:sz w:val="22"/>
                <w:szCs w:val="22"/>
              </w:rPr>
              <w:t>23.8</w:t>
            </w:r>
          </w:p>
        </w:tc>
        <w:tc>
          <w:tcPr>
            <w:tcW w:w="473" w:type="pct"/>
            <w:gridSpan w:val="2"/>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color w:val="FF0000"/>
                <w:sz w:val="22"/>
                <w:szCs w:val="22"/>
              </w:rPr>
            </w:pPr>
            <w:r w:rsidRPr="00EB54A0">
              <w:rPr>
                <w:rFonts w:ascii="Arial" w:hAnsi="Arial" w:cs="Arial"/>
                <w:sz w:val="22"/>
                <w:szCs w:val="22"/>
              </w:rPr>
              <w:t>20.4</w:t>
            </w:r>
          </w:p>
        </w:tc>
        <w:tc>
          <w:tcPr>
            <w:tcW w:w="474" w:type="pct"/>
            <w:tcBorders>
              <w:top w:val="nil"/>
              <w:left w:val="nil"/>
              <w:bottom w:val="single" w:sz="4" w:space="0" w:color="auto"/>
              <w:right w:val="single" w:sz="4" w:space="0" w:color="auto"/>
            </w:tcBorders>
            <w:shd w:val="clear" w:color="auto" w:fill="auto"/>
          </w:tcPr>
          <w:p w:rsidR="00E378B5" w:rsidRPr="00EB54A0" w:rsidRDefault="00E378B5" w:rsidP="00E378B5">
            <w:pPr>
              <w:jc w:val="right"/>
              <w:rPr>
                <w:rFonts w:ascii="Arial" w:hAnsi="Arial" w:cs="Arial"/>
                <w:color w:val="FF0000"/>
                <w:sz w:val="22"/>
                <w:szCs w:val="22"/>
              </w:rPr>
            </w:pPr>
            <w:r w:rsidRPr="00EB54A0">
              <w:rPr>
                <w:rFonts w:ascii="Arial" w:hAnsi="Arial" w:cs="Arial"/>
                <w:sz w:val="22"/>
                <w:szCs w:val="22"/>
              </w:rPr>
              <w:t>18.0</w:t>
            </w:r>
          </w:p>
        </w:tc>
      </w:tr>
    </w:tbl>
    <w:p w:rsidR="00E378B5" w:rsidRDefault="00E378B5" w:rsidP="00A0699E">
      <w:pPr>
        <w:spacing w:before="240" w:after="240"/>
        <w:rPr>
          <w:rFonts w:ascii="Arial" w:hAnsi="Arial" w:cs="Arial"/>
        </w:rPr>
      </w:pPr>
      <w:r w:rsidRPr="006C069D">
        <w:rPr>
          <w:rFonts w:ascii="Arial" w:hAnsi="Arial" w:cs="Arial"/>
        </w:rPr>
        <w:t xml:space="preserve">The annual undiscounted benefit and cost cash flows for the total investment for the duration of investment period plus 30 years from the last year of investment are shown in Figure </w:t>
      </w:r>
      <w:r>
        <w:rPr>
          <w:rFonts w:ascii="Arial" w:hAnsi="Arial" w:cs="Arial"/>
        </w:rPr>
        <w:t>4</w:t>
      </w:r>
      <w:r w:rsidRPr="006C069D">
        <w:rPr>
          <w:rFonts w:ascii="Arial" w:hAnsi="Arial" w:cs="Arial"/>
        </w:rPr>
        <w:t xml:space="preserve">. </w:t>
      </w:r>
    </w:p>
    <w:p w:rsidR="00E378B5" w:rsidRPr="00E86ACB" w:rsidRDefault="00E378B5" w:rsidP="00E86ACB">
      <w:pPr>
        <w:pStyle w:val="Caption"/>
        <w:spacing w:after="240"/>
        <w:jc w:val="center"/>
        <w:rPr>
          <w:rFonts w:ascii="Arial" w:hAnsi="Arial"/>
          <w:b w:val="0"/>
          <w:color w:val="000000" w:themeColor="text1"/>
          <w:sz w:val="22"/>
          <w:szCs w:val="22"/>
        </w:rPr>
      </w:pPr>
      <w:bookmarkStart w:id="130" w:name="_Toc442159315"/>
      <w:bookmarkStart w:id="131" w:name="_Toc465434041"/>
      <w:bookmarkStart w:id="132" w:name="_Toc476387762"/>
      <w:r w:rsidRPr="00E86ACB">
        <w:rPr>
          <w:rFonts w:ascii="Arial" w:hAnsi="Arial"/>
          <w:b w:val="0"/>
          <w:color w:val="000000" w:themeColor="text1"/>
          <w:sz w:val="22"/>
          <w:szCs w:val="22"/>
        </w:rPr>
        <w:t xml:space="preserve">Figure </w:t>
      </w:r>
      <w:r w:rsidRPr="00E86ACB">
        <w:rPr>
          <w:rFonts w:ascii="Arial" w:hAnsi="Arial"/>
          <w:b w:val="0"/>
          <w:color w:val="000000" w:themeColor="text1"/>
          <w:sz w:val="22"/>
          <w:szCs w:val="22"/>
        </w:rPr>
        <w:fldChar w:fldCharType="begin"/>
      </w:r>
      <w:r w:rsidRPr="00E86ACB">
        <w:rPr>
          <w:rFonts w:ascii="Arial" w:hAnsi="Arial"/>
          <w:b w:val="0"/>
          <w:color w:val="000000" w:themeColor="text1"/>
          <w:sz w:val="22"/>
          <w:szCs w:val="22"/>
        </w:rPr>
        <w:instrText xml:space="preserve"> SEQ Figure \* ARABIC </w:instrText>
      </w:r>
      <w:r w:rsidRPr="00E86ACB">
        <w:rPr>
          <w:rFonts w:ascii="Arial" w:hAnsi="Arial"/>
          <w:b w:val="0"/>
          <w:color w:val="000000" w:themeColor="text1"/>
          <w:sz w:val="22"/>
          <w:szCs w:val="22"/>
        </w:rPr>
        <w:fldChar w:fldCharType="separate"/>
      </w:r>
      <w:r w:rsidR="00DF217D">
        <w:rPr>
          <w:rFonts w:ascii="Arial" w:hAnsi="Arial"/>
          <w:b w:val="0"/>
          <w:noProof/>
          <w:color w:val="000000" w:themeColor="text1"/>
          <w:sz w:val="22"/>
          <w:szCs w:val="22"/>
        </w:rPr>
        <w:t>4</w:t>
      </w:r>
      <w:r w:rsidRPr="00E86ACB">
        <w:rPr>
          <w:rFonts w:ascii="Arial" w:hAnsi="Arial"/>
          <w:b w:val="0"/>
          <w:color w:val="000000" w:themeColor="text1"/>
          <w:sz w:val="22"/>
          <w:szCs w:val="22"/>
        </w:rPr>
        <w:fldChar w:fldCharType="end"/>
      </w:r>
      <w:r w:rsidRPr="00E86ACB">
        <w:rPr>
          <w:rFonts w:ascii="Arial" w:hAnsi="Arial"/>
          <w:b w:val="0"/>
          <w:color w:val="000000" w:themeColor="text1"/>
          <w:sz w:val="22"/>
          <w:szCs w:val="22"/>
        </w:rPr>
        <w:t>: Annual Cash Flow of Undiscounted Total Benefits and Total Costs</w:t>
      </w:r>
      <w:bookmarkEnd w:id="130"/>
      <w:bookmarkEnd w:id="131"/>
      <w:bookmarkEnd w:id="132"/>
    </w:p>
    <w:p w:rsidR="00E378B5" w:rsidRDefault="00E378B5" w:rsidP="00E86ACB">
      <w:pPr>
        <w:rPr>
          <w:rFonts w:ascii="Arial" w:hAnsi="Arial"/>
          <w:i/>
          <w:color w:val="FF0000"/>
          <w:szCs w:val="22"/>
        </w:rPr>
      </w:pPr>
      <w:r w:rsidRPr="00EB54A0">
        <w:rPr>
          <w:noProof/>
          <w:lang w:eastAsia="en-AU"/>
        </w:rPr>
        <w:drawing>
          <wp:inline distT="0" distB="0" distL="0" distR="0" wp14:anchorId="57FF3A17" wp14:editId="75647C2A">
            <wp:extent cx="5731510" cy="2913702"/>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913702"/>
                    </a:xfrm>
                    <a:prstGeom prst="rect">
                      <a:avLst/>
                    </a:prstGeom>
                    <a:noFill/>
                    <a:ln>
                      <a:noFill/>
                    </a:ln>
                  </pic:spPr>
                </pic:pic>
              </a:graphicData>
            </a:graphic>
          </wp:inline>
        </w:drawing>
      </w:r>
    </w:p>
    <w:p w:rsidR="00E378B5" w:rsidRDefault="00E378B5" w:rsidP="00E86ACB"/>
    <w:p w:rsidR="00A0699E" w:rsidRDefault="00A0699E" w:rsidP="00E86ACB"/>
    <w:p w:rsidR="00E378B5" w:rsidRPr="00D50C47" w:rsidRDefault="00E378B5" w:rsidP="00A0699E">
      <w:pPr>
        <w:spacing w:after="240"/>
        <w:rPr>
          <w:rFonts w:ascii="Arial" w:hAnsi="Arial" w:cs="Arial"/>
          <w:b/>
          <w:sz w:val="24"/>
        </w:rPr>
      </w:pPr>
      <w:r w:rsidRPr="00D50C47">
        <w:rPr>
          <w:rFonts w:ascii="Arial" w:hAnsi="Arial" w:cs="Arial"/>
          <w:b/>
          <w:sz w:val="24"/>
        </w:rPr>
        <w:t>Sources of Benefits</w:t>
      </w:r>
      <w:r>
        <w:rPr>
          <w:rFonts w:ascii="Arial" w:hAnsi="Arial" w:cs="Arial"/>
          <w:b/>
          <w:sz w:val="24"/>
        </w:rPr>
        <w:t xml:space="preserve"> for Base Counterfactual </w:t>
      </w:r>
    </w:p>
    <w:p w:rsidR="00E378B5" w:rsidRPr="00D50C47" w:rsidRDefault="00E378B5" w:rsidP="00A0699E">
      <w:pPr>
        <w:spacing w:after="240"/>
        <w:rPr>
          <w:rFonts w:ascii="Arial" w:hAnsi="Arial" w:cs="Arial"/>
        </w:rPr>
      </w:pPr>
      <w:r w:rsidRPr="00D50C47">
        <w:rPr>
          <w:rFonts w:ascii="Arial" w:hAnsi="Arial" w:cs="Arial"/>
        </w:rPr>
        <w:t>Estimates of the relative contribution</w:t>
      </w:r>
      <w:r>
        <w:rPr>
          <w:rFonts w:ascii="Arial" w:hAnsi="Arial" w:cs="Arial"/>
        </w:rPr>
        <w:t xml:space="preserve"> of each benefit valued,</w:t>
      </w:r>
      <w:r w:rsidRPr="00D50C47">
        <w:rPr>
          <w:rFonts w:ascii="Arial" w:hAnsi="Arial" w:cs="Arial"/>
        </w:rPr>
        <w:t xml:space="preserve"> given the assumptions made</w:t>
      </w:r>
      <w:r>
        <w:rPr>
          <w:rFonts w:ascii="Arial" w:hAnsi="Arial" w:cs="Arial"/>
        </w:rPr>
        <w:t>,</w:t>
      </w:r>
      <w:r w:rsidRPr="00D50C47">
        <w:rPr>
          <w:rFonts w:ascii="Arial" w:hAnsi="Arial" w:cs="Arial"/>
        </w:rPr>
        <w:t xml:space="preserve"> are shown in Table </w:t>
      </w:r>
      <w:r>
        <w:rPr>
          <w:rFonts w:ascii="Arial" w:hAnsi="Arial" w:cs="Arial"/>
        </w:rPr>
        <w:t>10</w:t>
      </w:r>
      <w:r w:rsidRPr="00D50C47">
        <w:rPr>
          <w:rFonts w:ascii="Arial" w:hAnsi="Arial" w:cs="Arial"/>
        </w:rPr>
        <w:t>.</w:t>
      </w:r>
    </w:p>
    <w:p w:rsidR="00E378B5" w:rsidRPr="00E86ACB" w:rsidRDefault="00E378B5" w:rsidP="00E86ACB">
      <w:pPr>
        <w:pStyle w:val="Caption"/>
        <w:spacing w:after="240"/>
        <w:jc w:val="center"/>
        <w:rPr>
          <w:rFonts w:ascii="Arial" w:hAnsi="Arial"/>
          <w:b w:val="0"/>
          <w:i/>
          <w:color w:val="000000" w:themeColor="text1"/>
          <w:sz w:val="22"/>
          <w:szCs w:val="22"/>
        </w:rPr>
      </w:pPr>
      <w:r w:rsidRPr="00E86ACB">
        <w:rPr>
          <w:rFonts w:ascii="Arial" w:hAnsi="Arial"/>
          <w:b w:val="0"/>
          <w:color w:val="000000" w:themeColor="text1"/>
          <w:sz w:val="22"/>
          <w:szCs w:val="22"/>
        </w:rPr>
        <w:t>Table 10: Contribution to Total Benefits from Each Source</w:t>
      </w:r>
    </w:p>
    <w:tbl>
      <w:tblPr>
        <w:tblStyle w:val="TableGrid"/>
        <w:tblW w:w="7366" w:type="dxa"/>
        <w:jc w:val="center"/>
        <w:tblLook w:val="04A0" w:firstRow="1" w:lastRow="0" w:firstColumn="1" w:lastColumn="0" w:noHBand="0" w:noVBand="1"/>
      </w:tblPr>
      <w:tblGrid>
        <w:gridCol w:w="4111"/>
        <w:gridCol w:w="1696"/>
        <w:gridCol w:w="1559"/>
      </w:tblGrid>
      <w:tr w:rsidR="00E378B5" w:rsidRPr="00D50C47" w:rsidTr="00A0699E">
        <w:trPr>
          <w:jc w:val="center"/>
        </w:trPr>
        <w:tc>
          <w:tcPr>
            <w:tcW w:w="4111" w:type="dxa"/>
          </w:tcPr>
          <w:p w:rsidR="00E378B5" w:rsidRPr="00D50C47" w:rsidRDefault="00E378B5" w:rsidP="00E378B5">
            <w:pPr>
              <w:rPr>
                <w:rFonts w:ascii="Arial" w:hAnsi="Arial" w:cs="Arial"/>
                <w:b/>
                <w:sz w:val="22"/>
                <w:szCs w:val="22"/>
              </w:rPr>
            </w:pPr>
            <w:r w:rsidRPr="00D50C47">
              <w:rPr>
                <w:rFonts w:ascii="Arial" w:hAnsi="Arial" w:cs="Arial"/>
                <w:b/>
                <w:sz w:val="22"/>
                <w:szCs w:val="22"/>
              </w:rPr>
              <w:t>Source of Benefits</w:t>
            </w:r>
          </w:p>
        </w:tc>
        <w:tc>
          <w:tcPr>
            <w:tcW w:w="1696" w:type="dxa"/>
          </w:tcPr>
          <w:p w:rsidR="00E378B5" w:rsidRPr="00D50C47" w:rsidRDefault="00E378B5" w:rsidP="00E378B5">
            <w:pPr>
              <w:jc w:val="center"/>
              <w:rPr>
                <w:rFonts w:ascii="Arial" w:hAnsi="Arial" w:cs="Arial"/>
                <w:b/>
                <w:sz w:val="22"/>
                <w:szCs w:val="22"/>
              </w:rPr>
            </w:pPr>
            <w:r w:rsidRPr="00D50C47">
              <w:rPr>
                <w:rFonts w:ascii="Arial" w:hAnsi="Arial" w:cs="Arial"/>
                <w:b/>
                <w:sz w:val="22"/>
                <w:szCs w:val="22"/>
              </w:rPr>
              <w:t>Contribution to PVB ($m)</w:t>
            </w:r>
          </w:p>
        </w:tc>
        <w:tc>
          <w:tcPr>
            <w:tcW w:w="1559" w:type="dxa"/>
          </w:tcPr>
          <w:p w:rsidR="00E378B5" w:rsidRPr="00D50C47" w:rsidRDefault="00E378B5" w:rsidP="00E378B5">
            <w:pPr>
              <w:jc w:val="center"/>
              <w:rPr>
                <w:rFonts w:ascii="Arial" w:hAnsi="Arial" w:cs="Arial"/>
                <w:b/>
                <w:sz w:val="22"/>
                <w:szCs w:val="22"/>
              </w:rPr>
            </w:pPr>
            <w:r w:rsidRPr="00D50C47">
              <w:rPr>
                <w:rFonts w:ascii="Arial" w:hAnsi="Arial" w:cs="Arial"/>
                <w:b/>
                <w:sz w:val="22"/>
                <w:szCs w:val="22"/>
              </w:rPr>
              <w:t>Share of benefits (%)</w:t>
            </w:r>
          </w:p>
        </w:tc>
      </w:tr>
      <w:tr w:rsidR="00E378B5" w:rsidRPr="00D50C47" w:rsidTr="00A0699E">
        <w:trPr>
          <w:jc w:val="center"/>
        </w:trPr>
        <w:tc>
          <w:tcPr>
            <w:tcW w:w="4111" w:type="dxa"/>
          </w:tcPr>
          <w:p w:rsidR="00E378B5" w:rsidRPr="00D50C47" w:rsidRDefault="00E378B5" w:rsidP="00E378B5">
            <w:pPr>
              <w:rPr>
                <w:rFonts w:ascii="Arial" w:hAnsi="Arial" w:cs="Arial"/>
                <w:sz w:val="22"/>
                <w:szCs w:val="22"/>
              </w:rPr>
            </w:pPr>
            <w:r>
              <w:rPr>
                <w:rFonts w:ascii="Arial" w:hAnsi="Arial" w:cs="Arial"/>
                <w:sz w:val="22"/>
                <w:szCs w:val="22"/>
              </w:rPr>
              <w:t xml:space="preserve">Reduced downgrading in SFM supply chains (Benefit 1) </w:t>
            </w:r>
          </w:p>
        </w:tc>
        <w:tc>
          <w:tcPr>
            <w:tcW w:w="1696" w:type="dxa"/>
          </w:tcPr>
          <w:p w:rsidR="00E378B5" w:rsidRPr="00EB54A0" w:rsidRDefault="00E378B5" w:rsidP="00E378B5">
            <w:pPr>
              <w:jc w:val="center"/>
              <w:rPr>
                <w:rFonts w:ascii="Arial" w:hAnsi="Arial" w:cs="Arial"/>
                <w:sz w:val="22"/>
                <w:szCs w:val="22"/>
              </w:rPr>
            </w:pPr>
            <w:r w:rsidRPr="00EB54A0">
              <w:rPr>
                <w:rFonts w:ascii="Arial" w:hAnsi="Arial" w:cs="Arial"/>
                <w:sz w:val="22"/>
                <w:szCs w:val="22"/>
              </w:rPr>
              <w:t>7.88</w:t>
            </w:r>
          </w:p>
        </w:tc>
        <w:tc>
          <w:tcPr>
            <w:tcW w:w="1559" w:type="dxa"/>
          </w:tcPr>
          <w:p w:rsidR="00E378B5" w:rsidRPr="00EB54A0" w:rsidRDefault="00E378B5" w:rsidP="00E378B5">
            <w:pPr>
              <w:jc w:val="center"/>
              <w:rPr>
                <w:rFonts w:ascii="Arial" w:hAnsi="Arial" w:cs="Arial"/>
                <w:sz w:val="22"/>
                <w:szCs w:val="22"/>
              </w:rPr>
            </w:pPr>
            <w:r w:rsidRPr="00EB54A0">
              <w:rPr>
                <w:rFonts w:ascii="Arial" w:hAnsi="Arial" w:cs="Arial"/>
                <w:sz w:val="22"/>
                <w:szCs w:val="22"/>
              </w:rPr>
              <w:t>38.2</w:t>
            </w:r>
          </w:p>
        </w:tc>
      </w:tr>
      <w:tr w:rsidR="00E378B5" w:rsidRPr="00D50C47" w:rsidTr="00A0699E">
        <w:trPr>
          <w:jc w:val="center"/>
        </w:trPr>
        <w:tc>
          <w:tcPr>
            <w:tcW w:w="4111" w:type="dxa"/>
          </w:tcPr>
          <w:p w:rsidR="00E378B5" w:rsidRPr="00D50C47" w:rsidRDefault="00E378B5" w:rsidP="00E378B5">
            <w:pPr>
              <w:rPr>
                <w:rFonts w:ascii="Arial" w:hAnsi="Arial" w:cs="Arial"/>
                <w:sz w:val="22"/>
                <w:szCs w:val="22"/>
              </w:rPr>
            </w:pPr>
            <w:r>
              <w:rPr>
                <w:rFonts w:ascii="Arial" w:hAnsi="Arial" w:cs="Arial"/>
                <w:sz w:val="22"/>
                <w:szCs w:val="22"/>
              </w:rPr>
              <w:t xml:space="preserve">Reduced downgrading in Non-SFM supply chains (Benefit 2)  </w:t>
            </w:r>
          </w:p>
        </w:tc>
        <w:tc>
          <w:tcPr>
            <w:tcW w:w="1696" w:type="dxa"/>
          </w:tcPr>
          <w:p w:rsidR="00E378B5" w:rsidRPr="00EB54A0" w:rsidRDefault="00E378B5" w:rsidP="00E378B5">
            <w:pPr>
              <w:jc w:val="center"/>
              <w:rPr>
                <w:rFonts w:ascii="Arial" w:hAnsi="Arial" w:cs="Arial"/>
                <w:sz w:val="22"/>
                <w:szCs w:val="22"/>
              </w:rPr>
            </w:pPr>
            <w:r w:rsidRPr="00EB54A0">
              <w:rPr>
                <w:rFonts w:ascii="Arial" w:hAnsi="Arial" w:cs="Arial"/>
                <w:sz w:val="22"/>
                <w:szCs w:val="22"/>
              </w:rPr>
              <w:t>12.77</w:t>
            </w:r>
          </w:p>
        </w:tc>
        <w:tc>
          <w:tcPr>
            <w:tcW w:w="1559" w:type="dxa"/>
          </w:tcPr>
          <w:p w:rsidR="00E378B5" w:rsidRPr="00EB54A0" w:rsidRDefault="00E378B5" w:rsidP="00E378B5">
            <w:pPr>
              <w:jc w:val="center"/>
              <w:rPr>
                <w:rFonts w:ascii="Arial" w:hAnsi="Arial" w:cs="Arial"/>
                <w:sz w:val="22"/>
                <w:szCs w:val="22"/>
              </w:rPr>
            </w:pPr>
            <w:r w:rsidRPr="00EB54A0">
              <w:rPr>
                <w:rFonts w:ascii="Arial" w:hAnsi="Arial" w:cs="Arial"/>
                <w:sz w:val="22"/>
                <w:szCs w:val="22"/>
              </w:rPr>
              <w:t>61.8</w:t>
            </w:r>
          </w:p>
        </w:tc>
      </w:tr>
      <w:tr w:rsidR="00E378B5" w:rsidRPr="00D50C47" w:rsidTr="00A0699E">
        <w:trPr>
          <w:jc w:val="center"/>
        </w:trPr>
        <w:tc>
          <w:tcPr>
            <w:tcW w:w="4111" w:type="dxa"/>
          </w:tcPr>
          <w:p w:rsidR="00E378B5" w:rsidRPr="00D50C47" w:rsidRDefault="00E378B5" w:rsidP="00E378B5">
            <w:pPr>
              <w:rPr>
                <w:rFonts w:ascii="Arial" w:hAnsi="Arial" w:cs="Arial"/>
                <w:sz w:val="22"/>
                <w:szCs w:val="22"/>
              </w:rPr>
            </w:pPr>
            <w:r w:rsidRPr="00D50C47">
              <w:rPr>
                <w:rFonts w:ascii="Arial" w:hAnsi="Arial" w:cs="Arial"/>
                <w:sz w:val="22"/>
                <w:szCs w:val="22"/>
              </w:rPr>
              <w:t>Total</w:t>
            </w:r>
          </w:p>
        </w:tc>
        <w:tc>
          <w:tcPr>
            <w:tcW w:w="1696" w:type="dxa"/>
          </w:tcPr>
          <w:p w:rsidR="00E378B5" w:rsidRPr="00EB54A0" w:rsidRDefault="00E378B5" w:rsidP="00E378B5">
            <w:pPr>
              <w:jc w:val="center"/>
              <w:rPr>
                <w:rFonts w:ascii="Arial" w:hAnsi="Arial" w:cs="Arial"/>
                <w:sz w:val="22"/>
                <w:szCs w:val="22"/>
              </w:rPr>
            </w:pPr>
            <w:r w:rsidRPr="00EB54A0">
              <w:rPr>
                <w:rFonts w:ascii="Arial" w:hAnsi="Arial" w:cs="Arial"/>
                <w:sz w:val="22"/>
                <w:szCs w:val="22"/>
              </w:rPr>
              <w:t>20.65</w:t>
            </w:r>
          </w:p>
        </w:tc>
        <w:tc>
          <w:tcPr>
            <w:tcW w:w="1559" w:type="dxa"/>
          </w:tcPr>
          <w:p w:rsidR="00E378B5" w:rsidRPr="00EB54A0" w:rsidRDefault="00E378B5" w:rsidP="00E378B5">
            <w:pPr>
              <w:jc w:val="center"/>
              <w:rPr>
                <w:rFonts w:ascii="Arial" w:hAnsi="Arial" w:cs="Arial"/>
                <w:sz w:val="22"/>
                <w:szCs w:val="22"/>
              </w:rPr>
            </w:pPr>
            <w:r w:rsidRPr="00EB54A0">
              <w:rPr>
                <w:rFonts w:ascii="Arial" w:hAnsi="Arial" w:cs="Arial"/>
                <w:sz w:val="22"/>
                <w:szCs w:val="22"/>
              </w:rPr>
              <w:t>100.0</w:t>
            </w:r>
          </w:p>
        </w:tc>
      </w:tr>
    </w:tbl>
    <w:p w:rsidR="00E378B5" w:rsidRDefault="00E378B5" w:rsidP="003147F5"/>
    <w:p w:rsidR="003147F5" w:rsidRPr="00D50C47" w:rsidRDefault="003147F5" w:rsidP="003147F5"/>
    <w:p w:rsidR="00E378B5" w:rsidRPr="00D50C47" w:rsidRDefault="00E378B5" w:rsidP="00A0699E">
      <w:pPr>
        <w:spacing w:after="240"/>
        <w:rPr>
          <w:rFonts w:ascii="Arial" w:hAnsi="Arial" w:cs="Arial"/>
          <w:b/>
          <w:sz w:val="24"/>
        </w:rPr>
      </w:pPr>
      <w:r w:rsidRPr="00D50C47">
        <w:rPr>
          <w:rFonts w:ascii="Arial" w:hAnsi="Arial" w:cs="Arial"/>
          <w:b/>
          <w:sz w:val="24"/>
        </w:rPr>
        <w:t>Sensitivity Analyses</w:t>
      </w:r>
    </w:p>
    <w:p w:rsidR="00E378B5" w:rsidRDefault="00E378B5" w:rsidP="00A0699E">
      <w:pPr>
        <w:spacing w:after="240"/>
        <w:rPr>
          <w:rFonts w:ascii="Arial" w:hAnsi="Arial" w:cs="Arial"/>
        </w:rPr>
      </w:pPr>
      <w:r w:rsidRPr="00D50C47">
        <w:rPr>
          <w:rFonts w:ascii="Arial" w:hAnsi="Arial" w:cs="Arial"/>
        </w:rPr>
        <w:t>A sensitivity analysis was carried out on the discount rate</w:t>
      </w:r>
      <w:r>
        <w:rPr>
          <w:rFonts w:ascii="Arial" w:hAnsi="Arial" w:cs="Arial"/>
        </w:rPr>
        <w:t xml:space="preserve"> for the base counterfactual scenario</w:t>
      </w:r>
      <w:r w:rsidRPr="00D50C47">
        <w:rPr>
          <w:rFonts w:ascii="Arial" w:hAnsi="Arial" w:cs="Arial"/>
        </w:rPr>
        <w:t>. The analysis was performed for the total investment and with benefits taken over the life of the investment plus 30 years from the last year of investment. All other parameters were held at their base values. Table 1</w:t>
      </w:r>
      <w:r>
        <w:rPr>
          <w:rFonts w:ascii="Arial" w:hAnsi="Arial" w:cs="Arial"/>
        </w:rPr>
        <w:t>1</w:t>
      </w:r>
      <w:r w:rsidRPr="00D50C47">
        <w:rPr>
          <w:rFonts w:ascii="Arial" w:hAnsi="Arial" w:cs="Arial"/>
        </w:rPr>
        <w:t xml:space="preserve"> presents the results. The </w:t>
      </w:r>
      <w:r w:rsidRPr="00095126">
        <w:rPr>
          <w:rFonts w:ascii="Arial" w:hAnsi="Arial" w:cs="Arial"/>
        </w:rPr>
        <w:t xml:space="preserve">results showed a high sensitivity to the discount rate. </w:t>
      </w:r>
    </w:p>
    <w:p w:rsidR="003147F5" w:rsidRDefault="003147F5" w:rsidP="00A0699E">
      <w:pPr>
        <w:spacing w:after="240"/>
        <w:rPr>
          <w:rFonts w:ascii="Arial" w:hAnsi="Arial" w:cs="Arial"/>
        </w:rPr>
      </w:pPr>
    </w:p>
    <w:p w:rsidR="003147F5" w:rsidRDefault="003147F5" w:rsidP="00A0699E">
      <w:pPr>
        <w:spacing w:after="240"/>
        <w:rPr>
          <w:rFonts w:ascii="Arial" w:hAnsi="Arial" w:cs="Arial"/>
        </w:rPr>
      </w:pPr>
    </w:p>
    <w:p w:rsidR="003147F5" w:rsidRPr="00095126" w:rsidRDefault="003147F5" w:rsidP="00A0699E">
      <w:pPr>
        <w:spacing w:after="240"/>
        <w:rPr>
          <w:rFonts w:ascii="Arial" w:hAnsi="Arial" w:cs="Arial"/>
        </w:rPr>
      </w:pPr>
    </w:p>
    <w:p w:rsidR="00E378B5" w:rsidRPr="00E86ACB" w:rsidRDefault="00E378B5" w:rsidP="00E86ACB">
      <w:pPr>
        <w:pStyle w:val="Caption"/>
        <w:spacing w:after="240"/>
        <w:jc w:val="center"/>
        <w:rPr>
          <w:rFonts w:ascii="Arial" w:hAnsi="Arial"/>
          <w:b w:val="0"/>
          <w:i/>
          <w:sz w:val="22"/>
          <w:szCs w:val="22"/>
        </w:rPr>
      </w:pPr>
      <w:bookmarkStart w:id="133" w:name="_Toc417640355"/>
      <w:bookmarkStart w:id="134" w:name="_Toc413148568"/>
      <w:bookmarkStart w:id="135" w:name="_Toc413149095"/>
      <w:bookmarkStart w:id="136" w:name="_Toc476387756"/>
      <w:bookmarkStart w:id="137" w:name="_Toc442159277"/>
      <w:bookmarkStart w:id="138" w:name="_Toc475102792"/>
      <w:r w:rsidRPr="00E86ACB">
        <w:rPr>
          <w:rFonts w:ascii="Arial" w:hAnsi="Arial"/>
          <w:b w:val="0"/>
          <w:color w:val="000000" w:themeColor="text1"/>
          <w:sz w:val="22"/>
          <w:szCs w:val="22"/>
        </w:rPr>
        <w:t>Table 11: Sensitivity to Discount Rate</w:t>
      </w:r>
      <w:bookmarkEnd w:id="133"/>
      <w:bookmarkEnd w:id="134"/>
      <w:bookmarkEnd w:id="135"/>
      <w:bookmarkEnd w:id="136"/>
      <w:r w:rsidRPr="00E86ACB">
        <w:rPr>
          <w:rFonts w:ascii="Arial" w:hAnsi="Arial"/>
          <w:b w:val="0"/>
          <w:color w:val="000000" w:themeColor="text1"/>
          <w:sz w:val="22"/>
          <w:szCs w:val="22"/>
        </w:rPr>
        <w:br/>
      </w:r>
      <w:bookmarkEnd w:id="137"/>
      <w:bookmarkEnd w:id="138"/>
      <w:r w:rsidRPr="00E86ACB">
        <w:rPr>
          <w:rFonts w:ascii="Arial" w:hAnsi="Arial"/>
          <w:b w:val="0"/>
          <w:sz w:val="22"/>
          <w:szCs w:val="22"/>
        </w:rPr>
        <w:t>(Total investment, 30 years)</w:t>
      </w:r>
    </w:p>
    <w:tbl>
      <w:tblPr>
        <w:tblStyle w:val="TableGrid"/>
        <w:tblW w:w="0" w:type="auto"/>
        <w:tblLook w:val="04A0" w:firstRow="1" w:lastRow="0" w:firstColumn="1" w:lastColumn="0" w:noHBand="0" w:noVBand="1"/>
      </w:tblPr>
      <w:tblGrid>
        <w:gridCol w:w="3256"/>
        <w:gridCol w:w="1920"/>
        <w:gridCol w:w="1920"/>
        <w:gridCol w:w="1920"/>
      </w:tblGrid>
      <w:tr w:rsidR="00E378B5" w:rsidRPr="00D50C47" w:rsidTr="00E378B5">
        <w:tc>
          <w:tcPr>
            <w:tcW w:w="3256" w:type="dxa"/>
            <w:vMerge w:val="restart"/>
          </w:tcPr>
          <w:p w:rsidR="00E378B5" w:rsidRPr="00D50C47" w:rsidRDefault="00E378B5" w:rsidP="00E378B5">
            <w:pPr>
              <w:rPr>
                <w:rFonts w:ascii="Arial" w:hAnsi="Arial" w:cs="Arial"/>
                <w:b/>
                <w:sz w:val="22"/>
                <w:szCs w:val="22"/>
              </w:rPr>
            </w:pPr>
            <w:r w:rsidRPr="00D50C47">
              <w:rPr>
                <w:rFonts w:ascii="Arial" w:hAnsi="Arial" w:cs="Arial"/>
                <w:b/>
                <w:sz w:val="22"/>
                <w:szCs w:val="22"/>
              </w:rPr>
              <w:t>Investment Criteria</w:t>
            </w:r>
          </w:p>
        </w:tc>
        <w:tc>
          <w:tcPr>
            <w:tcW w:w="5760" w:type="dxa"/>
            <w:gridSpan w:val="3"/>
          </w:tcPr>
          <w:p w:rsidR="00E378B5" w:rsidRPr="00D50C47" w:rsidRDefault="00E378B5" w:rsidP="00E378B5">
            <w:pPr>
              <w:jc w:val="center"/>
              <w:rPr>
                <w:rFonts w:ascii="Arial" w:hAnsi="Arial" w:cs="Arial"/>
                <w:b/>
                <w:sz w:val="22"/>
                <w:szCs w:val="22"/>
              </w:rPr>
            </w:pPr>
            <w:r w:rsidRPr="00D50C47">
              <w:rPr>
                <w:rFonts w:ascii="Arial" w:hAnsi="Arial" w:cs="Arial"/>
                <w:b/>
                <w:sz w:val="22"/>
                <w:szCs w:val="22"/>
              </w:rPr>
              <w:t>Discount rate</w:t>
            </w:r>
          </w:p>
        </w:tc>
      </w:tr>
      <w:tr w:rsidR="00E378B5" w:rsidRPr="00D50C47" w:rsidTr="00E378B5">
        <w:trPr>
          <w:trHeight w:val="118"/>
        </w:trPr>
        <w:tc>
          <w:tcPr>
            <w:tcW w:w="3256" w:type="dxa"/>
            <w:vMerge/>
          </w:tcPr>
          <w:p w:rsidR="00E378B5" w:rsidRPr="00D50C47" w:rsidRDefault="00E378B5" w:rsidP="00E378B5">
            <w:pPr>
              <w:rPr>
                <w:rFonts w:ascii="Arial" w:hAnsi="Arial" w:cs="Arial"/>
                <w:b/>
                <w:sz w:val="22"/>
                <w:szCs w:val="22"/>
              </w:rPr>
            </w:pPr>
          </w:p>
        </w:tc>
        <w:tc>
          <w:tcPr>
            <w:tcW w:w="1920" w:type="dxa"/>
          </w:tcPr>
          <w:p w:rsidR="00E378B5" w:rsidRPr="00D50C47" w:rsidRDefault="00E378B5" w:rsidP="00E378B5">
            <w:pPr>
              <w:jc w:val="center"/>
              <w:rPr>
                <w:rFonts w:ascii="Arial" w:hAnsi="Arial" w:cs="Arial"/>
                <w:b/>
                <w:sz w:val="22"/>
                <w:szCs w:val="22"/>
              </w:rPr>
            </w:pPr>
            <w:r w:rsidRPr="00D50C47">
              <w:rPr>
                <w:rFonts w:ascii="Arial" w:hAnsi="Arial" w:cs="Arial"/>
                <w:b/>
                <w:sz w:val="22"/>
                <w:szCs w:val="22"/>
              </w:rPr>
              <w:t>0%</w:t>
            </w:r>
          </w:p>
        </w:tc>
        <w:tc>
          <w:tcPr>
            <w:tcW w:w="1920" w:type="dxa"/>
          </w:tcPr>
          <w:p w:rsidR="00E378B5" w:rsidRPr="00D50C47" w:rsidRDefault="00E378B5" w:rsidP="00E378B5">
            <w:pPr>
              <w:jc w:val="center"/>
              <w:rPr>
                <w:rFonts w:ascii="Arial" w:hAnsi="Arial" w:cs="Arial"/>
                <w:b/>
                <w:sz w:val="22"/>
                <w:szCs w:val="22"/>
              </w:rPr>
            </w:pPr>
            <w:r w:rsidRPr="00D50C47">
              <w:rPr>
                <w:rFonts w:ascii="Arial" w:hAnsi="Arial" w:cs="Arial"/>
                <w:b/>
                <w:sz w:val="22"/>
                <w:szCs w:val="22"/>
              </w:rPr>
              <w:t>5% (base)</w:t>
            </w:r>
          </w:p>
        </w:tc>
        <w:tc>
          <w:tcPr>
            <w:tcW w:w="1920" w:type="dxa"/>
          </w:tcPr>
          <w:p w:rsidR="00E378B5" w:rsidRPr="00D50C47" w:rsidRDefault="00E378B5" w:rsidP="00E378B5">
            <w:pPr>
              <w:jc w:val="center"/>
              <w:rPr>
                <w:rFonts w:ascii="Arial" w:hAnsi="Arial" w:cs="Arial"/>
                <w:b/>
                <w:sz w:val="22"/>
                <w:szCs w:val="22"/>
              </w:rPr>
            </w:pPr>
            <w:r w:rsidRPr="00D50C47">
              <w:rPr>
                <w:rFonts w:ascii="Arial" w:hAnsi="Arial" w:cs="Arial"/>
                <w:b/>
                <w:sz w:val="22"/>
                <w:szCs w:val="22"/>
              </w:rPr>
              <w:t>10%</w:t>
            </w:r>
          </w:p>
        </w:tc>
      </w:tr>
      <w:tr w:rsidR="00E378B5" w:rsidRPr="00D50C47" w:rsidTr="00E378B5">
        <w:tc>
          <w:tcPr>
            <w:tcW w:w="3256" w:type="dxa"/>
          </w:tcPr>
          <w:p w:rsidR="00E378B5" w:rsidRPr="000251F2" w:rsidRDefault="00E378B5" w:rsidP="00E378B5">
            <w:pPr>
              <w:rPr>
                <w:rFonts w:ascii="Arial" w:hAnsi="Arial" w:cs="Arial"/>
                <w:sz w:val="22"/>
                <w:szCs w:val="22"/>
              </w:rPr>
            </w:pPr>
            <w:r w:rsidRPr="000251F2">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E378B5" w:rsidRPr="00095126" w:rsidRDefault="00E378B5" w:rsidP="00E378B5">
            <w:pPr>
              <w:jc w:val="center"/>
              <w:rPr>
                <w:rFonts w:ascii="Arial" w:hAnsi="Arial" w:cs="Arial"/>
              </w:rPr>
            </w:pPr>
            <w:r w:rsidRPr="00095126">
              <w:rPr>
                <w:rFonts w:ascii="Arial" w:hAnsi="Arial" w:cs="Arial"/>
                <w:color w:val="000000"/>
                <w:sz w:val="22"/>
                <w:szCs w:val="22"/>
              </w:rPr>
              <w:t>38.3</w:t>
            </w:r>
            <w:r>
              <w:rPr>
                <w:rFonts w:ascii="Arial" w:hAnsi="Arial" w:cs="Arial"/>
                <w:color w:val="000000"/>
                <w:sz w:val="22"/>
                <w:szCs w:val="22"/>
              </w:rPr>
              <w:t>8</w:t>
            </w:r>
          </w:p>
        </w:tc>
        <w:tc>
          <w:tcPr>
            <w:tcW w:w="1920" w:type="dxa"/>
            <w:tcBorders>
              <w:top w:val="single" w:sz="4" w:space="0" w:color="auto"/>
              <w:left w:val="nil"/>
              <w:bottom w:val="single" w:sz="4" w:space="0" w:color="auto"/>
              <w:right w:val="single" w:sz="4" w:space="0" w:color="auto"/>
            </w:tcBorders>
            <w:shd w:val="clear" w:color="auto" w:fill="auto"/>
          </w:tcPr>
          <w:p w:rsidR="00E378B5" w:rsidRPr="00095126" w:rsidRDefault="00E378B5" w:rsidP="00E378B5">
            <w:pPr>
              <w:jc w:val="center"/>
              <w:rPr>
                <w:rFonts w:ascii="Arial" w:hAnsi="Arial" w:cs="Arial"/>
              </w:rPr>
            </w:pPr>
            <w:r w:rsidRPr="00EB54A0">
              <w:rPr>
                <w:rFonts w:ascii="Arial" w:hAnsi="Arial" w:cs="Arial"/>
                <w:sz w:val="22"/>
                <w:szCs w:val="22"/>
              </w:rPr>
              <w:t>20.65</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E378B5" w:rsidRPr="00095126" w:rsidRDefault="00E378B5" w:rsidP="00E378B5">
            <w:pPr>
              <w:jc w:val="center"/>
              <w:rPr>
                <w:rFonts w:ascii="Arial" w:hAnsi="Arial" w:cs="Arial"/>
              </w:rPr>
            </w:pPr>
            <w:r w:rsidRPr="00095126">
              <w:rPr>
                <w:rFonts w:ascii="Arial" w:hAnsi="Arial" w:cs="Arial"/>
                <w:color w:val="000000"/>
                <w:sz w:val="22"/>
                <w:szCs w:val="22"/>
              </w:rPr>
              <w:t>1</w:t>
            </w:r>
            <w:r>
              <w:rPr>
                <w:rFonts w:ascii="Arial" w:hAnsi="Arial" w:cs="Arial"/>
                <w:color w:val="000000"/>
                <w:sz w:val="22"/>
                <w:szCs w:val="22"/>
              </w:rPr>
              <w:t>3.26</w:t>
            </w:r>
          </w:p>
        </w:tc>
      </w:tr>
      <w:tr w:rsidR="00E378B5" w:rsidRPr="00D50C47" w:rsidTr="00E378B5">
        <w:tc>
          <w:tcPr>
            <w:tcW w:w="3256" w:type="dxa"/>
          </w:tcPr>
          <w:p w:rsidR="00E378B5" w:rsidRPr="000251F2" w:rsidRDefault="00E378B5" w:rsidP="00E378B5">
            <w:pPr>
              <w:rPr>
                <w:rFonts w:ascii="Arial" w:hAnsi="Arial" w:cs="Arial"/>
                <w:sz w:val="22"/>
                <w:szCs w:val="22"/>
              </w:rPr>
            </w:pPr>
            <w:r w:rsidRPr="000251F2">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095126" w:rsidRDefault="00E378B5" w:rsidP="00E378B5">
            <w:pPr>
              <w:jc w:val="center"/>
              <w:rPr>
                <w:rFonts w:ascii="Arial" w:hAnsi="Arial" w:cs="Arial"/>
              </w:rPr>
            </w:pPr>
            <w:r w:rsidRPr="00095126">
              <w:rPr>
                <w:rFonts w:ascii="Arial" w:hAnsi="Arial" w:cs="Arial"/>
                <w:color w:val="000000"/>
                <w:sz w:val="22"/>
                <w:szCs w:val="22"/>
              </w:rPr>
              <w:t>0.5</w:t>
            </w:r>
            <w:r>
              <w:rPr>
                <w:rFonts w:ascii="Arial" w:hAnsi="Arial" w:cs="Arial"/>
                <w:color w:val="000000"/>
                <w:sz w:val="22"/>
                <w:szCs w:val="22"/>
              </w:rPr>
              <w:t>8</w:t>
            </w:r>
          </w:p>
        </w:tc>
        <w:tc>
          <w:tcPr>
            <w:tcW w:w="1920" w:type="dxa"/>
            <w:tcBorders>
              <w:top w:val="nil"/>
              <w:left w:val="nil"/>
              <w:bottom w:val="single" w:sz="4" w:space="0" w:color="auto"/>
              <w:right w:val="single" w:sz="4" w:space="0" w:color="auto"/>
            </w:tcBorders>
            <w:shd w:val="clear" w:color="auto" w:fill="auto"/>
          </w:tcPr>
          <w:p w:rsidR="00E378B5" w:rsidRPr="00095126" w:rsidRDefault="00E378B5" w:rsidP="00E378B5">
            <w:pPr>
              <w:jc w:val="center"/>
              <w:rPr>
                <w:rFonts w:ascii="Arial" w:hAnsi="Arial" w:cs="Arial"/>
              </w:rPr>
            </w:pPr>
            <w:r w:rsidRPr="00EB54A0">
              <w:rPr>
                <w:rFonts w:ascii="Arial" w:hAnsi="Arial" w:cs="Arial"/>
                <w:sz w:val="22"/>
                <w:szCs w:val="22"/>
              </w:rPr>
              <w:t>0.63</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095126" w:rsidRDefault="00E378B5" w:rsidP="00E378B5">
            <w:pPr>
              <w:jc w:val="center"/>
              <w:rPr>
                <w:rFonts w:ascii="Arial" w:hAnsi="Arial" w:cs="Arial"/>
              </w:rPr>
            </w:pPr>
            <w:r w:rsidRPr="00095126">
              <w:rPr>
                <w:rFonts w:ascii="Arial" w:hAnsi="Arial" w:cs="Arial"/>
                <w:color w:val="000000"/>
                <w:sz w:val="22"/>
                <w:szCs w:val="22"/>
              </w:rPr>
              <w:t>0.6</w:t>
            </w:r>
            <w:r>
              <w:rPr>
                <w:rFonts w:ascii="Arial" w:hAnsi="Arial" w:cs="Arial"/>
                <w:color w:val="000000"/>
                <w:sz w:val="22"/>
                <w:szCs w:val="22"/>
              </w:rPr>
              <w:t>7</w:t>
            </w:r>
          </w:p>
        </w:tc>
      </w:tr>
      <w:tr w:rsidR="00E378B5" w:rsidRPr="00D50C47" w:rsidTr="00E378B5">
        <w:tc>
          <w:tcPr>
            <w:tcW w:w="3256" w:type="dxa"/>
          </w:tcPr>
          <w:p w:rsidR="00E378B5" w:rsidRPr="000251F2" w:rsidRDefault="00E378B5" w:rsidP="00E378B5">
            <w:pPr>
              <w:rPr>
                <w:rFonts w:ascii="Arial" w:hAnsi="Arial" w:cs="Arial"/>
                <w:sz w:val="22"/>
                <w:szCs w:val="22"/>
              </w:rPr>
            </w:pPr>
            <w:r w:rsidRPr="000251F2">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095126" w:rsidRDefault="00E378B5" w:rsidP="00E378B5">
            <w:pPr>
              <w:jc w:val="center"/>
              <w:rPr>
                <w:rFonts w:ascii="Arial" w:hAnsi="Arial" w:cs="Arial"/>
              </w:rPr>
            </w:pPr>
            <w:r w:rsidRPr="00095126">
              <w:rPr>
                <w:rFonts w:ascii="Arial" w:hAnsi="Arial" w:cs="Arial"/>
                <w:color w:val="000000"/>
                <w:sz w:val="22"/>
                <w:szCs w:val="22"/>
              </w:rPr>
              <w:t>37.79</w:t>
            </w:r>
          </w:p>
        </w:tc>
        <w:tc>
          <w:tcPr>
            <w:tcW w:w="1920" w:type="dxa"/>
            <w:tcBorders>
              <w:top w:val="nil"/>
              <w:left w:val="nil"/>
              <w:bottom w:val="single" w:sz="4" w:space="0" w:color="auto"/>
              <w:right w:val="single" w:sz="4" w:space="0" w:color="auto"/>
            </w:tcBorders>
            <w:shd w:val="clear" w:color="auto" w:fill="auto"/>
          </w:tcPr>
          <w:p w:rsidR="00E378B5" w:rsidRPr="00095126" w:rsidRDefault="00E378B5" w:rsidP="00E378B5">
            <w:pPr>
              <w:jc w:val="center"/>
              <w:rPr>
                <w:rFonts w:ascii="Arial" w:hAnsi="Arial" w:cs="Arial"/>
              </w:rPr>
            </w:pPr>
            <w:r w:rsidRPr="00EB54A0">
              <w:rPr>
                <w:rFonts w:ascii="Arial" w:hAnsi="Arial" w:cs="Arial"/>
                <w:sz w:val="22"/>
                <w:szCs w:val="22"/>
              </w:rPr>
              <w:t>20.02</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095126" w:rsidRDefault="00E378B5" w:rsidP="00E378B5">
            <w:pPr>
              <w:jc w:val="center"/>
              <w:rPr>
                <w:rFonts w:ascii="Arial" w:hAnsi="Arial" w:cs="Arial"/>
              </w:rPr>
            </w:pPr>
            <w:r w:rsidRPr="00095126">
              <w:rPr>
                <w:rFonts w:ascii="Arial" w:hAnsi="Arial" w:cs="Arial"/>
                <w:color w:val="000000"/>
                <w:sz w:val="22"/>
                <w:szCs w:val="22"/>
              </w:rPr>
              <w:t>1</w:t>
            </w:r>
            <w:r>
              <w:rPr>
                <w:rFonts w:ascii="Arial" w:hAnsi="Arial" w:cs="Arial"/>
                <w:color w:val="000000"/>
                <w:sz w:val="22"/>
                <w:szCs w:val="22"/>
              </w:rPr>
              <w:t>2.59</w:t>
            </w:r>
          </w:p>
        </w:tc>
      </w:tr>
      <w:tr w:rsidR="00E378B5" w:rsidRPr="00D50C47" w:rsidTr="00E378B5">
        <w:tc>
          <w:tcPr>
            <w:tcW w:w="3256" w:type="dxa"/>
          </w:tcPr>
          <w:p w:rsidR="00E378B5" w:rsidRPr="000251F2" w:rsidRDefault="00E378B5" w:rsidP="00E378B5">
            <w:pPr>
              <w:rPr>
                <w:rFonts w:ascii="Arial" w:hAnsi="Arial" w:cs="Arial"/>
                <w:sz w:val="22"/>
                <w:szCs w:val="22"/>
              </w:rPr>
            </w:pPr>
            <w:r w:rsidRPr="000251F2">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095126" w:rsidRDefault="00E378B5" w:rsidP="00E378B5">
            <w:pPr>
              <w:jc w:val="center"/>
              <w:rPr>
                <w:rFonts w:ascii="Arial" w:hAnsi="Arial" w:cs="Arial"/>
              </w:rPr>
            </w:pPr>
            <w:r w:rsidRPr="00095126">
              <w:rPr>
                <w:rFonts w:ascii="Arial" w:hAnsi="Arial" w:cs="Arial"/>
                <w:color w:val="000000"/>
                <w:sz w:val="22"/>
                <w:szCs w:val="22"/>
              </w:rPr>
              <w:t>6</w:t>
            </w:r>
            <w:r>
              <w:rPr>
                <w:rFonts w:ascii="Arial" w:hAnsi="Arial" w:cs="Arial"/>
                <w:color w:val="000000"/>
                <w:sz w:val="22"/>
                <w:szCs w:val="22"/>
              </w:rPr>
              <w:t>5.96</w:t>
            </w:r>
          </w:p>
        </w:tc>
        <w:tc>
          <w:tcPr>
            <w:tcW w:w="1920" w:type="dxa"/>
            <w:tcBorders>
              <w:top w:val="nil"/>
              <w:left w:val="nil"/>
              <w:bottom w:val="single" w:sz="4" w:space="0" w:color="auto"/>
              <w:right w:val="single" w:sz="4" w:space="0" w:color="auto"/>
            </w:tcBorders>
            <w:shd w:val="clear" w:color="auto" w:fill="auto"/>
          </w:tcPr>
          <w:p w:rsidR="00E378B5" w:rsidRPr="00095126" w:rsidRDefault="00E378B5" w:rsidP="00E378B5">
            <w:pPr>
              <w:jc w:val="center"/>
              <w:rPr>
                <w:rFonts w:ascii="Arial" w:hAnsi="Arial" w:cs="Arial"/>
              </w:rPr>
            </w:pPr>
            <w:r w:rsidRPr="00EB54A0">
              <w:rPr>
                <w:rFonts w:ascii="Arial" w:hAnsi="Arial" w:cs="Arial"/>
                <w:sz w:val="22"/>
                <w:szCs w:val="22"/>
              </w:rPr>
              <w:t>32.98</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095126" w:rsidRDefault="00E378B5" w:rsidP="00E378B5">
            <w:pPr>
              <w:jc w:val="center"/>
              <w:rPr>
                <w:rFonts w:ascii="Arial" w:hAnsi="Arial" w:cs="Arial"/>
              </w:rPr>
            </w:pPr>
            <w:r>
              <w:rPr>
                <w:rFonts w:ascii="Arial" w:hAnsi="Arial" w:cs="Arial"/>
                <w:color w:val="000000"/>
                <w:sz w:val="22"/>
                <w:szCs w:val="22"/>
              </w:rPr>
              <w:t>19.74</w:t>
            </w:r>
          </w:p>
        </w:tc>
      </w:tr>
    </w:tbl>
    <w:p w:rsidR="00B57B13" w:rsidRDefault="00B57B13" w:rsidP="00A0699E">
      <w:pPr>
        <w:spacing w:after="240"/>
        <w:rPr>
          <w:rFonts w:ascii="Arial" w:hAnsi="Arial" w:cs="Arial"/>
          <w:b/>
          <w:sz w:val="24"/>
        </w:rPr>
      </w:pPr>
    </w:p>
    <w:p w:rsidR="00E378B5" w:rsidRPr="00E104F3" w:rsidRDefault="00E378B5" w:rsidP="00A0699E">
      <w:pPr>
        <w:spacing w:after="240"/>
        <w:rPr>
          <w:rFonts w:ascii="Arial" w:hAnsi="Arial" w:cs="Arial"/>
          <w:b/>
          <w:sz w:val="24"/>
        </w:rPr>
      </w:pPr>
      <w:r w:rsidRPr="00E104F3">
        <w:rPr>
          <w:rFonts w:ascii="Arial" w:hAnsi="Arial" w:cs="Arial"/>
          <w:b/>
          <w:sz w:val="24"/>
        </w:rPr>
        <w:t xml:space="preserve">Investment Criteria </w:t>
      </w:r>
      <w:r>
        <w:rPr>
          <w:rFonts w:ascii="Arial" w:hAnsi="Arial" w:cs="Arial"/>
          <w:b/>
          <w:sz w:val="24"/>
        </w:rPr>
        <w:t xml:space="preserve">using the </w:t>
      </w:r>
      <w:r w:rsidRPr="00E104F3">
        <w:rPr>
          <w:rFonts w:ascii="Arial" w:hAnsi="Arial" w:cs="Arial"/>
          <w:b/>
          <w:sz w:val="24"/>
        </w:rPr>
        <w:t xml:space="preserve">Alternative Counterfactual </w:t>
      </w:r>
    </w:p>
    <w:p w:rsidR="00E378B5" w:rsidRDefault="00E378B5" w:rsidP="00A0699E">
      <w:pPr>
        <w:spacing w:after="240"/>
        <w:rPr>
          <w:rFonts w:ascii="Arial" w:hAnsi="Arial" w:cs="Arial"/>
        </w:rPr>
      </w:pPr>
      <w:r>
        <w:rPr>
          <w:rFonts w:ascii="Arial" w:hAnsi="Arial" w:cs="Arial"/>
        </w:rPr>
        <w:t xml:space="preserve">A second </w:t>
      </w:r>
      <w:r w:rsidRPr="00D50C47">
        <w:rPr>
          <w:rFonts w:ascii="Arial" w:hAnsi="Arial" w:cs="Arial"/>
        </w:rPr>
        <w:t>analys</w:t>
      </w:r>
      <w:r>
        <w:rPr>
          <w:rFonts w:ascii="Arial" w:hAnsi="Arial" w:cs="Arial"/>
        </w:rPr>
        <w:t xml:space="preserve">is </w:t>
      </w:r>
      <w:r w:rsidRPr="00D50C47">
        <w:rPr>
          <w:rFonts w:ascii="Arial" w:hAnsi="Arial" w:cs="Arial"/>
        </w:rPr>
        <w:t>w</w:t>
      </w:r>
      <w:r>
        <w:rPr>
          <w:rFonts w:ascii="Arial" w:hAnsi="Arial" w:cs="Arial"/>
        </w:rPr>
        <w:t>as</w:t>
      </w:r>
      <w:r w:rsidRPr="00D50C47">
        <w:rPr>
          <w:rFonts w:ascii="Arial" w:hAnsi="Arial" w:cs="Arial"/>
        </w:rPr>
        <w:t xml:space="preserve"> conducted </w:t>
      </w:r>
      <w:r>
        <w:rPr>
          <w:rFonts w:ascii="Arial" w:hAnsi="Arial" w:cs="Arial"/>
        </w:rPr>
        <w:t xml:space="preserve">using the alternative counterfactual as specified in Table 6. In this scenario, it was assumed that because of the dissatisfaction of the initial grading scheme the investment would have occurred at some later date. In this alternative scenario, the same assumptions as for the base counterfactual were used, except that the investment and the associated benefits (as well as additional project costs) are assumed to have occurred seven years later. Results are provided in </w:t>
      </w:r>
      <w:r w:rsidRPr="003D3F0A">
        <w:rPr>
          <w:rFonts w:ascii="Arial" w:hAnsi="Arial" w:cs="Arial"/>
        </w:rPr>
        <w:t>Table 12</w:t>
      </w:r>
      <w:r w:rsidRPr="00D50C47">
        <w:rPr>
          <w:rFonts w:ascii="Arial" w:hAnsi="Arial" w:cs="Arial"/>
        </w:rPr>
        <w:t>.</w:t>
      </w:r>
    </w:p>
    <w:p w:rsidR="00E378B5" w:rsidRPr="00D50C47" w:rsidRDefault="00E378B5" w:rsidP="00A0699E">
      <w:pPr>
        <w:spacing w:after="240"/>
        <w:rPr>
          <w:rFonts w:ascii="Arial" w:hAnsi="Arial" w:cs="Arial"/>
        </w:rPr>
      </w:pPr>
      <w:r w:rsidRPr="003D3F0A">
        <w:rPr>
          <w:rFonts w:ascii="Arial" w:hAnsi="Arial" w:cs="Arial"/>
        </w:rPr>
        <w:t>Table 12</w:t>
      </w:r>
      <w:r>
        <w:rPr>
          <w:rFonts w:ascii="Arial" w:hAnsi="Arial" w:cs="Arial"/>
        </w:rPr>
        <w:t xml:space="preserve"> shows that the discounted benefits are significantly lower under the alternative counterfactual. This was not unexpected as, under the alternative, there are only seven years of benefit as opposed to 30 years for the base counterfactual. The benefit-cost ratio for the total investment dropped from 33.0 to 1 to 11.7 to 1 under the alternative counterfactual.  </w:t>
      </w:r>
    </w:p>
    <w:p w:rsidR="00E378B5" w:rsidRPr="00E86ACB" w:rsidRDefault="00E378B5" w:rsidP="00E86ACB">
      <w:pPr>
        <w:pStyle w:val="Caption"/>
        <w:spacing w:after="240"/>
        <w:jc w:val="center"/>
        <w:rPr>
          <w:b w:val="0"/>
          <w:sz w:val="22"/>
          <w:szCs w:val="22"/>
        </w:rPr>
      </w:pPr>
      <w:bookmarkStart w:id="139" w:name="_Toc476387757"/>
      <w:bookmarkStart w:id="140" w:name="_Toc475102793"/>
      <w:r w:rsidRPr="00E86ACB">
        <w:rPr>
          <w:rFonts w:ascii="Arial" w:hAnsi="Arial"/>
          <w:b w:val="0"/>
          <w:color w:val="000000" w:themeColor="text1"/>
          <w:sz w:val="22"/>
          <w:szCs w:val="22"/>
        </w:rPr>
        <w:t>Table 12: Investment Criteria for Total Investment in the Project using the Alternative Counterfactual</w:t>
      </w:r>
      <w:bookmarkEnd w:id="139"/>
      <w:r w:rsidR="00E86ACB" w:rsidRPr="00E86ACB">
        <w:rPr>
          <w:rFonts w:ascii="Arial" w:hAnsi="Arial"/>
          <w:b w:val="0"/>
          <w:color w:val="000000" w:themeColor="text1"/>
          <w:sz w:val="22"/>
          <w:szCs w:val="22"/>
        </w:rPr>
        <w:t xml:space="preserve"> </w:t>
      </w:r>
      <w:r w:rsidRPr="00E86ACB">
        <w:rPr>
          <w:rFonts w:ascii="Arial" w:hAnsi="Arial"/>
          <w:b w:val="0"/>
          <w:sz w:val="22"/>
          <w:szCs w:val="22"/>
        </w:rPr>
        <w:t>(Total investment, 30 years, 5% discount rate)</w:t>
      </w:r>
    </w:p>
    <w:tbl>
      <w:tblPr>
        <w:tblStyle w:val="TableGrid"/>
        <w:tblW w:w="5428" w:type="pct"/>
        <w:jc w:val="center"/>
        <w:tblLayout w:type="fixed"/>
        <w:tblLook w:val="04A0" w:firstRow="1" w:lastRow="0" w:firstColumn="1" w:lastColumn="0" w:noHBand="0" w:noVBand="1"/>
      </w:tblPr>
      <w:tblGrid>
        <w:gridCol w:w="3258"/>
        <w:gridCol w:w="952"/>
        <w:gridCol w:w="1073"/>
        <w:gridCol w:w="904"/>
        <w:gridCol w:w="904"/>
        <w:gridCol w:w="904"/>
        <w:gridCol w:w="904"/>
        <w:gridCol w:w="889"/>
      </w:tblGrid>
      <w:tr w:rsidR="00E378B5" w:rsidRPr="006C069D" w:rsidTr="00E378B5">
        <w:trPr>
          <w:jc w:val="center"/>
        </w:trPr>
        <w:tc>
          <w:tcPr>
            <w:tcW w:w="1664" w:type="pct"/>
            <w:vMerge w:val="restart"/>
          </w:tcPr>
          <w:bookmarkEnd w:id="140"/>
          <w:p w:rsidR="00E378B5" w:rsidRPr="006C069D" w:rsidRDefault="00E378B5" w:rsidP="00E378B5">
            <w:pPr>
              <w:rPr>
                <w:rFonts w:ascii="Arial" w:hAnsi="Arial" w:cs="Arial"/>
                <w:b/>
              </w:rPr>
            </w:pPr>
            <w:r w:rsidRPr="006C069D">
              <w:rPr>
                <w:rFonts w:ascii="Arial" w:hAnsi="Arial" w:cs="Arial"/>
                <w:b/>
              </w:rPr>
              <w:t xml:space="preserve">Investment criteria </w:t>
            </w:r>
          </w:p>
        </w:tc>
        <w:tc>
          <w:tcPr>
            <w:tcW w:w="3336" w:type="pct"/>
            <w:gridSpan w:val="7"/>
          </w:tcPr>
          <w:p w:rsidR="00E378B5" w:rsidRPr="006C069D" w:rsidRDefault="00E378B5" w:rsidP="00E378B5">
            <w:pPr>
              <w:jc w:val="center"/>
              <w:rPr>
                <w:rFonts w:ascii="Arial" w:hAnsi="Arial" w:cs="Arial"/>
                <w:b/>
              </w:rPr>
            </w:pPr>
            <w:r w:rsidRPr="006C069D">
              <w:rPr>
                <w:rFonts w:ascii="Arial" w:hAnsi="Arial" w:cs="Arial"/>
                <w:b/>
              </w:rPr>
              <w:t xml:space="preserve">Number of years from year of last investment </w:t>
            </w:r>
          </w:p>
        </w:tc>
      </w:tr>
      <w:tr w:rsidR="00E378B5" w:rsidRPr="006C069D" w:rsidTr="00E378B5">
        <w:trPr>
          <w:jc w:val="center"/>
        </w:trPr>
        <w:tc>
          <w:tcPr>
            <w:tcW w:w="1664" w:type="pct"/>
            <w:vMerge/>
          </w:tcPr>
          <w:p w:rsidR="00E378B5" w:rsidRPr="006C069D" w:rsidRDefault="00E378B5" w:rsidP="00E378B5">
            <w:pPr>
              <w:rPr>
                <w:rFonts w:ascii="Arial" w:hAnsi="Arial" w:cs="Arial"/>
              </w:rPr>
            </w:pPr>
          </w:p>
        </w:tc>
        <w:tc>
          <w:tcPr>
            <w:tcW w:w="486" w:type="pct"/>
          </w:tcPr>
          <w:p w:rsidR="00E378B5" w:rsidRPr="006C069D" w:rsidRDefault="00E378B5" w:rsidP="00E378B5">
            <w:pPr>
              <w:jc w:val="center"/>
              <w:rPr>
                <w:rFonts w:ascii="Arial" w:hAnsi="Arial" w:cs="Arial"/>
                <w:b/>
              </w:rPr>
            </w:pPr>
            <w:r w:rsidRPr="006C069D">
              <w:rPr>
                <w:rFonts w:ascii="Arial" w:hAnsi="Arial" w:cs="Arial"/>
                <w:b/>
              </w:rPr>
              <w:t>0</w:t>
            </w:r>
          </w:p>
        </w:tc>
        <w:tc>
          <w:tcPr>
            <w:tcW w:w="548" w:type="pct"/>
          </w:tcPr>
          <w:p w:rsidR="00E378B5" w:rsidRPr="006C069D" w:rsidRDefault="00E378B5" w:rsidP="00E378B5">
            <w:pPr>
              <w:jc w:val="center"/>
              <w:rPr>
                <w:rFonts w:ascii="Arial" w:hAnsi="Arial" w:cs="Arial"/>
                <w:b/>
              </w:rPr>
            </w:pPr>
            <w:r w:rsidRPr="006C069D">
              <w:rPr>
                <w:rFonts w:ascii="Arial" w:hAnsi="Arial" w:cs="Arial"/>
                <w:b/>
              </w:rPr>
              <w:t>5</w:t>
            </w:r>
          </w:p>
        </w:tc>
        <w:tc>
          <w:tcPr>
            <w:tcW w:w="462" w:type="pct"/>
          </w:tcPr>
          <w:p w:rsidR="00E378B5" w:rsidRPr="006C069D" w:rsidRDefault="00E378B5" w:rsidP="00E378B5">
            <w:pPr>
              <w:jc w:val="center"/>
              <w:rPr>
                <w:rFonts w:ascii="Arial" w:hAnsi="Arial" w:cs="Arial"/>
                <w:b/>
              </w:rPr>
            </w:pPr>
            <w:r w:rsidRPr="006C069D">
              <w:rPr>
                <w:rFonts w:ascii="Arial" w:hAnsi="Arial" w:cs="Arial"/>
                <w:b/>
              </w:rPr>
              <w:t>10</w:t>
            </w:r>
          </w:p>
        </w:tc>
        <w:tc>
          <w:tcPr>
            <w:tcW w:w="462" w:type="pct"/>
          </w:tcPr>
          <w:p w:rsidR="00E378B5" w:rsidRPr="006C069D" w:rsidRDefault="00E378B5" w:rsidP="00E378B5">
            <w:pPr>
              <w:jc w:val="center"/>
              <w:rPr>
                <w:rFonts w:ascii="Arial" w:hAnsi="Arial" w:cs="Arial"/>
                <w:b/>
              </w:rPr>
            </w:pPr>
            <w:r w:rsidRPr="006C069D">
              <w:rPr>
                <w:rFonts w:ascii="Arial" w:hAnsi="Arial" w:cs="Arial"/>
                <w:b/>
              </w:rPr>
              <w:t>15</w:t>
            </w:r>
          </w:p>
        </w:tc>
        <w:tc>
          <w:tcPr>
            <w:tcW w:w="462" w:type="pct"/>
          </w:tcPr>
          <w:p w:rsidR="00E378B5" w:rsidRPr="006C069D" w:rsidRDefault="00E378B5" w:rsidP="00E378B5">
            <w:pPr>
              <w:jc w:val="center"/>
              <w:rPr>
                <w:rFonts w:ascii="Arial" w:hAnsi="Arial" w:cs="Arial"/>
                <w:b/>
              </w:rPr>
            </w:pPr>
            <w:r w:rsidRPr="006C069D">
              <w:rPr>
                <w:rFonts w:ascii="Arial" w:hAnsi="Arial" w:cs="Arial"/>
                <w:b/>
              </w:rPr>
              <w:t>20</w:t>
            </w:r>
          </w:p>
        </w:tc>
        <w:tc>
          <w:tcPr>
            <w:tcW w:w="462" w:type="pct"/>
          </w:tcPr>
          <w:p w:rsidR="00E378B5" w:rsidRPr="006C069D" w:rsidRDefault="00E378B5" w:rsidP="00E378B5">
            <w:pPr>
              <w:jc w:val="center"/>
              <w:rPr>
                <w:rFonts w:ascii="Arial" w:hAnsi="Arial" w:cs="Arial"/>
                <w:b/>
              </w:rPr>
            </w:pPr>
            <w:r w:rsidRPr="006C069D">
              <w:rPr>
                <w:rFonts w:ascii="Arial" w:hAnsi="Arial" w:cs="Arial"/>
                <w:b/>
              </w:rPr>
              <w:t>25</w:t>
            </w:r>
          </w:p>
        </w:tc>
        <w:tc>
          <w:tcPr>
            <w:tcW w:w="455" w:type="pct"/>
          </w:tcPr>
          <w:p w:rsidR="00E378B5" w:rsidRPr="006C069D" w:rsidRDefault="00E378B5" w:rsidP="00E378B5">
            <w:pPr>
              <w:jc w:val="center"/>
              <w:rPr>
                <w:rFonts w:ascii="Arial" w:hAnsi="Arial" w:cs="Arial"/>
                <w:b/>
              </w:rPr>
            </w:pPr>
            <w:r w:rsidRPr="006C069D">
              <w:rPr>
                <w:rFonts w:ascii="Arial" w:hAnsi="Arial" w:cs="Arial"/>
                <w:b/>
              </w:rPr>
              <w:t>30</w:t>
            </w:r>
          </w:p>
        </w:tc>
      </w:tr>
      <w:tr w:rsidR="00E378B5" w:rsidRPr="00A860AC" w:rsidTr="00E378B5">
        <w:trPr>
          <w:jc w:val="center"/>
        </w:trPr>
        <w:tc>
          <w:tcPr>
            <w:tcW w:w="1663" w:type="pct"/>
          </w:tcPr>
          <w:p w:rsidR="00E378B5" w:rsidRPr="00D34C2D" w:rsidRDefault="00E378B5" w:rsidP="00E378B5">
            <w:pPr>
              <w:widowControl w:val="0"/>
              <w:rPr>
                <w:rFonts w:ascii="Arial" w:hAnsi="Arial" w:cs="Arial"/>
                <w:sz w:val="22"/>
                <w:szCs w:val="22"/>
              </w:rPr>
            </w:pPr>
            <w:r w:rsidRPr="00D34C2D">
              <w:rPr>
                <w:rFonts w:ascii="Arial" w:hAnsi="Arial" w:cs="Arial"/>
                <w:sz w:val="22"/>
                <w:szCs w:val="22"/>
              </w:rPr>
              <w:t>Present value of benefits ($m)</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0.00</w:t>
            </w:r>
          </w:p>
        </w:tc>
        <w:tc>
          <w:tcPr>
            <w:tcW w:w="548" w:type="pct"/>
            <w:tcBorders>
              <w:top w:val="single" w:sz="4" w:space="0" w:color="auto"/>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5.82</w:t>
            </w:r>
          </w:p>
        </w:tc>
        <w:tc>
          <w:tcPr>
            <w:tcW w:w="462" w:type="pct"/>
            <w:tcBorders>
              <w:top w:val="single" w:sz="4" w:space="0" w:color="auto"/>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7.33</w:t>
            </w:r>
          </w:p>
        </w:tc>
        <w:tc>
          <w:tcPr>
            <w:tcW w:w="462" w:type="pct"/>
            <w:tcBorders>
              <w:top w:val="single" w:sz="4" w:space="0" w:color="auto"/>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7.33</w:t>
            </w:r>
          </w:p>
        </w:tc>
        <w:tc>
          <w:tcPr>
            <w:tcW w:w="462" w:type="pct"/>
            <w:tcBorders>
              <w:top w:val="single" w:sz="4" w:space="0" w:color="auto"/>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7.33</w:t>
            </w:r>
          </w:p>
        </w:tc>
        <w:tc>
          <w:tcPr>
            <w:tcW w:w="462" w:type="pct"/>
            <w:tcBorders>
              <w:top w:val="single" w:sz="4" w:space="0" w:color="auto"/>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7.33</w:t>
            </w:r>
          </w:p>
        </w:tc>
        <w:tc>
          <w:tcPr>
            <w:tcW w:w="455" w:type="pct"/>
            <w:tcBorders>
              <w:top w:val="single" w:sz="4" w:space="0" w:color="auto"/>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7.33</w:t>
            </w:r>
          </w:p>
        </w:tc>
      </w:tr>
      <w:tr w:rsidR="00E378B5" w:rsidRPr="00A860AC" w:rsidTr="00E378B5">
        <w:trPr>
          <w:jc w:val="center"/>
        </w:trPr>
        <w:tc>
          <w:tcPr>
            <w:tcW w:w="1663" w:type="pct"/>
          </w:tcPr>
          <w:p w:rsidR="00E378B5" w:rsidRPr="00D34C2D" w:rsidRDefault="00E378B5" w:rsidP="00E378B5">
            <w:pPr>
              <w:widowControl w:val="0"/>
              <w:rPr>
                <w:rFonts w:ascii="Arial" w:hAnsi="Arial" w:cs="Arial"/>
                <w:sz w:val="22"/>
                <w:szCs w:val="22"/>
              </w:rPr>
            </w:pPr>
            <w:r w:rsidRPr="00D34C2D">
              <w:rPr>
                <w:rFonts w:ascii="Arial" w:hAnsi="Arial" w:cs="Arial"/>
                <w:sz w:val="22"/>
                <w:szCs w:val="22"/>
              </w:rPr>
              <w:t>Present value of costs ($m)</w:t>
            </w:r>
          </w:p>
        </w:tc>
        <w:tc>
          <w:tcPr>
            <w:tcW w:w="486" w:type="pct"/>
            <w:tcBorders>
              <w:top w:val="nil"/>
              <w:left w:val="single" w:sz="4" w:space="0" w:color="auto"/>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0.63</w:t>
            </w:r>
          </w:p>
        </w:tc>
        <w:tc>
          <w:tcPr>
            <w:tcW w:w="548"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0.63</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0.63</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0.63</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0.63</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0.63</w:t>
            </w:r>
          </w:p>
        </w:tc>
        <w:tc>
          <w:tcPr>
            <w:tcW w:w="455"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0.63</w:t>
            </w:r>
          </w:p>
        </w:tc>
      </w:tr>
      <w:tr w:rsidR="00E378B5" w:rsidRPr="00A860AC" w:rsidTr="00E378B5">
        <w:trPr>
          <w:jc w:val="center"/>
        </w:trPr>
        <w:tc>
          <w:tcPr>
            <w:tcW w:w="1663" w:type="pct"/>
          </w:tcPr>
          <w:p w:rsidR="00E378B5" w:rsidRPr="00D34C2D" w:rsidRDefault="00E378B5" w:rsidP="00E378B5">
            <w:pPr>
              <w:widowControl w:val="0"/>
              <w:rPr>
                <w:rFonts w:ascii="Arial" w:hAnsi="Arial" w:cs="Arial"/>
                <w:sz w:val="22"/>
                <w:szCs w:val="22"/>
              </w:rPr>
            </w:pPr>
            <w:r w:rsidRPr="00D34C2D">
              <w:rPr>
                <w:rFonts w:ascii="Arial" w:hAnsi="Arial" w:cs="Arial"/>
                <w:sz w:val="22"/>
                <w:szCs w:val="22"/>
              </w:rPr>
              <w:t>Net present value ($m)</w:t>
            </w:r>
          </w:p>
        </w:tc>
        <w:tc>
          <w:tcPr>
            <w:tcW w:w="486" w:type="pct"/>
            <w:tcBorders>
              <w:top w:val="nil"/>
              <w:left w:val="single" w:sz="4" w:space="0" w:color="auto"/>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-0.63</w:t>
            </w:r>
          </w:p>
        </w:tc>
        <w:tc>
          <w:tcPr>
            <w:tcW w:w="548"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5.19</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6.70</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6.70</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6.70</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6.70</w:t>
            </w:r>
          </w:p>
        </w:tc>
        <w:tc>
          <w:tcPr>
            <w:tcW w:w="455"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6.70</w:t>
            </w:r>
          </w:p>
        </w:tc>
      </w:tr>
      <w:tr w:rsidR="00E378B5" w:rsidRPr="00A860AC" w:rsidTr="00E378B5">
        <w:trPr>
          <w:jc w:val="center"/>
        </w:trPr>
        <w:tc>
          <w:tcPr>
            <w:tcW w:w="1663" w:type="pct"/>
          </w:tcPr>
          <w:p w:rsidR="00E378B5" w:rsidRPr="00D34C2D" w:rsidRDefault="00E378B5" w:rsidP="00E378B5">
            <w:pPr>
              <w:widowControl w:val="0"/>
              <w:rPr>
                <w:rFonts w:ascii="Arial" w:hAnsi="Arial" w:cs="Arial"/>
                <w:sz w:val="22"/>
                <w:szCs w:val="22"/>
              </w:rPr>
            </w:pPr>
            <w:r w:rsidRPr="00D34C2D">
              <w:rPr>
                <w:rFonts w:ascii="Arial" w:hAnsi="Arial" w:cs="Arial"/>
                <w:sz w:val="22"/>
                <w:szCs w:val="22"/>
              </w:rPr>
              <w:t>Benefit-cost ratio</w:t>
            </w:r>
          </w:p>
        </w:tc>
        <w:tc>
          <w:tcPr>
            <w:tcW w:w="486" w:type="pct"/>
            <w:tcBorders>
              <w:top w:val="nil"/>
              <w:left w:val="single" w:sz="4" w:space="0" w:color="auto"/>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0.00</w:t>
            </w:r>
          </w:p>
        </w:tc>
        <w:tc>
          <w:tcPr>
            <w:tcW w:w="548"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9.29</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11.70</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11.70</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11.70</w:t>
            </w:r>
          </w:p>
        </w:tc>
        <w:tc>
          <w:tcPr>
            <w:tcW w:w="462"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11.70</w:t>
            </w:r>
          </w:p>
        </w:tc>
        <w:tc>
          <w:tcPr>
            <w:tcW w:w="455" w:type="pct"/>
            <w:tcBorders>
              <w:top w:val="nil"/>
              <w:left w:val="nil"/>
              <w:bottom w:val="single" w:sz="4" w:space="0" w:color="auto"/>
              <w:right w:val="single" w:sz="4" w:space="0" w:color="auto"/>
            </w:tcBorders>
            <w:shd w:val="clear" w:color="auto" w:fill="auto"/>
          </w:tcPr>
          <w:p w:rsidR="00E378B5" w:rsidRPr="00D34C2D" w:rsidRDefault="00E378B5" w:rsidP="00E378B5">
            <w:pPr>
              <w:jc w:val="right"/>
              <w:rPr>
                <w:rFonts w:ascii="Arial" w:hAnsi="Arial" w:cs="Arial"/>
                <w:sz w:val="22"/>
                <w:szCs w:val="22"/>
              </w:rPr>
            </w:pPr>
            <w:r w:rsidRPr="00D34C2D">
              <w:rPr>
                <w:rFonts w:ascii="Arial" w:hAnsi="Arial" w:cs="Arial"/>
                <w:sz w:val="22"/>
                <w:szCs w:val="22"/>
              </w:rPr>
              <w:t>11.70</w:t>
            </w:r>
          </w:p>
        </w:tc>
      </w:tr>
    </w:tbl>
    <w:p w:rsidR="00E378B5" w:rsidRPr="00D50C47" w:rsidRDefault="00E378B5" w:rsidP="00A0699E">
      <w:pPr>
        <w:spacing w:after="240"/>
        <w:rPr>
          <w:rFonts w:ascii="Arial" w:hAnsi="Arial" w:cs="Arial"/>
        </w:rPr>
      </w:pPr>
    </w:p>
    <w:p w:rsidR="00E378B5" w:rsidRPr="00D50C47" w:rsidRDefault="00E378B5" w:rsidP="00A0699E">
      <w:pPr>
        <w:widowControl w:val="0"/>
        <w:spacing w:after="240"/>
        <w:mirrorIndents/>
        <w:rPr>
          <w:rFonts w:ascii="Arial" w:hAnsi="Arial" w:cs="Arial"/>
          <w:b/>
          <w:sz w:val="24"/>
        </w:rPr>
      </w:pPr>
      <w:r w:rsidRPr="00D50C47">
        <w:rPr>
          <w:rFonts w:ascii="Arial" w:hAnsi="Arial" w:cs="Arial"/>
          <w:b/>
          <w:sz w:val="24"/>
        </w:rPr>
        <w:t xml:space="preserve">Confidence Ratings and other Findings </w:t>
      </w:r>
    </w:p>
    <w:p w:rsidR="00E378B5" w:rsidRPr="00D50C47" w:rsidRDefault="00E378B5" w:rsidP="00A0699E">
      <w:pPr>
        <w:widowControl w:val="0"/>
        <w:spacing w:after="240"/>
        <w:mirrorIndents/>
        <w:rPr>
          <w:rFonts w:ascii="Arial" w:hAnsi="Arial" w:cs="Arial"/>
        </w:rPr>
      </w:pPr>
      <w:r w:rsidRPr="00D50C47">
        <w:rPr>
          <w:rFonts w:ascii="Arial" w:hAnsi="Arial" w:cs="Arial"/>
        </w:rPr>
        <w:t xml:space="preserve">The results produced are highly dependent on the assumptions made, </w:t>
      </w:r>
      <w:r>
        <w:rPr>
          <w:rFonts w:ascii="Arial" w:hAnsi="Arial" w:cs="Arial"/>
        </w:rPr>
        <w:t xml:space="preserve">some </w:t>
      </w:r>
      <w:r w:rsidRPr="00D50C47">
        <w:rPr>
          <w:rFonts w:ascii="Arial" w:hAnsi="Arial" w:cs="Arial"/>
        </w:rPr>
        <w:t xml:space="preserve">of which are uncertain.  There are two factors that warrant recognition. The first factor is the coverage of benefits. Where there are multiple types of benefits it is often not possible to quantify all the benefits that may be linked to the investment. The second factor involves uncertainty regarding the assumptions made, including the linkage between the research and the assumed outcomes. </w:t>
      </w:r>
    </w:p>
    <w:p w:rsidR="00E378B5" w:rsidRPr="00D50C47" w:rsidRDefault="00E378B5" w:rsidP="00A0699E">
      <w:pPr>
        <w:widowControl w:val="0"/>
        <w:spacing w:after="240"/>
        <w:mirrorIndents/>
        <w:rPr>
          <w:rFonts w:ascii="Arial" w:hAnsi="Arial" w:cs="Arial"/>
        </w:rPr>
      </w:pPr>
      <w:r w:rsidRPr="00D50C47">
        <w:rPr>
          <w:rFonts w:ascii="Arial" w:hAnsi="Arial" w:cs="Arial"/>
        </w:rPr>
        <w:t>A confidence rating based on these two factors has been given to the results of the investment analysis (Table 1</w:t>
      </w:r>
      <w:r>
        <w:rPr>
          <w:rFonts w:ascii="Arial" w:hAnsi="Arial" w:cs="Arial"/>
        </w:rPr>
        <w:t>3</w:t>
      </w:r>
      <w:r w:rsidRPr="00D50C47">
        <w:rPr>
          <w:rFonts w:ascii="Arial" w:hAnsi="Arial" w:cs="Arial"/>
        </w:rPr>
        <w:t>). The rating categories used are High, Medium and Low, where:</w:t>
      </w:r>
    </w:p>
    <w:p w:rsidR="00E378B5" w:rsidRPr="00D50C47" w:rsidRDefault="00E378B5" w:rsidP="00E378B5">
      <w:pPr>
        <w:widowControl w:val="0"/>
        <w:ind w:left="1890" w:hanging="1350"/>
        <w:mirrorIndents/>
        <w:rPr>
          <w:rFonts w:ascii="Arial" w:hAnsi="Arial" w:cs="Arial"/>
        </w:rPr>
      </w:pPr>
      <w:r w:rsidRPr="00D50C47">
        <w:rPr>
          <w:rFonts w:ascii="Arial" w:hAnsi="Arial" w:cs="Arial"/>
        </w:rPr>
        <w:t>High:</w:t>
      </w:r>
      <w:r w:rsidRPr="00D50C47">
        <w:rPr>
          <w:rFonts w:ascii="Arial" w:hAnsi="Arial" w:cs="Arial"/>
        </w:rPr>
        <w:tab/>
        <w:t xml:space="preserve">denotes a good coverage of benefits or reasonable confidence in the assumptions made </w:t>
      </w:r>
    </w:p>
    <w:p w:rsidR="00E378B5" w:rsidRPr="00D50C47" w:rsidRDefault="00E378B5" w:rsidP="00E378B5">
      <w:pPr>
        <w:widowControl w:val="0"/>
        <w:ind w:left="1890" w:hanging="1350"/>
        <w:mirrorIndents/>
        <w:rPr>
          <w:rFonts w:ascii="Arial" w:hAnsi="Arial" w:cs="Arial"/>
        </w:rPr>
      </w:pPr>
      <w:r w:rsidRPr="00D50C47">
        <w:rPr>
          <w:rFonts w:ascii="Arial" w:hAnsi="Arial" w:cs="Arial"/>
        </w:rPr>
        <w:t>Medium:</w:t>
      </w:r>
      <w:r w:rsidRPr="00D50C47">
        <w:rPr>
          <w:rFonts w:ascii="Arial" w:hAnsi="Arial" w:cs="Arial"/>
        </w:rPr>
        <w:tab/>
        <w:t xml:space="preserve">denotes only a reasonable coverage of benefits or some uncertainties in assumptions made </w:t>
      </w:r>
    </w:p>
    <w:p w:rsidR="00E378B5" w:rsidRPr="00D50C47" w:rsidRDefault="00E378B5" w:rsidP="00A0699E">
      <w:pPr>
        <w:widowControl w:val="0"/>
        <w:spacing w:after="240"/>
        <w:ind w:left="1890" w:hanging="1350"/>
        <w:mirrorIndents/>
        <w:rPr>
          <w:rFonts w:ascii="Arial" w:hAnsi="Arial" w:cs="Arial"/>
        </w:rPr>
      </w:pPr>
      <w:r w:rsidRPr="00D50C47">
        <w:rPr>
          <w:rFonts w:ascii="Arial" w:hAnsi="Arial" w:cs="Arial"/>
        </w:rPr>
        <w:t>Low:</w:t>
      </w:r>
      <w:r w:rsidRPr="00D50C47">
        <w:rPr>
          <w:rFonts w:ascii="Arial" w:hAnsi="Arial" w:cs="Arial"/>
        </w:rPr>
        <w:tab/>
        <w:t xml:space="preserve">denotes a poor coverage of benefits or many uncertainties in assumptions made </w:t>
      </w:r>
    </w:p>
    <w:p w:rsidR="00E378B5" w:rsidRPr="00E86ACB" w:rsidRDefault="00E378B5" w:rsidP="00E86ACB">
      <w:pPr>
        <w:pStyle w:val="Caption"/>
        <w:spacing w:after="240"/>
        <w:jc w:val="center"/>
        <w:rPr>
          <w:rFonts w:ascii="Arial" w:hAnsi="Arial"/>
          <w:b w:val="0"/>
          <w:i/>
          <w:color w:val="000000" w:themeColor="text1"/>
          <w:sz w:val="22"/>
          <w:szCs w:val="22"/>
        </w:rPr>
      </w:pPr>
      <w:r w:rsidRPr="00E86ACB">
        <w:rPr>
          <w:rFonts w:ascii="Arial" w:hAnsi="Arial"/>
          <w:b w:val="0"/>
          <w:color w:val="000000" w:themeColor="text1"/>
          <w:sz w:val="22"/>
          <w:szCs w:val="22"/>
        </w:rPr>
        <w:t xml:space="preserve">Table </w:t>
      </w:r>
      <w:r w:rsidR="003147F5" w:rsidRPr="003147F5">
        <w:rPr>
          <w:rFonts w:ascii="Arial" w:hAnsi="Arial"/>
          <w:b w:val="0"/>
          <w:color w:val="000000" w:themeColor="text1"/>
          <w:sz w:val="22"/>
          <w:szCs w:val="22"/>
        </w:rPr>
        <w:t>13</w:t>
      </w:r>
      <w:r w:rsidRPr="00E86ACB">
        <w:rPr>
          <w:rFonts w:ascii="Arial" w:hAnsi="Arial"/>
          <w:b w:val="0"/>
          <w:color w:val="000000" w:themeColor="text1"/>
          <w:sz w:val="22"/>
          <w:szCs w:val="22"/>
        </w:rPr>
        <w:t xml:space="preserve">: Confidence in Analysis of Project </w:t>
      </w:r>
    </w:p>
    <w:tbl>
      <w:tblPr>
        <w:tblStyle w:val="TableGrid"/>
        <w:tblW w:w="0" w:type="auto"/>
        <w:tblInd w:w="1951" w:type="dxa"/>
        <w:tblLook w:val="04A0" w:firstRow="1" w:lastRow="0" w:firstColumn="1" w:lastColumn="0" w:noHBand="0" w:noVBand="1"/>
      </w:tblPr>
      <w:tblGrid>
        <w:gridCol w:w="2551"/>
        <w:gridCol w:w="2552"/>
      </w:tblGrid>
      <w:tr w:rsidR="00E378B5" w:rsidRPr="00D50C47" w:rsidTr="00E378B5">
        <w:tc>
          <w:tcPr>
            <w:tcW w:w="2551" w:type="dxa"/>
            <w:vAlign w:val="center"/>
          </w:tcPr>
          <w:p w:rsidR="00E378B5" w:rsidRPr="00D50C47" w:rsidRDefault="00E378B5" w:rsidP="00E378B5">
            <w:pPr>
              <w:widowControl w:val="0"/>
              <w:mirrorIndents/>
              <w:jc w:val="center"/>
              <w:rPr>
                <w:rFonts w:ascii="Arial" w:hAnsi="Arial" w:cs="Arial"/>
                <w:b/>
                <w:sz w:val="22"/>
                <w:szCs w:val="22"/>
              </w:rPr>
            </w:pPr>
            <w:r w:rsidRPr="00D50C47">
              <w:rPr>
                <w:rFonts w:ascii="Arial" w:hAnsi="Arial" w:cs="Arial"/>
                <w:b/>
                <w:sz w:val="22"/>
                <w:szCs w:val="22"/>
              </w:rPr>
              <w:t>Coverage of Benefits</w:t>
            </w:r>
          </w:p>
        </w:tc>
        <w:tc>
          <w:tcPr>
            <w:tcW w:w="2552" w:type="dxa"/>
            <w:vAlign w:val="center"/>
          </w:tcPr>
          <w:p w:rsidR="00E378B5" w:rsidRPr="00D50C47" w:rsidRDefault="00E378B5" w:rsidP="00E378B5">
            <w:pPr>
              <w:widowControl w:val="0"/>
              <w:mirrorIndents/>
              <w:jc w:val="center"/>
              <w:rPr>
                <w:rFonts w:ascii="Arial" w:hAnsi="Arial" w:cs="Arial"/>
                <w:b/>
                <w:sz w:val="22"/>
                <w:szCs w:val="22"/>
              </w:rPr>
            </w:pPr>
            <w:r w:rsidRPr="00D50C47">
              <w:rPr>
                <w:rFonts w:ascii="Arial" w:hAnsi="Arial" w:cs="Arial"/>
                <w:b/>
                <w:sz w:val="22"/>
                <w:szCs w:val="22"/>
              </w:rPr>
              <w:t>Confidence in Assumptions</w:t>
            </w:r>
          </w:p>
        </w:tc>
      </w:tr>
      <w:tr w:rsidR="00E378B5" w:rsidRPr="00D50C47" w:rsidTr="00E378B5">
        <w:trPr>
          <w:trHeight w:val="432"/>
        </w:trPr>
        <w:tc>
          <w:tcPr>
            <w:tcW w:w="2551" w:type="dxa"/>
            <w:vAlign w:val="center"/>
          </w:tcPr>
          <w:p w:rsidR="00E378B5" w:rsidRPr="00D50C47" w:rsidRDefault="00E378B5" w:rsidP="00E378B5">
            <w:pPr>
              <w:widowControl w:val="0"/>
              <w:mirrorIndents/>
              <w:jc w:val="center"/>
              <w:rPr>
                <w:rFonts w:ascii="Arial" w:hAnsi="Arial" w:cs="Arial"/>
                <w:sz w:val="22"/>
                <w:szCs w:val="22"/>
              </w:rPr>
            </w:pPr>
            <w:r w:rsidRPr="00D50C47">
              <w:rPr>
                <w:rFonts w:ascii="Arial" w:hAnsi="Arial" w:cs="Arial"/>
                <w:sz w:val="22"/>
                <w:szCs w:val="22"/>
              </w:rPr>
              <w:t>Medium</w:t>
            </w:r>
            <w:r>
              <w:rPr>
                <w:rFonts w:ascii="Arial" w:hAnsi="Arial" w:cs="Arial"/>
                <w:sz w:val="22"/>
                <w:szCs w:val="22"/>
              </w:rPr>
              <w:t>-High</w:t>
            </w:r>
          </w:p>
        </w:tc>
        <w:tc>
          <w:tcPr>
            <w:tcW w:w="2552" w:type="dxa"/>
            <w:vAlign w:val="center"/>
          </w:tcPr>
          <w:p w:rsidR="00E378B5" w:rsidRPr="00D50C47" w:rsidRDefault="00E378B5" w:rsidP="00E378B5">
            <w:pPr>
              <w:widowControl w:val="0"/>
              <w:mirrorIndents/>
              <w:jc w:val="center"/>
              <w:rPr>
                <w:rFonts w:ascii="Arial" w:hAnsi="Arial" w:cs="Arial"/>
                <w:sz w:val="22"/>
                <w:szCs w:val="22"/>
              </w:rPr>
            </w:pPr>
            <w:r>
              <w:rPr>
                <w:rFonts w:ascii="Arial" w:hAnsi="Arial" w:cs="Arial"/>
                <w:sz w:val="22"/>
                <w:szCs w:val="22"/>
              </w:rPr>
              <w:t xml:space="preserve">High </w:t>
            </w:r>
          </w:p>
        </w:tc>
      </w:tr>
    </w:tbl>
    <w:p w:rsidR="00E378B5" w:rsidRDefault="00E378B5" w:rsidP="00A0699E">
      <w:pPr>
        <w:spacing w:before="240" w:after="240"/>
        <w:rPr>
          <w:rFonts w:ascii="Arial" w:hAnsi="Arial" w:cs="Arial"/>
        </w:rPr>
      </w:pPr>
      <w:r w:rsidRPr="00D50C47">
        <w:rPr>
          <w:rFonts w:ascii="Arial" w:hAnsi="Arial" w:cs="Arial"/>
        </w:rPr>
        <w:t xml:space="preserve">Coverage of benefits was assessed as medium-high as most benefits were economic in nature relating to </w:t>
      </w:r>
      <w:r>
        <w:rPr>
          <w:rFonts w:ascii="Arial" w:hAnsi="Arial" w:cs="Arial"/>
        </w:rPr>
        <w:t xml:space="preserve">industry value increases. </w:t>
      </w:r>
      <w:r w:rsidRPr="00D50C47">
        <w:rPr>
          <w:rFonts w:ascii="Arial" w:hAnsi="Arial" w:cs="Arial"/>
        </w:rPr>
        <w:t>While some impacts were not valued, the</w:t>
      </w:r>
      <w:r>
        <w:rPr>
          <w:rFonts w:ascii="Arial" w:hAnsi="Arial" w:cs="Arial"/>
        </w:rPr>
        <w:t xml:space="preserve">ir contribution were considered minor compared with those valued. Nevertheless, the investment criteria as provided by the valued benefits are likely to be underestimated to some degree. </w:t>
      </w:r>
    </w:p>
    <w:p w:rsidR="00E378B5" w:rsidRDefault="00E378B5" w:rsidP="00A0699E">
      <w:pPr>
        <w:spacing w:before="240" w:after="240"/>
        <w:rPr>
          <w:rFonts w:ascii="Arial" w:hAnsi="Arial" w:cs="Arial"/>
        </w:rPr>
      </w:pPr>
      <w:r w:rsidRPr="00D50C47">
        <w:rPr>
          <w:rFonts w:ascii="Arial" w:hAnsi="Arial" w:cs="Arial"/>
        </w:rPr>
        <w:t xml:space="preserve">Confidence in assumptions was rated as </w:t>
      </w:r>
      <w:r>
        <w:rPr>
          <w:rFonts w:ascii="Arial" w:hAnsi="Arial" w:cs="Arial"/>
        </w:rPr>
        <w:t>high</w:t>
      </w:r>
      <w:r w:rsidRPr="00D50C47">
        <w:rPr>
          <w:rFonts w:ascii="Arial" w:hAnsi="Arial" w:cs="Arial"/>
        </w:rPr>
        <w:t xml:space="preserve">. </w:t>
      </w:r>
      <w:r>
        <w:rPr>
          <w:rFonts w:ascii="Arial" w:hAnsi="Arial" w:cs="Arial"/>
        </w:rPr>
        <w:t xml:space="preserve">The principal assumption of the unit price gain by industry due to avoided downgrading was supported by data provided by the project. The assumptions on adoption were supported by information from both project personnel and by written support by crabbers from throughout the supply chains.  </w:t>
      </w:r>
    </w:p>
    <w:p w:rsidR="00E378B5" w:rsidRPr="00E86ACB" w:rsidRDefault="00E378B5" w:rsidP="00E86ACB">
      <w:pPr>
        <w:spacing w:after="240"/>
        <w:rPr>
          <w:rFonts w:ascii="Arial" w:hAnsi="Arial" w:cs="Arial"/>
          <w:b/>
          <w:sz w:val="40"/>
          <w:szCs w:val="40"/>
        </w:rPr>
      </w:pPr>
      <w:bookmarkStart w:id="141" w:name="_Toc486145220"/>
      <w:bookmarkStart w:id="142" w:name="_Toc486145329"/>
      <w:bookmarkStart w:id="143" w:name="_Toc486146245"/>
      <w:r w:rsidRPr="00E86ACB">
        <w:rPr>
          <w:rFonts w:ascii="Arial" w:hAnsi="Arial" w:cs="Arial"/>
          <w:b/>
          <w:sz w:val="40"/>
          <w:szCs w:val="40"/>
        </w:rPr>
        <w:t>8. Conclusions</w:t>
      </w:r>
      <w:bookmarkEnd w:id="141"/>
      <w:bookmarkEnd w:id="142"/>
      <w:bookmarkEnd w:id="143"/>
      <w:r w:rsidRPr="00E86ACB">
        <w:rPr>
          <w:rFonts w:ascii="Arial" w:hAnsi="Arial" w:cs="Arial"/>
          <w:b/>
          <w:sz w:val="40"/>
          <w:szCs w:val="40"/>
        </w:rPr>
        <w:t xml:space="preserve"> </w:t>
      </w:r>
    </w:p>
    <w:p w:rsidR="00E378B5" w:rsidRPr="00064C72" w:rsidRDefault="00E378B5" w:rsidP="00A0699E">
      <w:pPr>
        <w:spacing w:after="240"/>
        <w:rPr>
          <w:rFonts w:ascii="Arial" w:hAnsi="Arial" w:cs="Arial"/>
        </w:rPr>
      </w:pPr>
      <w:r w:rsidRPr="00EE7D76">
        <w:rPr>
          <w:rFonts w:ascii="Arial" w:hAnsi="Arial" w:cs="Arial"/>
        </w:rPr>
        <w:t>Th</w:t>
      </w:r>
      <w:r>
        <w:rPr>
          <w:rFonts w:ascii="Arial" w:hAnsi="Arial" w:cs="Arial"/>
        </w:rPr>
        <w:t xml:space="preserve">e investment in this project has resulted in </w:t>
      </w:r>
      <w:r w:rsidRPr="00EE7D76">
        <w:rPr>
          <w:rFonts w:ascii="Arial" w:hAnsi="Arial" w:cs="Arial"/>
        </w:rPr>
        <w:t>imp</w:t>
      </w:r>
      <w:r>
        <w:rPr>
          <w:rFonts w:ascii="Arial" w:hAnsi="Arial" w:cs="Arial"/>
        </w:rPr>
        <w:t xml:space="preserve">rovements </w:t>
      </w:r>
      <w:r w:rsidRPr="00EE7D76">
        <w:rPr>
          <w:rFonts w:ascii="Arial" w:hAnsi="Arial" w:cs="Arial"/>
        </w:rPr>
        <w:t>to the orig</w:t>
      </w:r>
      <w:r>
        <w:rPr>
          <w:rFonts w:ascii="Arial" w:hAnsi="Arial" w:cs="Arial"/>
        </w:rPr>
        <w:t>i</w:t>
      </w:r>
      <w:r w:rsidRPr="00EE7D76">
        <w:rPr>
          <w:rFonts w:ascii="Arial" w:hAnsi="Arial" w:cs="Arial"/>
        </w:rPr>
        <w:t xml:space="preserve">nal </w:t>
      </w:r>
      <w:r>
        <w:rPr>
          <w:rFonts w:ascii="Arial" w:hAnsi="Arial" w:cs="Arial"/>
        </w:rPr>
        <w:t xml:space="preserve">2012 </w:t>
      </w:r>
      <w:r w:rsidRPr="00EE7D76">
        <w:rPr>
          <w:rFonts w:ascii="Arial" w:hAnsi="Arial" w:cs="Arial"/>
        </w:rPr>
        <w:t xml:space="preserve">grading </w:t>
      </w:r>
      <w:r>
        <w:rPr>
          <w:rFonts w:ascii="Arial" w:hAnsi="Arial" w:cs="Arial"/>
        </w:rPr>
        <w:t>s</w:t>
      </w:r>
      <w:r w:rsidRPr="00EE7D76">
        <w:rPr>
          <w:rFonts w:ascii="Arial" w:hAnsi="Arial" w:cs="Arial"/>
        </w:rPr>
        <w:t>cheme</w:t>
      </w:r>
      <w:r>
        <w:rPr>
          <w:rFonts w:ascii="Arial" w:hAnsi="Arial" w:cs="Arial"/>
        </w:rPr>
        <w:t xml:space="preserve">. These will provide benefits to the Australian Mud Crab Industry, an industry dominated by Queensland crabbers. Further, initial investigations into more objective non-invasive methods of grading of live crab were made in the project and have revealed </w:t>
      </w:r>
      <w:r w:rsidRPr="00064C72">
        <w:rPr>
          <w:rFonts w:ascii="Arial" w:hAnsi="Arial" w:cs="Arial"/>
        </w:rPr>
        <w:t xml:space="preserve">prospects for further development. </w:t>
      </w:r>
    </w:p>
    <w:p w:rsidR="00E378B5" w:rsidRDefault="00E378B5" w:rsidP="00A0699E">
      <w:pPr>
        <w:spacing w:after="240"/>
        <w:rPr>
          <w:rFonts w:ascii="Arial" w:hAnsi="Arial" w:cs="Arial"/>
        </w:rPr>
      </w:pPr>
      <w:r w:rsidRPr="00064C72">
        <w:rPr>
          <w:rFonts w:ascii="Arial" w:hAnsi="Arial" w:cs="Arial"/>
        </w:rPr>
        <w:t>Given the base counterfactual scenario, funding for the project over the two years totalled $0.6 million (present value terms) and produced aggregate total expected benefits of $</w:t>
      </w:r>
      <w:r>
        <w:rPr>
          <w:rFonts w:ascii="Arial" w:hAnsi="Arial" w:cs="Arial"/>
        </w:rPr>
        <w:t>20.6</w:t>
      </w:r>
      <w:r w:rsidRPr="00064C72">
        <w:rPr>
          <w:rFonts w:ascii="Arial" w:hAnsi="Arial" w:cs="Arial"/>
        </w:rPr>
        <w:t xml:space="preserve"> million (present value terms). This gave a net present value of $</w:t>
      </w:r>
      <w:r>
        <w:rPr>
          <w:rFonts w:ascii="Arial" w:hAnsi="Arial" w:cs="Arial"/>
        </w:rPr>
        <w:t>20.0</w:t>
      </w:r>
      <w:r w:rsidRPr="00064C72">
        <w:rPr>
          <w:rFonts w:ascii="Arial" w:hAnsi="Arial" w:cs="Arial"/>
        </w:rPr>
        <w:t xml:space="preserve"> million, a benefit-cost ratio of 3</w:t>
      </w:r>
      <w:r>
        <w:rPr>
          <w:rFonts w:ascii="Arial" w:hAnsi="Arial" w:cs="Arial"/>
        </w:rPr>
        <w:t>3</w:t>
      </w:r>
      <w:r w:rsidRPr="00064C72">
        <w:rPr>
          <w:rFonts w:ascii="Arial" w:hAnsi="Arial" w:cs="Arial"/>
        </w:rPr>
        <w:t xml:space="preserve"> to 1, an internal rate of return of 13</w:t>
      </w:r>
      <w:r>
        <w:rPr>
          <w:rFonts w:ascii="Arial" w:hAnsi="Arial" w:cs="Arial"/>
        </w:rPr>
        <w:t>2</w:t>
      </w:r>
      <w:r w:rsidRPr="00064C72">
        <w:rPr>
          <w:rFonts w:ascii="Arial" w:hAnsi="Arial" w:cs="Arial"/>
        </w:rPr>
        <w:t>% and a modified internal rate of return of 18%.</w:t>
      </w:r>
    </w:p>
    <w:p w:rsidR="00E378B5" w:rsidRDefault="00E378B5" w:rsidP="00A0699E">
      <w:pPr>
        <w:spacing w:after="240"/>
        <w:rPr>
          <w:rFonts w:ascii="Arial" w:hAnsi="Arial" w:cs="Arial"/>
        </w:rPr>
      </w:pPr>
      <w:r w:rsidRPr="00064C72">
        <w:rPr>
          <w:rFonts w:ascii="Arial" w:hAnsi="Arial" w:cs="Arial"/>
        </w:rPr>
        <w:t>Using the alternative counterfactual that a revised grading scheme would have occurred anyway in future years, the benefit-cost ratio was estimated as 12 to 1. Hence, it can be concluded that the performance of the investment as measured by the benefit-cost ratio was probably at least 12 to 1, and potentially as high as 3</w:t>
      </w:r>
      <w:r>
        <w:rPr>
          <w:rFonts w:ascii="Arial" w:hAnsi="Arial" w:cs="Arial"/>
        </w:rPr>
        <w:t>3</w:t>
      </w:r>
      <w:r w:rsidRPr="00064C72">
        <w:rPr>
          <w:rFonts w:ascii="Arial" w:hAnsi="Arial" w:cs="Arial"/>
        </w:rPr>
        <w:t xml:space="preserve"> to 1. </w:t>
      </w:r>
    </w:p>
    <w:p w:rsidR="00E378B5" w:rsidRPr="00064C72" w:rsidRDefault="00E378B5" w:rsidP="00A0699E">
      <w:pPr>
        <w:spacing w:after="240"/>
        <w:rPr>
          <w:rFonts w:ascii="Arial" w:hAnsi="Arial" w:cs="Arial"/>
        </w:rPr>
      </w:pPr>
      <w:r>
        <w:rPr>
          <w:rFonts w:ascii="Arial" w:hAnsi="Arial" w:cs="Arial"/>
        </w:rPr>
        <w:t xml:space="preserve">The analysis provided a good example of a small investment in a relatively small industry that has provided significant returns to both the Australian and Queensland industry. </w:t>
      </w:r>
      <w:r w:rsidRPr="00064C72">
        <w:rPr>
          <w:rFonts w:ascii="Arial" w:hAnsi="Arial" w:cs="Arial"/>
        </w:rPr>
        <w:t xml:space="preserve"> </w:t>
      </w:r>
    </w:p>
    <w:p w:rsidR="00E378B5" w:rsidRPr="00E86ACB" w:rsidRDefault="00E378B5" w:rsidP="00E86ACB">
      <w:pPr>
        <w:spacing w:after="240"/>
        <w:rPr>
          <w:rFonts w:ascii="Arial" w:hAnsi="Arial" w:cs="Arial"/>
          <w:b/>
          <w:sz w:val="40"/>
          <w:szCs w:val="40"/>
        </w:rPr>
      </w:pPr>
      <w:bookmarkStart w:id="144" w:name="_Toc486145221"/>
      <w:bookmarkStart w:id="145" w:name="_Toc486145330"/>
      <w:bookmarkStart w:id="146" w:name="_Toc486146246"/>
      <w:r w:rsidRPr="00E86ACB">
        <w:rPr>
          <w:rFonts w:ascii="Arial" w:hAnsi="Arial" w:cs="Arial"/>
          <w:b/>
          <w:sz w:val="40"/>
          <w:szCs w:val="40"/>
        </w:rPr>
        <w:t>References</w:t>
      </w:r>
      <w:bookmarkEnd w:id="144"/>
      <w:bookmarkEnd w:id="145"/>
      <w:bookmarkEnd w:id="146"/>
    </w:p>
    <w:p w:rsidR="00E378B5" w:rsidRDefault="00E378B5" w:rsidP="00E378B5">
      <w:pPr>
        <w:rPr>
          <w:rFonts w:ascii="Arial" w:hAnsi="Arial" w:cs="Arial"/>
        </w:rPr>
      </w:pPr>
      <w:r w:rsidRPr="003B660D">
        <w:rPr>
          <w:rFonts w:ascii="Arial" w:hAnsi="Arial" w:cs="Arial"/>
        </w:rPr>
        <w:t xml:space="preserve">ABARES (2014) Australian Fisheries and Aquaculture Statistics, Canberra. </w:t>
      </w:r>
    </w:p>
    <w:p w:rsidR="0042513E" w:rsidRPr="003B660D" w:rsidRDefault="0042513E" w:rsidP="00E378B5">
      <w:pPr>
        <w:rPr>
          <w:rFonts w:ascii="Arial" w:hAnsi="Arial" w:cs="Arial"/>
        </w:rPr>
      </w:pPr>
    </w:p>
    <w:p w:rsidR="0042513E" w:rsidRDefault="00E378B5" w:rsidP="00E378B5">
      <w:pPr>
        <w:rPr>
          <w:rFonts w:ascii="Arial" w:hAnsi="Arial" w:cs="Arial"/>
        </w:rPr>
      </w:pPr>
      <w:r w:rsidRPr="003B660D">
        <w:rPr>
          <w:rFonts w:ascii="Arial" w:hAnsi="Arial" w:cs="Arial"/>
        </w:rPr>
        <w:t xml:space="preserve">Calogeras C, Mayze J, and Poole S (2012) Using Industry Expertise to Build a National </w:t>
      </w:r>
    </w:p>
    <w:p w:rsidR="00E378B5" w:rsidRPr="003B660D" w:rsidRDefault="00E378B5" w:rsidP="0042513E">
      <w:pPr>
        <w:ind w:left="720"/>
        <w:rPr>
          <w:rFonts w:ascii="Arial" w:hAnsi="Arial" w:cs="Arial"/>
        </w:rPr>
      </w:pPr>
      <w:r w:rsidRPr="003B660D">
        <w:rPr>
          <w:rFonts w:ascii="Arial" w:hAnsi="Arial" w:cs="Arial"/>
        </w:rPr>
        <w:t xml:space="preserve">Scheme for Grading of Live Mud </w:t>
      </w:r>
      <w:r>
        <w:rPr>
          <w:rFonts w:ascii="Arial" w:hAnsi="Arial" w:cs="Arial"/>
        </w:rPr>
        <w:t>Crab</w:t>
      </w:r>
      <w:r w:rsidRPr="003B660D">
        <w:rPr>
          <w:rFonts w:ascii="Arial" w:hAnsi="Arial" w:cs="Arial"/>
        </w:rPr>
        <w:t xml:space="preserve">: Developing the Australian Industry Live Mud Crab Grading Scheme, Final Report, FRDC Project 2011/225 </w:t>
      </w:r>
    </w:p>
    <w:p w:rsidR="00E378B5" w:rsidRPr="000C1968" w:rsidRDefault="00E378B5" w:rsidP="00E378B5">
      <w:pPr>
        <w:rPr>
          <w:rFonts w:ascii="Arial" w:hAnsi="Arial" w:cs="Arial"/>
          <w:color w:val="FF0000"/>
        </w:rPr>
      </w:pPr>
    </w:p>
    <w:p w:rsidR="00E378B5" w:rsidRPr="000C1968" w:rsidRDefault="00E378B5" w:rsidP="00E378B5">
      <w:pPr>
        <w:rPr>
          <w:rFonts w:ascii="Arial" w:hAnsi="Arial" w:cs="Arial"/>
        </w:rPr>
      </w:pPr>
      <w:r w:rsidRPr="000C1968">
        <w:rPr>
          <w:rFonts w:ascii="Arial" w:hAnsi="Arial" w:cs="Arial"/>
        </w:rPr>
        <w:t>CRRDC (2014) Impact Assessment Guidelines – Version 1, May 2014, CRRDC, Canberra</w:t>
      </w:r>
    </w:p>
    <w:p w:rsidR="00E378B5" w:rsidRPr="000C1968" w:rsidRDefault="00402DE3" w:rsidP="0042513E">
      <w:pPr>
        <w:ind w:left="720"/>
        <w:rPr>
          <w:rFonts w:ascii="Arial" w:hAnsi="Arial" w:cs="Arial"/>
        </w:rPr>
      </w:pPr>
      <w:hyperlink r:id="rId15" w:history="1">
        <w:r w:rsidR="0042513E" w:rsidRPr="00545B8D">
          <w:rPr>
            <w:rStyle w:val="Hyperlink"/>
            <w:rFonts w:ascii="Arial" w:hAnsi="Arial" w:cs="Arial"/>
          </w:rPr>
          <w:t>http://www.ruralrdc.com.au/wp-content/uploads/2016/04/CRRDC-Impact-Assessment-Guidelines-V.1-070514.pdf</w:t>
        </w:r>
      </w:hyperlink>
    </w:p>
    <w:p w:rsidR="00E378B5" w:rsidRDefault="00E378B5" w:rsidP="00E378B5">
      <w:pPr>
        <w:rPr>
          <w:rFonts w:ascii="Arial" w:hAnsi="Arial" w:cs="Arial"/>
          <w:color w:val="FF0000"/>
        </w:rPr>
      </w:pPr>
    </w:p>
    <w:p w:rsidR="0042513E" w:rsidRDefault="0042513E" w:rsidP="00E378B5">
      <w:pPr>
        <w:rPr>
          <w:rFonts w:ascii="Arial" w:hAnsi="Arial" w:cs="Arial"/>
          <w:color w:val="FF0000"/>
        </w:rPr>
      </w:pPr>
    </w:p>
    <w:p w:rsidR="0042513E" w:rsidRPr="000C1968" w:rsidRDefault="0042513E" w:rsidP="00E378B5">
      <w:pPr>
        <w:rPr>
          <w:rFonts w:ascii="Arial" w:hAnsi="Arial" w:cs="Arial"/>
          <w:color w:val="FF0000"/>
        </w:rPr>
      </w:pPr>
    </w:p>
    <w:p w:rsidR="0042513E" w:rsidRDefault="00E378B5" w:rsidP="00E378B5">
      <w:pPr>
        <w:rPr>
          <w:rFonts w:ascii="Arial" w:hAnsi="Arial" w:cs="Arial"/>
        </w:rPr>
      </w:pPr>
      <w:r w:rsidRPr="001419D7">
        <w:rPr>
          <w:rFonts w:ascii="Arial" w:hAnsi="Arial" w:cs="Arial"/>
        </w:rPr>
        <w:t xml:space="preserve">DAWR (2015) Rural Research and Development Priorities, Department of Agriculture and </w:t>
      </w:r>
    </w:p>
    <w:p w:rsidR="00E378B5" w:rsidRPr="001419D7" w:rsidRDefault="00E378B5" w:rsidP="0042513E">
      <w:pPr>
        <w:ind w:left="720"/>
        <w:rPr>
          <w:rStyle w:val="Hyperlink"/>
          <w:rFonts w:ascii="Arial" w:hAnsi="Arial" w:cs="Arial"/>
        </w:rPr>
      </w:pPr>
      <w:r w:rsidRPr="001419D7">
        <w:rPr>
          <w:rFonts w:ascii="Arial" w:hAnsi="Arial" w:cs="Arial"/>
        </w:rPr>
        <w:t xml:space="preserve">Water Resources, Canberra, ACT, accessed January 2016 at: </w:t>
      </w:r>
      <w:hyperlink r:id="rId16" w:history="1">
        <w:r w:rsidRPr="001419D7">
          <w:rPr>
            <w:rStyle w:val="Hyperlink"/>
            <w:rFonts w:ascii="Arial" w:hAnsi="Arial" w:cs="Arial"/>
          </w:rPr>
          <w:t>http://www.agriculture.gov.au/ag-farm-food/innovation/priorities</w:t>
        </w:r>
      </w:hyperlink>
    </w:p>
    <w:p w:rsidR="00E378B5" w:rsidRPr="000C1968" w:rsidRDefault="00E378B5" w:rsidP="00E378B5">
      <w:pPr>
        <w:rPr>
          <w:rFonts w:ascii="Arial" w:hAnsi="Arial" w:cs="Arial"/>
          <w:color w:val="FF0000"/>
        </w:rPr>
      </w:pPr>
    </w:p>
    <w:p w:rsidR="0042513E" w:rsidRDefault="00E378B5" w:rsidP="00E378B5">
      <w:pPr>
        <w:rPr>
          <w:rFonts w:ascii="Arial" w:hAnsi="Arial" w:cs="Arial"/>
        </w:rPr>
      </w:pPr>
      <w:r w:rsidRPr="000C1968">
        <w:rPr>
          <w:rFonts w:ascii="Arial" w:hAnsi="Arial" w:cs="Arial"/>
        </w:rPr>
        <w:t xml:space="preserve">FRDC (2016a) Stock Status Report for Mud </w:t>
      </w:r>
      <w:r>
        <w:rPr>
          <w:rFonts w:ascii="Arial" w:hAnsi="Arial" w:cs="Arial"/>
        </w:rPr>
        <w:t>Crab</w:t>
      </w:r>
      <w:r w:rsidRPr="000C1968">
        <w:rPr>
          <w:rFonts w:ascii="Arial" w:hAnsi="Arial" w:cs="Arial"/>
        </w:rPr>
        <w:t xml:space="preserve">, accessed 17 February 2017 at:  </w:t>
      </w:r>
    </w:p>
    <w:p w:rsidR="00E378B5" w:rsidRPr="000C1968" w:rsidRDefault="00402DE3" w:rsidP="0042513E">
      <w:pPr>
        <w:ind w:firstLine="720"/>
        <w:rPr>
          <w:rFonts w:ascii="Arial" w:hAnsi="Arial" w:cs="Arial"/>
        </w:rPr>
      </w:pPr>
      <w:hyperlink r:id="rId17" w:history="1">
        <w:r w:rsidR="00E378B5" w:rsidRPr="000C1968">
          <w:rPr>
            <w:rStyle w:val="Hyperlink"/>
            <w:rFonts w:ascii="Arial" w:hAnsi="Arial" w:cs="Arial"/>
          </w:rPr>
          <w:t>http://www.fish.gov.au/report/41-MUD-</w:t>
        </w:r>
        <w:r w:rsidR="00E378B5">
          <w:rPr>
            <w:rStyle w:val="Hyperlink"/>
            <w:rFonts w:ascii="Arial" w:hAnsi="Arial" w:cs="Arial"/>
          </w:rPr>
          <w:t>CRAB</w:t>
        </w:r>
        <w:r w:rsidR="00E378B5" w:rsidRPr="000C1968">
          <w:rPr>
            <w:rStyle w:val="Hyperlink"/>
            <w:rFonts w:ascii="Arial" w:hAnsi="Arial" w:cs="Arial"/>
          </w:rPr>
          <w:t>-2016</w:t>
        </w:r>
      </w:hyperlink>
    </w:p>
    <w:p w:rsidR="00E378B5" w:rsidRPr="000C1968" w:rsidRDefault="00E378B5" w:rsidP="00E378B5">
      <w:pPr>
        <w:rPr>
          <w:rFonts w:ascii="Arial" w:hAnsi="Arial" w:cs="Arial"/>
          <w:color w:val="FF0000"/>
        </w:rPr>
      </w:pPr>
    </w:p>
    <w:p w:rsidR="0042513E" w:rsidRDefault="00E378B5" w:rsidP="00E378B5">
      <w:pPr>
        <w:rPr>
          <w:rFonts w:ascii="Arial" w:hAnsi="Arial" w:cs="Arial"/>
        </w:rPr>
      </w:pPr>
      <w:r w:rsidRPr="000C2464">
        <w:rPr>
          <w:rFonts w:ascii="Arial" w:hAnsi="Arial" w:cs="Arial"/>
        </w:rPr>
        <w:t xml:space="preserve">FRDC (2016b) Fisheries Research and Development Corporation, Annual Report 2015-16, </w:t>
      </w:r>
    </w:p>
    <w:p w:rsidR="00E378B5" w:rsidRPr="000C2464" w:rsidRDefault="00E378B5" w:rsidP="0042513E">
      <w:pPr>
        <w:ind w:left="720"/>
        <w:rPr>
          <w:rFonts w:ascii="Arial" w:hAnsi="Arial" w:cs="Arial"/>
        </w:rPr>
      </w:pPr>
      <w:r w:rsidRPr="000C2464">
        <w:rPr>
          <w:rFonts w:ascii="Arial" w:hAnsi="Arial" w:cs="Arial"/>
        </w:rPr>
        <w:t xml:space="preserve">Canberra, accessed February 2017 at </w:t>
      </w:r>
      <w:hyperlink r:id="rId18" w:history="1">
        <w:r w:rsidRPr="000C2464">
          <w:rPr>
            <w:rStyle w:val="Hyperlink"/>
            <w:rFonts w:ascii="Arial" w:hAnsi="Arial" w:cs="Arial"/>
          </w:rPr>
          <w:t>http://www.frdc.com.au/about_frdc/Documents/Annual_Report/FRDC_Annual_Report_2016.pdf</w:t>
        </w:r>
      </w:hyperlink>
    </w:p>
    <w:p w:rsidR="00E378B5" w:rsidRPr="000C1968" w:rsidRDefault="00E378B5" w:rsidP="00E378B5">
      <w:pPr>
        <w:rPr>
          <w:rFonts w:ascii="Arial" w:hAnsi="Arial" w:cs="Arial"/>
          <w:color w:val="FF0000"/>
        </w:rPr>
      </w:pPr>
    </w:p>
    <w:p w:rsidR="00E378B5" w:rsidRPr="00406A6B" w:rsidRDefault="00E378B5" w:rsidP="00E378B5">
      <w:pPr>
        <w:rPr>
          <w:rFonts w:ascii="Arial" w:hAnsi="Arial" w:cs="Arial"/>
        </w:rPr>
      </w:pPr>
      <w:r w:rsidRPr="00406A6B">
        <w:rPr>
          <w:rFonts w:ascii="Arial" w:hAnsi="Arial" w:cs="Arial"/>
        </w:rPr>
        <w:t>Mayze J, Poole S, Exley P and Calogeras C, (2016) Building Precision into the</w:t>
      </w:r>
    </w:p>
    <w:p w:rsidR="00E378B5" w:rsidRPr="00406A6B" w:rsidRDefault="00E378B5" w:rsidP="0042513E">
      <w:pPr>
        <w:ind w:firstLine="720"/>
        <w:rPr>
          <w:rFonts w:ascii="Arial" w:hAnsi="Arial" w:cs="Arial"/>
        </w:rPr>
      </w:pPr>
      <w:r w:rsidRPr="00406A6B">
        <w:rPr>
          <w:rFonts w:ascii="Arial" w:hAnsi="Arial" w:cs="Arial"/>
        </w:rPr>
        <w:t>Australian Industry Live Mud Crab Grading Scheme (AILMCGS) through</w:t>
      </w:r>
    </w:p>
    <w:p w:rsidR="00E378B5" w:rsidRPr="00406A6B" w:rsidRDefault="00E378B5" w:rsidP="0042513E">
      <w:pPr>
        <w:ind w:firstLine="720"/>
        <w:rPr>
          <w:rFonts w:ascii="Arial" w:hAnsi="Arial" w:cs="Arial"/>
        </w:rPr>
      </w:pPr>
      <w:r w:rsidRPr="00406A6B">
        <w:rPr>
          <w:rFonts w:ascii="Arial" w:hAnsi="Arial" w:cs="Arial"/>
        </w:rPr>
        <w:t>Addressing Grading and Regional Anomalies, Final Report</w:t>
      </w:r>
      <w:r>
        <w:rPr>
          <w:rFonts w:ascii="Arial" w:hAnsi="Arial" w:cs="Arial"/>
        </w:rPr>
        <w:t xml:space="preserve">, </w:t>
      </w:r>
      <w:r w:rsidRPr="00406A6B">
        <w:rPr>
          <w:rFonts w:ascii="Arial" w:hAnsi="Arial" w:cs="Arial"/>
        </w:rPr>
        <w:t>FRDC Project 2014/218</w:t>
      </w:r>
      <w:r>
        <w:rPr>
          <w:rFonts w:ascii="Arial" w:hAnsi="Arial" w:cs="Arial"/>
        </w:rPr>
        <w:t>.</w:t>
      </w:r>
    </w:p>
    <w:p w:rsidR="00E378B5" w:rsidRDefault="00E378B5" w:rsidP="00E378B5">
      <w:pPr>
        <w:rPr>
          <w:rFonts w:ascii="Arial" w:hAnsi="Arial" w:cs="Arial"/>
          <w:color w:val="FF0000"/>
        </w:rPr>
      </w:pPr>
    </w:p>
    <w:p w:rsidR="0042513E" w:rsidRDefault="00E378B5" w:rsidP="00E378B5">
      <w:pPr>
        <w:rPr>
          <w:rFonts w:ascii="Arial" w:hAnsi="Arial" w:cs="Arial"/>
        </w:rPr>
      </w:pPr>
      <w:r w:rsidRPr="001419D7">
        <w:rPr>
          <w:rFonts w:ascii="Arial" w:hAnsi="Arial" w:cs="Arial"/>
        </w:rPr>
        <w:t>OCS (2016) Science and Research Priorities</w:t>
      </w:r>
      <w:r w:rsidRPr="001419D7">
        <w:rPr>
          <w:rFonts w:ascii="Arial" w:hAnsi="Arial" w:cs="Arial"/>
          <w:i/>
        </w:rPr>
        <w:t xml:space="preserve">, </w:t>
      </w:r>
      <w:r w:rsidRPr="001419D7">
        <w:rPr>
          <w:rFonts w:ascii="Arial" w:hAnsi="Arial" w:cs="Arial"/>
        </w:rPr>
        <w:t xml:space="preserve">Office of the Chief Scientist, Department of </w:t>
      </w:r>
    </w:p>
    <w:p w:rsidR="00E378B5" w:rsidRPr="001419D7" w:rsidRDefault="00E378B5" w:rsidP="0042513E">
      <w:pPr>
        <w:ind w:left="720"/>
        <w:rPr>
          <w:rStyle w:val="Hyperlink"/>
          <w:rFonts w:ascii="Arial" w:hAnsi="Arial" w:cs="Arial"/>
        </w:rPr>
      </w:pPr>
      <w:r w:rsidRPr="001419D7">
        <w:rPr>
          <w:rFonts w:ascii="Arial" w:hAnsi="Arial" w:cs="Arial"/>
        </w:rPr>
        <w:t xml:space="preserve">Industry, Innovation and Science, Canberra, accessed 02 November 16 at: </w:t>
      </w:r>
      <w:hyperlink r:id="rId19" w:history="1">
        <w:r w:rsidR="0042513E" w:rsidRPr="00545B8D">
          <w:rPr>
            <w:rStyle w:val="Hyperlink"/>
            <w:rFonts w:ascii="Arial" w:hAnsi="Arial" w:cs="Arial"/>
          </w:rPr>
          <w:t>http://science.gov.au/scienceGov/ScienceAndResearchPriorities/Pages/default.aspx</w:t>
        </w:r>
      </w:hyperlink>
    </w:p>
    <w:p w:rsidR="0042513E" w:rsidRDefault="0042513E" w:rsidP="00E378B5">
      <w:pPr>
        <w:autoSpaceDE w:val="0"/>
        <w:autoSpaceDN w:val="0"/>
        <w:adjustRightInd w:val="0"/>
        <w:rPr>
          <w:rFonts w:ascii="Arial" w:hAnsi="Arial" w:cs="Arial"/>
        </w:rPr>
      </w:pPr>
    </w:p>
    <w:p w:rsidR="0042513E" w:rsidRDefault="00E378B5" w:rsidP="00E378B5">
      <w:pPr>
        <w:autoSpaceDE w:val="0"/>
        <w:autoSpaceDN w:val="0"/>
        <w:adjustRightInd w:val="0"/>
        <w:rPr>
          <w:rFonts w:ascii="Arial" w:hAnsi="Arial" w:cs="Arial"/>
        </w:rPr>
      </w:pPr>
      <w:r w:rsidRPr="001419D7">
        <w:rPr>
          <w:rFonts w:ascii="Arial" w:hAnsi="Arial" w:cs="Arial"/>
        </w:rPr>
        <w:t xml:space="preserve">Office of the Chief Scientist, Queensland Government (2015) Revised Queensland Science </w:t>
      </w:r>
    </w:p>
    <w:p w:rsidR="00E378B5" w:rsidRDefault="00E378B5" w:rsidP="0042513E">
      <w:pPr>
        <w:autoSpaceDE w:val="0"/>
        <w:autoSpaceDN w:val="0"/>
        <w:adjustRightInd w:val="0"/>
        <w:ind w:left="720"/>
        <w:rPr>
          <w:rFonts w:ascii="Arial" w:hAnsi="Arial" w:cs="Arial"/>
        </w:rPr>
      </w:pPr>
      <w:r w:rsidRPr="001419D7">
        <w:rPr>
          <w:rFonts w:ascii="Arial" w:hAnsi="Arial" w:cs="Arial"/>
        </w:rPr>
        <w:t>and Research Priorities, accessed 17 February 2017 at: http://www.chiefscientist.qld.gov.au/images/documents/chiefscientist/pubs/reports-other/qld-science-n-research-priorities-2015-2016.pdf</w:t>
      </w:r>
    </w:p>
    <w:p w:rsidR="00E378B5" w:rsidRDefault="00E378B5" w:rsidP="00E378B5">
      <w:pPr>
        <w:autoSpaceDE w:val="0"/>
        <w:autoSpaceDN w:val="0"/>
        <w:adjustRightInd w:val="0"/>
        <w:rPr>
          <w:rFonts w:ascii="Arial" w:hAnsi="Arial" w:cs="Arial"/>
        </w:rPr>
      </w:pPr>
    </w:p>
    <w:p w:rsidR="0042513E" w:rsidRDefault="00E378B5" w:rsidP="00E378B5">
      <w:pPr>
        <w:autoSpaceDE w:val="0"/>
        <w:autoSpaceDN w:val="0"/>
        <w:adjustRightInd w:val="0"/>
        <w:rPr>
          <w:rFonts w:ascii="Arial" w:hAnsi="Arial" w:cs="Arial"/>
        </w:rPr>
      </w:pPr>
      <w:r w:rsidRPr="00556A22">
        <w:rPr>
          <w:rFonts w:ascii="Arial" w:hAnsi="Arial" w:cs="Arial"/>
        </w:rPr>
        <w:t xml:space="preserve">Poole S, Mayze J and Calogeras C (2012) Equipping the mud crab industry with innovative </w:t>
      </w:r>
    </w:p>
    <w:p w:rsidR="00E378B5" w:rsidRPr="00556A22" w:rsidRDefault="00E378B5" w:rsidP="0042513E">
      <w:pPr>
        <w:autoSpaceDE w:val="0"/>
        <w:autoSpaceDN w:val="0"/>
        <w:adjustRightInd w:val="0"/>
        <w:ind w:left="720"/>
        <w:rPr>
          <w:rFonts w:ascii="Arial" w:hAnsi="Arial" w:cs="Arial"/>
        </w:rPr>
      </w:pPr>
      <w:r w:rsidRPr="00556A22">
        <w:rPr>
          <w:rFonts w:ascii="Arial" w:hAnsi="Arial" w:cs="Arial"/>
        </w:rPr>
        <w:t xml:space="preserve">skills through extension of best practice handling, Final Report, FRDC </w:t>
      </w:r>
      <w:r>
        <w:rPr>
          <w:rFonts w:ascii="Arial" w:hAnsi="Arial" w:cs="Arial"/>
        </w:rPr>
        <w:t xml:space="preserve">Project </w:t>
      </w:r>
      <w:r w:rsidRPr="00556A22">
        <w:rPr>
          <w:rFonts w:ascii="Arial" w:hAnsi="Arial" w:cs="Arial"/>
        </w:rPr>
        <w:t>2010</w:t>
      </w:r>
      <w:r w:rsidRPr="00556A22">
        <w:rPr>
          <w:rFonts w:ascii="Cambria Math" w:hAnsi="Cambria Math" w:cs="Cambria Math"/>
        </w:rPr>
        <w:t>‐</w:t>
      </w:r>
      <w:r w:rsidRPr="00556A22">
        <w:rPr>
          <w:rFonts w:ascii="Arial" w:hAnsi="Arial" w:cs="Arial"/>
        </w:rPr>
        <w:t>302, Department of Agriculture, Fisheries and Forestry, Queensland Government</w:t>
      </w:r>
      <w:r>
        <w:rPr>
          <w:rFonts w:ascii="Arial" w:hAnsi="Arial" w:cs="Arial"/>
        </w:rPr>
        <w:t>.</w:t>
      </w:r>
    </w:p>
    <w:p w:rsidR="00E378B5" w:rsidRPr="00C66231" w:rsidRDefault="00E378B5" w:rsidP="00C66231">
      <w:pPr>
        <w:rPr>
          <w:rStyle w:val="Hyperlink"/>
          <w:rFonts w:ascii="Arial" w:hAnsi="Arial" w:cs="Arial"/>
          <w:color w:val="auto"/>
          <w:szCs w:val="22"/>
        </w:rPr>
      </w:pPr>
    </w:p>
    <w:p w:rsidR="00C66231" w:rsidRDefault="00C66231">
      <w:pPr>
        <w:spacing w:line="276" w:lineRule="auto"/>
        <w:rPr>
          <w:rFonts w:ascii="Arial" w:hAnsi="Arial" w:cs="Arial"/>
          <w:b/>
          <w:sz w:val="28"/>
          <w:szCs w:val="28"/>
        </w:rPr>
      </w:pPr>
      <w:bookmarkStart w:id="147" w:name="_Toc486145222"/>
      <w:bookmarkEnd w:id="45"/>
      <w:bookmarkEnd w:id="46"/>
      <w:r>
        <w:br w:type="page"/>
      </w:r>
    </w:p>
    <w:p w:rsidR="00E378B5" w:rsidRPr="00B57B13" w:rsidRDefault="00E41B9B" w:rsidP="00C66231">
      <w:pPr>
        <w:pStyle w:val="Heading2"/>
      </w:pPr>
      <w:bookmarkStart w:id="148" w:name="_Toc490036916"/>
      <w:r w:rsidRPr="00B57B13">
        <w:t>Appendix 2:</w:t>
      </w:r>
      <w:r w:rsidR="00E378B5" w:rsidRPr="00B57B13">
        <w:t xml:space="preserve"> An Impact Assessment of DAF Investment in Low Dose Methyl Bromide against Fruit Flies to Improve Summer-fruit Market Access, 2013-2016: HIA Project SF12016</w:t>
      </w:r>
      <w:bookmarkEnd w:id="147"/>
      <w:bookmarkEnd w:id="148"/>
    </w:p>
    <w:p w:rsidR="00E378B5" w:rsidRPr="00AA726B" w:rsidRDefault="00E378B5" w:rsidP="00AA726B">
      <w:pPr>
        <w:spacing w:after="240"/>
        <w:rPr>
          <w:rFonts w:ascii="Arial" w:hAnsi="Arial" w:cs="Arial"/>
          <w:b/>
          <w:sz w:val="24"/>
        </w:rPr>
      </w:pPr>
      <w:bookmarkStart w:id="149" w:name="_Toc476387732"/>
      <w:bookmarkStart w:id="150" w:name="_Toc486145224"/>
      <w:bookmarkStart w:id="151" w:name="_Toc486145333"/>
      <w:bookmarkStart w:id="152" w:name="_Toc486146249"/>
      <w:r w:rsidRPr="00AA726B">
        <w:rPr>
          <w:rFonts w:ascii="Arial" w:hAnsi="Arial" w:cs="Arial"/>
          <w:b/>
          <w:sz w:val="24"/>
        </w:rPr>
        <w:t>Acknowledgments</w:t>
      </w:r>
      <w:bookmarkEnd w:id="149"/>
      <w:bookmarkEnd w:id="150"/>
      <w:bookmarkEnd w:id="151"/>
      <w:bookmarkEnd w:id="152"/>
    </w:p>
    <w:p w:rsidR="00E378B5" w:rsidRDefault="00E378B5" w:rsidP="00E87BF4">
      <w:pPr>
        <w:spacing w:after="60"/>
        <w:rPr>
          <w:rFonts w:ascii="Arial" w:hAnsi="Arial" w:cs="Arial"/>
          <w:color w:val="000000" w:themeColor="text1"/>
        </w:rPr>
      </w:pPr>
      <w:r w:rsidRPr="00E979C6">
        <w:rPr>
          <w:rFonts w:ascii="Arial" w:eastAsiaTheme="majorEastAsia" w:hAnsi="Arial" w:cs="Arial"/>
          <w:bCs/>
        </w:rPr>
        <w:t>Pauline Wyatt</w:t>
      </w:r>
      <w:r>
        <w:rPr>
          <w:rFonts w:ascii="Arial" w:eastAsiaTheme="majorEastAsia" w:hAnsi="Arial" w:cs="Arial"/>
          <w:bCs/>
        </w:rPr>
        <w:t>, Chief Investigator, Department of Agriculture and Fisheries, Queensland</w:t>
      </w:r>
    </w:p>
    <w:p w:rsidR="00E378B5" w:rsidRPr="008B25B1" w:rsidRDefault="00E378B5" w:rsidP="00E87BF4">
      <w:pPr>
        <w:spacing w:after="60"/>
        <w:rPr>
          <w:rFonts w:ascii="Arial" w:hAnsi="Arial" w:cs="Arial"/>
          <w:color w:val="000000" w:themeColor="text1"/>
        </w:rPr>
      </w:pPr>
      <w:r>
        <w:rPr>
          <w:rFonts w:ascii="Arial" w:hAnsi="Arial" w:cs="Arial"/>
          <w:color w:val="000000" w:themeColor="text1"/>
        </w:rPr>
        <w:t>John Moore</w:t>
      </w:r>
      <w:r w:rsidRPr="008B25B1">
        <w:rPr>
          <w:rFonts w:ascii="Arial" w:hAnsi="Arial" w:cs="Arial"/>
          <w:color w:val="000000" w:themeColor="text1"/>
        </w:rPr>
        <w:t xml:space="preserve">, </w:t>
      </w:r>
      <w:r>
        <w:rPr>
          <w:rFonts w:ascii="Arial" w:hAnsi="Arial" w:cs="Arial"/>
          <w:color w:val="000000" w:themeColor="text1"/>
        </w:rPr>
        <w:t xml:space="preserve">Chief Executive </w:t>
      </w:r>
      <w:r w:rsidRPr="00E87BF4">
        <w:rPr>
          <w:rFonts w:ascii="Arial" w:eastAsiaTheme="majorEastAsia" w:hAnsi="Arial" w:cs="Arial"/>
          <w:bCs/>
        </w:rPr>
        <w:t>Officer</w:t>
      </w:r>
      <w:r w:rsidRPr="008B25B1">
        <w:rPr>
          <w:rFonts w:ascii="Arial" w:hAnsi="Arial" w:cs="Arial"/>
          <w:color w:val="000000" w:themeColor="text1"/>
        </w:rPr>
        <w:t xml:space="preserve">, </w:t>
      </w:r>
      <w:r>
        <w:rPr>
          <w:rFonts w:ascii="Arial" w:hAnsi="Arial" w:cs="Arial"/>
          <w:color w:val="000000" w:themeColor="text1"/>
        </w:rPr>
        <w:t>Summerfruit Australia</w:t>
      </w:r>
    </w:p>
    <w:p w:rsidR="00E378B5" w:rsidRPr="008B25B1" w:rsidRDefault="00E378B5" w:rsidP="00E87BF4">
      <w:pPr>
        <w:spacing w:after="60"/>
        <w:rPr>
          <w:rFonts w:ascii="Arial" w:hAnsi="Arial" w:cs="Arial"/>
          <w:color w:val="000000" w:themeColor="text1"/>
        </w:rPr>
      </w:pPr>
      <w:r>
        <w:rPr>
          <w:rFonts w:ascii="Arial" w:hAnsi="Arial" w:cs="Arial"/>
          <w:color w:val="000000" w:themeColor="text1"/>
        </w:rPr>
        <w:t xml:space="preserve">Kim James, Biosecurity </w:t>
      </w:r>
      <w:r w:rsidRPr="00E87BF4">
        <w:rPr>
          <w:rFonts w:ascii="Arial" w:eastAsiaTheme="majorEastAsia" w:hAnsi="Arial" w:cs="Arial"/>
          <w:bCs/>
        </w:rPr>
        <w:t>Specialist</w:t>
      </w:r>
      <w:r>
        <w:rPr>
          <w:rFonts w:ascii="Arial" w:hAnsi="Arial" w:cs="Arial"/>
          <w:color w:val="000000" w:themeColor="text1"/>
        </w:rPr>
        <w:t>, Ashmere Consulting</w:t>
      </w:r>
    </w:p>
    <w:p w:rsidR="00225BB8" w:rsidRDefault="00E378B5" w:rsidP="00E87BF4">
      <w:pPr>
        <w:spacing w:after="60"/>
        <w:rPr>
          <w:rFonts w:ascii="Arial" w:hAnsi="Arial" w:cs="Arial"/>
          <w:color w:val="000000" w:themeColor="text1"/>
        </w:rPr>
      </w:pPr>
      <w:r w:rsidRPr="000363A6">
        <w:rPr>
          <w:rFonts w:ascii="Arial" w:hAnsi="Arial" w:cs="Arial"/>
          <w:color w:val="000000" w:themeColor="text1"/>
        </w:rPr>
        <w:t xml:space="preserve">Matthew Smyth, </w:t>
      </w:r>
      <w:r w:rsidRPr="00E87BF4">
        <w:rPr>
          <w:rFonts w:ascii="Arial" w:eastAsiaTheme="majorEastAsia" w:hAnsi="Arial" w:cs="Arial"/>
          <w:bCs/>
        </w:rPr>
        <w:t>Plant</w:t>
      </w:r>
      <w:r w:rsidRPr="000363A6">
        <w:rPr>
          <w:rFonts w:ascii="Arial" w:hAnsi="Arial" w:cs="Arial"/>
          <w:color w:val="000000" w:themeColor="text1"/>
        </w:rPr>
        <w:t xml:space="preserve"> Biosecurity, Department of Agriculture and Water Resources</w:t>
      </w:r>
    </w:p>
    <w:p w:rsidR="00225BB8" w:rsidRPr="008B25B1" w:rsidRDefault="00225BB8" w:rsidP="00E87BF4">
      <w:pPr>
        <w:spacing w:after="60"/>
        <w:rPr>
          <w:rFonts w:ascii="Arial" w:hAnsi="Arial" w:cs="Arial"/>
          <w:color w:val="000000" w:themeColor="text1"/>
        </w:rPr>
      </w:pPr>
      <w:r w:rsidRPr="008B25B1">
        <w:rPr>
          <w:rFonts w:ascii="Arial" w:hAnsi="Arial" w:cs="Arial"/>
          <w:color w:val="000000" w:themeColor="text1"/>
        </w:rPr>
        <w:t>Lynda Bull, Executive Support Officer, Department of Agriculture and Fisheries, Queensland</w:t>
      </w:r>
    </w:p>
    <w:p w:rsidR="00225BB8" w:rsidRPr="000363A6" w:rsidRDefault="00225BB8" w:rsidP="00E87BF4">
      <w:pPr>
        <w:spacing w:after="60"/>
        <w:rPr>
          <w:rFonts w:ascii="Arial" w:hAnsi="Arial" w:cs="Arial"/>
          <w:color w:val="000000" w:themeColor="text1"/>
        </w:rPr>
      </w:pPr>
      <w:r>
        <w:rPr>
          <w:rFonts w:ascii="Arial" w:hAnsi="Arial" w:cs="Arial"/>
          <w:color w:val="000000" w:themeColor="text1"/>
        </w:rPr>
        <w:t xml:space="preserve">Wayne Hall, </w:t>
      </w:r>
      <w:r w:rsidRPr="00AB5F04">
        <w:rPr>
          <w:rFonts w:ascii="Arial" w:hAnsi="Arial" w:cs="Arial"/>
          <w:color w:val="000000" w:themeColor="text1"/>
        </w:rPr>
        <w:t xml:space="preserve">Executive Director, </w:t>
      </w:r>
      <w:r w:rsidRPr="008B25B1">
        <w:rPr>
          <w:rFonts w:ascii="Arial" w:hAnsi="Arial" w:cs="Arial"/>
          <w:color w:val="000000" w:themeColor="text1"/>
        </w:rPr>
        <w:t>Department of Agriculture and Fisheries, Queensland</w:t>
      </w:r>
    </w:p>
    <w:p w:rsidR="00E378B5" w:rsidRDefault="00E378B5" w:rsidP="00E378B5">
      <w:pPr>
        <w:rPr>
          <w:rFonts w:ascii="Arial" w:hAnsi="Arial" w:cs="Arial"/>
          <w:color w:val="000000" w:themeColor="text1"/>
        </w:rPr>
      </w:pPr>
    </w:p>
    <w:p w:rsidR="00A0699E" w:rsidRPr="000363A6" w:rsidRDefault="00A0699E" w:rsidP="00E378B5">
      <w:pPr>
        <w:rPr>
          <w:rFonts w:ascii="Arial" w:hAnsi="Arial" w:cs="Arial"/>
          <w:color w:val="000000" w:themeColor="text1"/>
        </w:rPr>
      </w:pPr>
    </w:p>
    <w:p w:rsidR="00E378B5" w:rsidRPr="00AA726B" w:rsidRDefault="00E378B5" w:rsidP="00AA726B">
      <w:pPr>
        <w:spacing w:after="240"/>
        <w:rPr>
          <w:rFonts w:ascii="Arial" w:hAnsi="Arial" w:cs="Arial"/>
          <w:b/>
          <w:sz w:val="24"/>
        </w:rPr>
      </w:pPr>
      <w:bookmarkStart w:id="153" w:name="_Toc476387733"/>
      <w:bookmarkStart w:id="154" w:name="_Toc486145225"/>
      <w:bookmarkStart w:id="155" w:name="_Toc486145334"/>
      <w:bookmarkStart w:id="156" w:name="_Toc486146250"/>
      <w:r w:rsidRPr="00AA726B">
        <w:rPr>
          <w:rFonts w:ascii="Arial" w:hAnsi="Arial" w:cs="Arial"/>
          <w:b/>
          <w:sz w:val="24"/>
        </w:rPr>
        <w:t>Abbreviations</w:t>
      </w:r>
      <w:bookmarkEnd w:id="153"/>
      <w:bookmarkEnd w:id="154"/>
      <w:bookmarkEnd w:id="155"/>
      <w:bookmarkEnd w:id="156"/>
    </w:p>
    <w:p w:rsidR="00E378B5" w:rsidRPr="00E2791E" w:rsidRDefault="00E378B5" w:rsidP="00E378B5">
      <w:pPr>
        <w:rPr>
          <w:rFonts w:ascii="Arial" w:hAnsi="Arial" w:cs="Arial"/>
        </w:rPr>
      </w:pPr>
      <w:r w:rsidRPr="00E2791E">
        <w:rPr>
          <w:rFonts w:ascii="Arial" w:hAnsi="Arial" w:cs="Arial"/>
        </w:rPr>
        <w:t>CBA</w:t>
      </w:r>
      <w:r w:rsidRPr="00E2791E">
        <w:rPr>
          <w:rFonts w:ascii="Arial" w:hAnsi="Arial" w:cs="Arial"/>
        </w:rPr>
        <w:tab/>
      </w:r>
      <w:r w:rsidRPr="00E2791E">
        <w:rPr>
          <w:rFonts w:ascii="Arial" w:hAnsi="Arial" w:cs="Arial"/>
        </w:rPr>
        <w:tab/>
        <w:t>Cost-Benefit Analysis</w:t>
      </w:r>
    </w:p>
    <w:p w:rsidR="00E378B5" w:rsidRDefault="00E378B5" w:rsidP="00E378B5">
      <w:pPr>
        <w:rPr>
          <w:rFonts w:ascii="Arial" w:hAnsi="Arial" w:cs="Arial"/>
        </w:rPr>
      </w:pPr>
      <w:r>
        <w:rPr>
          <w:rFonts w:ascii="Arial" w:hAnsi="Arial" w:cs="Arial"/>
        </w:rPr>
        <w:t>CRC</w:t>
      </w:r>
      <w:r>
        <w:rPr>
          <w:rFonts w:ascii="Arial" w:hAnsi="Arial" w:cs="Arial"/>
        </w:rPr>
        <w:tab/>
      </w:r>
      <w:r>
        <w:rPr>
          <w:rFonts w:ascii="Arial" w:hAnsi="Arial" w:cs="Arial"/>
        </w:rPr>
        <w:tab/>
        <w:t>Cooperative Research Centre</w:t>
      </w:r>
    </w:p>
    <w:p w:rsidR="00E378B5" w:rsidRPr="00E2791E" w:rsidRDefault="00E378B5" w:rsidP="00E378B5">
      <w:pPr>
        <w:rPr>
          <w:rFonts w:ascii="Arial" w:hAnsi="Arial" w:cs="Arial"/>
        </w:rPr>
      </w:pPr>
      <w:r w:rsidRPr="00E2791E">
        <w:rPr>
          <w:rFonts w:ascii="Arial" w:hAnsi="Arial" w:cs="Arial"/>
        </w:rPr>
        <w:t>CRRDC</w:t>
      </w:r>
      <w:r w:rsidRPr="00E2791E">
        <w:rPr>
          <w:rFonts w:ascii="Arial" w:hAnsi="Arial" w:cs="Arial"/>
        </w:rPr>
        <w:tab/>
        <w:t xml:space="preserve">Council of Research and Development Corporations  </w:t>
      </w:r>
    </w:p>
    <w:p w:rsidR="00E378B5" w:rsidRPr="00E2791E" w:rsidRDefault="00E378B5" w:rsidP="00E378B5">
      <w:pPr>
        <w:rPr>
          <w:rFonts w:ascii="Arial" w:hAnsi="Arial" w:cs="Arial"/>
        </w:rPr>
      </w:pPr>
      <w:r w:rsidRPr="00E2791E">
        <w:rPr>
          <w:rFonts w:ascii="Arial" w:hAnsi="Arial" w:cs="Arial"/>
        </w:rPr>
        <w:t>DAF</w:t>
      </w:r>
      <w:r w:rsidRPr="00E2791E">
        <w:rPr>
          <w:rFonts w:ascii="Arial" w:hAnsi="Arial" w:cs="Arial"/>
        </w:rPr>
        <w:tab/>
      </w:r>
      <w:r w:rsidRPr="00E2791E">
        <w:rPr>
          <w:rFonts w:ascii="Arial" w:hAnsi="Arial" w:cs="Arial"/>
        </w:rPr>
        <w:tab/>
        <w:t>Department of Agriculture and Fisheries, Queensland</w:t>
      </w:r>
    </w:p>
    <w:p w:rsidR="00E378B5" w:rsidRPr="00E2791E" w:rsidRDefault="00E378B5" w:rsidP="00E378B5">
      <w:pPr>
        <w:rPr>
          <w:rFonts w:ascii="Arial" w:hAnsi="Arial" w:cs="Arial"/>
        </w:rPr>
      </w:pPr>
      <w:r w:rsidRPr="00E2791E">
        <w:rPr>
          <w:rFonts w:ascii="Arial" w:hAnsi="Arial" w:cs="Arial"/>
        </w:rPr>
        <w:t>DAWR</w:t>
      </w:r>
      <w:r w:rsidRPr="00E2791E">
        <w:rPr>
          <w:rFonts w:ascii="Arial" w:hAnsi="Arial" w:cs="Arial"/>
        </w:rPr>
        <w:tab/>
      </w:r>
      <w:r w:rsidRPr="00E2791E">
        <w:rPr>
          <w:rFonts w:ascii="Arial" w:hAnsi="Arial" w:cs="Arial"/>
        </w:rPr>
        <w:tab/>
        <w:t>Department of Agriculture and Water Resources (Australian Government)</w:t>
      </w:r>
    </w:p>
    <w:p w:rsidR="00E378B5" w:rsidRDefault="00E378B5" w:rsidP="00E378B5">
      <w:pPr>
        <w:rPr>
          <w:rFonts w:ascii="Arial" w:hAnsi="Arial" w:cs="Arial"/>
        </w:rPr>
      </w:pPr>
      <w:r>
        <w:rPr>
          <w:rFonts w:ascii="Arial" w:hAnsi="Arial" w:cs="Arial"/>
        </w:rPr>
        <w:t>GDP</w:t>
      </w:r>
      <w:r>
        <w:rPr>
          <w:rFonts w:ascii="Arial" w:hAnsi="Arial" w:cs="Arial"/>
        </w:rPr>
        <w:tab/>
      </w:r>
      <w:r>
        <w:rPr>
          <w:rFonts w:ascii="Arial" w:hAnsi="Arial" w:cs="Arial"/>
        </w:rPr>
        <w:tab/>
        <w:t>Gross Domestic Product</w:t>
      </w:r>
    </w:p>
    <w:p w:rsidR="00E378B5" w:rsidRDefault="00E378B5" w:rsidP="00E378B5">
      <w:pPr>
        <w:rPr>
          <w:rFonts w:ascii="Arial" w:hAnsi="Arial" w:cs="Arial"/>
        </w:rPr>
      </w:pPr>
      <w:r>
        <w:rPr>
          <w:rFonts w:ascii="Arial" w:hAnsi="Arial" w:cs="Arial"/>
        </w:rPr>
        <w:t>HIA</w:t>
      </w:r>
      <w:r>
        <w:rPr>
          <w:rFonts w:ascii="Arial" w:hAnsi="Arial" w:cs="Arial"/>
        </w:rPr>
        <w:tab/>
      </w:r>
      <w:r>
        <w:rPr>
          <w:rFonts w:ascii="Arial" w:hAnsi="Arial" w:cs="Arial"/>
        </w:rPr>
        <w:tab/>
        <w:t>Horticulture Innovation Australia</w:t>
      </w:r>
    </w:p>
    <w:p w:rsidR="00E378B5" w:rsidRDefault="00E378B5" w:rsidP="00E378B5">
      <w:pPr>
        <w:rPr>
          <w:rFonts w:ascii="Arial" w:hAnsi="Arial" w:cs="Arial"/>
        </w:rPr>
      </w:pPr>
      <w:r>
        <w:rPr>
          <w:rFonts w:ascii="Arial" w:hAnsi="Arial" w:cs="Arial"/>
        </w:rPr>
        <w:t>IRR</w:t>
      </w:r>
      <w:r>
        <w:rPr>
          <w:rFonts w:ascii="Arial" w:hAnsi="Arial" w:cs="Arial"/>
        </w:rPr>
        <w:tab/>
      </w:r>
      <w:r>
        <w:rPr>
          <w:rFonts w:ascii="Arial" w:hAnsi="Arial" w:cs="Arial"/>
        </w:rPr>
        <w:tab/>
        <w:t xml:space="preserve">Internal Rate of Return </w:t>
      </w:r>
    </w:p>
    <w:p w:rsidR="00E378B5" w:rsidRPr="00D03CA7" w:rsidRDefault="00E378B5" w:rsidP="00E378B5">
      <w:pPr>
        <w:rPr>
          <w:rFonts w:ascii="Arial" w:hAnsi="Arial" w:cs="Arial"/>
        </w:rPr>
      </w:pPr>
      <w:r w:rsidRPr="00D03CA7">
        <w:rPr>
          <w:rFonts w:ascii="Arial" w:hAnsi="Arial" w:cs="Arial"/>
        </w:rPr>
        <w:t>MIRR</w:t>
      </w:r>
      <w:r w:rsidRPr="00D03CA7">
        <w:rPr>
          <w:rFonts w:ascii="Arial" w:hAnsi="Arial" w:cs="Arial"/>
        </w:rPr>
        <w:tab/>
      </w:r>
      <w:r w:rsidRPr="00D03CA7">
        <w:rPr>
          <w:rFonts w:ascii="Arial" w:hAnsi="Arial" w:cs="Arial"/>
        </w:rPr>
        <w:tab/>
        <w:t>Modified Internal Rate of Return</w:t>
      </w:r>
    </w:p>
    <w:p w:rsidR="00E378B5" w:rsidRDefault="00E378B5" w:rsidP="00E378B5">
      <w:pPr>
        <w:rPr>
          <w:rFonts w:ascii="Arial" w:hAnsi="Arial" w:cs="Arial"/>
        </w:rPr>
      </w:pPr>
      <w:r>
        <w:rPr>
          <w:rFonts w:ascii="Arial" w:hAnsi="Arial" w:cs="Arial"/>
        </w:rPr>
        <w:t>OCS</w:t>
      </w:r>
      <w:r>
        <w:rPr>
          <w:rFonts w:ascii="Arial" w:hAnsi="Arial" w:cs="Arial"/>
        </w:rPr>
        <w:tab/>
      </w:r>
      <w:r>
        <w:rPr>
          <w:rFonts w:ascii="Arial" w:hAnsi="Arial" w:cs="Arial"/>
        </w:rPr>
        <w:tab/>
        <w:t>Office of Chief Scientist Queensland</w:t>
      </w:r>
    </w:p>
    <w:p w:rsidR="00E378B5" w:rsidRPr="00E2791E" w:rsidRDefault="00E378B5" w:rsidP="00E378B5">
      <w:pPr>
        <w:rPr>
          <w:rFonts w:ascii="Arial" w:hAnsi="Arial" w:cs="Arial"/>
        </w:rPr>
      </w:pPr>
      <w:r w:rsidRPr="00E2791E">
        <w:rPr>
          <w:rFonts w:ascii="Arial" w:hAnsi="Arial" w:cs="Arial"/>
        </w:rPr>
        <w:t>ODS</w:t>
      </w:r>
      <w:r w:rsidRPr="00E2791E">
        <w:rPr>
          <w:rFonts w:ascii="Arial" w:hAnsi="Arial" w:cs="Arial"/>
        </w:rPr>
        <w:tab/>
      </w:r>
      <w:r w:rsidRPr="00E2791E">
        <w:rPr>
          <w:rFonts w:ascii="Arial" w:hAnsi="Arial" w:cs="Arial"/>
        </w:rPr>
        <w:tab/>
        <w:t>Ozone Depleting Substance</w:t>
      </w:r>
    </w:p>
    <w:p w:rsidR="00E378B5" w:rsidRPr="007C64BD" w:rsidRDefault="00E378B5" w:rsidP="00E378B5">
      <w:pPr>
        <w:rPr>
          <w:rFonts w:ascii="Arial" w:hAnsi="Arial" w:cs="Arial"/>
        </w:rPr>
      </w:pPr>
      <w:r w:rsidRPr="007C64BD">
        <w:rPr>
          <w:rFonts w:ascii="Arial" w:hAnsi="Arial" w:cs="Arial"/>
        </w:rPr>
        <w:t>PVB</w:t>
      </w:r>
      <w:r w:rsidRPr="007C64BD">
        <w:rPr>
          <w:rFonts w:ascii="Arial" w:hAnsi="Arial" w:cs="Arial"/>
        </w:rPr>
        <w:tab/>
      </w:r>
      <w:r w:rsidRPr="007C64BD">
        <w:rPr>
          <w:rFonts w:ascii="Arial" w:hAnsi="Arial" w:cs="Arial"/>
        </w:rPr>
        <w:tab/>
        <w:t>Present Value of Benefits</w:t>
      </w:r>
    </w:p>
    <w:p w:rsidR="00E378B5" w:rsidRPr="00E2791E" w:rsidRDefault="00E378B5" w:rsidP="00E378B5">
      <w:pPr>
        <w:rPr>
          <w:rFonts w:ascii="Arial" w:hAnsi="Arial" w:cs="Arial"/>
        </w:rPr>
      </w:pPr>
      <w:r w:rsidRPr="00E2791E">
        <w:rPr>
          <w:rFonts w:ascii="Arial" w:hAnsi="Arial" w:cs="Arial"/>
        </w:rPr>
        <w:t>RDC</w:t>
      </w:r>
      <w:r w:rsidRPr="00E2791E">
        <w:rPr>
          <w:rFonts w:ascii="Arial" w:hAnsi="Arial" w:cs="Arial"/>
        </w:rPr>
        <w:tab/>
      </w:r>
      <w:r w:rsidRPr="00E2791E">
        <w:rPr>
          <w:rFonts w:ascii="Arial" w:hAnsi="Arial" w:cs="Arial"/>
        </w:rPr>
        <w:tab/>
        <w:t>Research and Development Corporation</w:t>
      </w:r>
    </w:p>
    <w:p w:rsidR="00E378B5" w:rsidRPr="007C64BD" w:rsidRDefault="00E378B5" w:rsidP="00E378B5">
      <w:pPr>
        <w:rPr>
          <w:rFonts w:ascii="Arial" w:hAnsi="Arial" w:cs="Arial"/>
        </w:rPr>
      </w:pPr>
      <w:r w:rsidRPr="007C64BD">
        <w:rPr>
          <w:rFonts w:ascii="Arial" w:hAnsi="Arial" w:cs="Arial"/>
        </w:rPr>
        <w:t>R&amp;D</w:t>
      </w:r>
      <w:r w:rsidRPr="007C64BD">
        <w:rPr>
          <w:rFonts w:ascii="Arial" w:hAnsi="Arial" w:cs="Arial"/>
        </w:rPr>
        <w:tab/>
      </w:r>
      <w:r w:rsidRPr="007C64BD">
        <w:rPr>
          <w:rFonts w:ascii="Arial" w:hAnsi="Arial" w:cs="Arial"/>
        </w:rPr>
        <w:tab/>
        <w:t>Research and Development</w:t>
      </w:r>
    </w:p>
    <w:p w:rsidR="00E378B5" w:rsidRDefault="00E378B5" w:rsidP="00E378B5">
      <w:pPr>
        <w:rPr>
          <w:rFonts w:ascii="Arial" w:hAnsi="Arial" w:cs="Arial"/>
        </w:rPr>
      </w:pPr>
      <w:r w:rsidRPr="007C64BD">
        <w:rPr>
          <w:rFonts w:ascii="Arial" w:hAnsi="Arial" w:cs="Arial"/>
        </w:rPr>
        <w:t>RD&amp;E</w:t>
      </w:r>
      <w:r w:rsidRPr="007C64BD">
        <w:rPr>
          <w:rFonts w:ascii="Arial" w:hAnsi="Arial" w:cs="Arial"/>
        </w:rPr>
        <w:tab/>
      </w:r>
      <w:r w:rsidRPr="007C64BD">
        <w:rPr>
          <w:rFonts w:ascii="Arial" w:hAnsi="Arial" w:cs="Arial"/>
        </w:rPr>
        <w:tab/>
        <w:t>Research, Development and Extension</w:t>
      </w:r>
    </w:p>
    <w:p w:rsidR="00E378B5" w:rsidRDefault="00E378B5" w:rsidP="00E378B5"/>
    <w:p w:rsidR="00E378B5" w:rsidRDefault="00E378B5" w:rsidP="00E378B5"/>
    <w:p w:rsidR="00E378B5" w:rsidRDefault="00E378B5" w:rsidP="00C66231"/>
    <w:p w:rsidR="00E378B5" w:rsidRDefault="00E378B5" w:rsidP="00C66231"/>
    <w:p w:rsidR="00E378B5" w:rsidRDefault="00E378B5" w:rsidP="00C66231">
      <w:pPr>
        <w:rPr>
          <w:sz w:val="44"/>
          <w:szCs w:val="20"/>
        </w:rPr>
      </w:pPr>
      <w:r>
        <w:br w:type="page"/>
      </w:r>
    </w:p>
    <w:p w:rsidR="00E378B5" w:rsidRPr="00C66231" w:rsidRDefault="00E378B5" w:rsidP="00C66231">
      <w:pPr>
        <w:spacing w:after="240"/>
        <w:rPr>
          <w:rFonts w:ascii="Arial" w:hAnsi="Arial" w:cs="Arial"/>
          <w:b/>
          <w:sz w:val="40"/>
          <w:szCs w:val="40"/>
        </w:rPr>
      </w:pPr>
      <w:bookmarkStart w:id="157" w:name="_Toc476387734"/>
      <w:bookmarkStart w:id="158" w:name="_Toc486145226"/>
      <w:bookmarkStart w:id="159" w:name="_Toc486145335"/>
      <w:bookmarkStart w:id="160" w:name="_Toc486146251"/>
      <w:r w:rsidRPr="00C66231">
        <w:rPr>
          <w:rFonts w:ascii="Arial" w:hAnsi="Arial" w:cs="Arial"/>
          <w:b/>
          <w:sz w:val="40"/>
          <w:szCs w:val="40"/>
        </w:rPr>
        <w:t>Executive Summary</w:t>
      </w:r>
      <w:bookmarkEnd w:id="157"/>
      <w:bookmarkEnd w:id="158"/>
      <w:bookmarkEnd w:id="159"/>
      <w:bookmarkEnd w:id="160"/>
    </w:p>
    <w:p w:rsidR="00E378B5" w:rsidRPr="0094710F" w:rsidRDefault="00E378B5" w:rsidP="00A0699E">
      <w:pPr>
        <w:spacing w:after="240"/>
        <w:rPr>
          <w:rFonts w:ascii="Arial" w:hAnsi="Arial" w:cs="Arial"/>
          <w:b/>
          <w:sz w:val="24"/>
        </w:rPr>
      </w:pPr>
      <w:r w:rsidRPr="0094710F">
        <w:rPr>
          <w:rFonts w:ascii="Arial" w:hAnsi="Arial" w:cs="Arial"/>
          <w:b/>
          <w:sz w:val="24"/>
        </w:rPr>
        <w:t xml:space="preserve">The </w:t>
      </w:r>
      <w:r>
        <w:rPr>
          <w:rFonts w:ascii="Arial" w:hAnsi="Arial" w:cs="Arial"/>
          <w:b/>
          <w:sz w:val="24"/>
        </w:rPr>
        <w:t>Project</w:t>
      </w:r>
    </w:p>
    <w:p w:rsidR="00E378B5" w:rsidRPr="0094710F" w:rsidRDefault="00E378B5" w:rsidP="00A0699E">
      <w:pPr>
        <w:spacing w:after="240"/>
        <w:rPr>
          <w:rFonts w:ascii="Arial" w:hAnsi="Arial" w:cs="Arial"/>
        </w:rPr>
      </w:pPr>
      <w:r w:rsidRPr="0094710F">
        <w:rPr>
          <w:rFonts w:ascii="Arial" w:hAnsi="Arial" w:cs="Arial"/>
        </w:rPr>
        <w:t xml:space="preserve">This report presents the results of an impact assessment of a Queensland Department of Agriculture and Fisheries (DAF) investment in a project </w:t>
      </w:r>
      <w:r>
        <w:rPr>
          <w:rFonts w:ascii="Arial" w:hAnsi="Arial" w:cs="Arial"/>
        </w:rPr>
        <w:t>to</w:t>
      </w:r>
      <w:r w:rsidRPr="0094710F">
        <w:rPr>
          <w:rFonts w:ascii="Arial" w:hAnsi="Arial" w:cs="Arial"/>
        </w:rPr>
        <w:t xml:space="preserve"> </w:t>
      </w:r>
      <w:r>
        <w:rPr>
          <w:rFonts w:ascii="Arial" w:hAnsi="Arial" w:cs="Arial"/>
        </w:rPr>
        <w:t xml:space="preserve">generate data on the efficacy of low dose methyl bromide against Queensland fruit fly </w:t>
      </w:r>
      <w:r w:rsidRPr="00F42562">
        <w:rPr>
          <w:rFonts w:ascii="Arial" w:hAnsi="Arial" w:cs="Arial"/>
        </w:rPr>
        <w:t>(</w:t>
      </w:r>
      <w:r w:rsidRPr="00F42562">
        <w:rPr>
          <w:rFonts w:ascii="Arial" w:hAnsi="Arial" w:cs="Arial"/>
          <w:i/>
        </w:rPr>
        <w:t>Bactrocera tryoni</w:t>
      </w:r>
      <w:r>
        <w:rPr>
          <w:rFonts w:ascii="Arial" w:hAnsi="Arial" w:cs="Arial"/>
        </w:rPr>
        <w:t xml:space="preserve">) to improve summerfruit market access. </w:t>
      </w:r>
      <w:r w:rsidRPr="0094710F">
        <w:rPr>
          <w:rFonts w:ascii="Arial" w:hAnsi="Arial" w:cs="Arial"/>
        </w:rPr>
        <w:t xml:space="preserve">The project was funded by DAF and </w:t>
      </w:r>
      <w:r>
        <w:rPr>
          <w:rFonts w:ascii="Arial" w:hAnsi="Arial" w:cs="Arial"/>
        </w:rPr>
        <w:t>Horticulture Innovation Australia (Hort Innovation or HIA) over the period 2013-2016.</w:t>
      </w:r>
      <w:r w:rsidRPr="0094710F">
        <w:rPr>
          <w:rFonts w:ascii="Arial" w:hAnsi="Arial" w:cs="Arial"/>
        </w:rPr>
        <w:t xml:space="preserve">  </w:t>
      </w:r>
    </w:p>
    <w:p w:rsidR="00E378B5" w:rsidRPr="0094710F" w:rsidRDefault="00E378B5" w:rsidP="00A0699E">
      <w:pPr>
        <w:spacing w:after="240"/>
        <w:rPr>
          <w:rFonts w:ascii="Arial" w:hAnsi="Arial" w:cs="Arial"/>
          <w:b/>
          <w:sz w:val="24"/>
        </w:rPr>
      </w:pPr>
      <w:r w:rsidRPr="0094710F">
        <w:rPr>
          <w:rFonts w:ascii="Arial" w:hAnsi="Arial" w:cs="Arial"/>
          <w:b/>
          <w:sz w:val="24"/>
        </w:rPr>
        <w:t>Methods</w:t>
      </w:r>
    </w:p>
    <w:p w:rsidR="00E378B5" w:rsidRPr="0094710F" w:rsidRDefault="00E378B5" w:rsidP="00A0699E">
      <w:pPr>
        <w:spacing w:after="240"/>
        <w:rPr>
          <w:rFonts w:ascii="Arial" w:hAnsi="Arial" w:cs="Arial"/>
        </w:rPr>
      </w:pPr>
      <w:r w:rsidRPr="0094710F">
        <w:rPr>
          <w:rFonts w:ascii="Arial" w:hAnsi="Arial" w:cs="Arial"/>
        </w:rPr>
        <w:t>The project was analysed qualitatively within a logical framework that included activities/outputs, outcomes, and impacts. Impacts were categorised into a triple bottom line framework.</w:t>
      </w:r>
      <w:r>
        <w:rPr>
          <w:rFonts w:ascii="Arial" w:hAnsi="Arial" w:cs="Arial"/>
        </w:rPr>
        <w:t xml:space="preserve"> The p</w:t>
      </w:r>
      <w:r w:rsidRPr="0094710F">
        <w:rPr>
          <w:rFonts w:ascii="Arial" w:hAnsi="Arial" w:cs="Arial"/>
        </w:rPr>
        <w:t>rincipal impact w</w:t>
      </w:r>
      <w:r>
        <w:rPr>
          <w:rFonts w:ascii="Arial" w:hAnsi="Arial" w:cs="Arial"/>
        </w:rPr>
        <w:t>as</w:t>
      </w:r>
      <w:r w:rsidRPr="0094710F">
        <w:rPr>
          <w:rFonts w:ascii="Arial" w:hAnsi="Arial" w:cs="Arial"/>
        </w:rPr>
        <w:t xml:space="preserve"> then valued. Benefits were </w:t>
      </w:r>
      <w:r>
        <w:rPr>
          <w:rFonts w:ascii="Arial" w:hAnsi="Arial" w:cs="Arial"/>
        </w:rPr>
        <w:t xml:space="preserve">estimated </w:t>
      </w:r>
      <w:r w:rsidRPr="0094710F">
        <w:rPr>
          <w:rFonts w:ascii="Arial" w:hAnsi="Arial" w:cs="Arial"/>
        </w:rPr>
        <w:t>for a range of time frames up to 30 years from the year of last investment in the project. Past and future cash flows in 201</w:t>
      </w:r>
      <w:r>
        <w:rPr>
          <w:rFonts w:ascii="Arial" w:hAnsi="Arial" w:cs="Arial"/>
        </w:rPr>
        <w:t>6</w:t>
      </w:r>
      <w:r w:rsidRPr="0094710F">
        <w:rPr>
          <w:rFonts w:ascii="Arial" w:hAnsi="Arial" w:cs="Arial"/>
        </w:rPr>
        <w:t>/1</w:t>
      </w:r>
      <w:r>
        <w:rPr>
          <w:rFonts w:ascii="Arial" w:hAnsi="Arial" w:cs="Arial"/>
        </w:rPr>
        <w:t>7</w:t>
      </w:r>
      <w:r w:rsidRPr="0094710F">
        <w:rPr>
          <w:rFonts w:ascii="Arial" w:hAnsi="Arial" w:cs="Arial"/>
        </w:rPr>
        <w:t xml:space="preserve"> $ terms were discounted to the year 201</w:t>
      </w:r>
      <w:r>
        <w:rPr>
          <w:rFonts w:ascii="Arial" w:hAnsi="Arial" w:cs="Arial"/>
        </w:rPr>
        <w:t>6</w:t>
      </w:r>
      <w:r w:rsidRPr="0094710F">
        <w:rPr>
          <w:rFonts w:ascii="Arial" w:hAnsi="Arial" w:cs="Arial"/>
        </w:rPr>
        <w:t>/1</w:t>
      </w:r>
      <w:r>
        <w:rPr>
          <w:rFonts w:ascii="Arial" w:hAnsi="Arial" w:cs="Arial"/>
        </w:rPr>
        <w:t>7</w:t>
      </w:r>
      <w:r w:rsidRPr="0094710F">
        <w:rPr>
          <w:rFonts w:ascii="Arial" w:hAnsi="Arial" w:cs="Arial"/>
        </w:rPr>
        <w:t xml:space="preserve"> using a discount rate of 5% to estimate the investment criteria.</w:t>
      </w:r>
    </w:p>
    <w:p w:rsidR="00E378B5" w:rsidRPr="0094710F" w:rsidRDefault="00E378B5" w:rsidP="00A0699E">
      <w:pPr>
        <w:spacing w:after="240"/>
        <w:rPr>
          <w:rFonts w:ascii="Arial" w:hAnsi="Arial" w:cs="Arial"/>
          <w:b/>
          <w:sz w:val="24"/>
        </w:rPr>
      </w:pPr>
      <w:r w:rsidRPr="0094710F">
        <w:rPr>
          <w:rFonts w:ascii="Arial" w:hAnsi="Arial" w:cs="Arial"/>
          <w:b/>
          <w:sz w:val="24"/>
        </w:rPr>
        <w:t>Impacts</w:t>
      </w:r>
    </w:p>
    <w:p w:rsidR="00E378B5" w:rsidRPr="0094710F" w:rsidRDefault="00E378B5" w:rsidP="00A0699E">
      <w:pPr>
        <w:spacing w:after="240"/>
        <w:rPr>
          <w:rFonts w:ascii="Arial" w:hAnsi="Arial" w:cs="Arial"/>
        </w:rPr>
      </w:pPr>
      <w:r w:rsidRPr="0094710F">
        <w:rPr>
          <w:rFonts w:ascii="Arial" w:hAnsi="Arial" w:cs="Arial"/>
        </w:rPr>
        <w:t>The major impact identified was of a financial nature. However, some social and environmental impacts also were identified but not valued</w:t>
      </w:r>
      <w:r w:rsidRPr="00C02DDF">
        <w:rPr>
          <w:rFonts w:ascii="Arial" w:hAnsi="Arial" w:cs="Arial"/>
        </w:rPr>
        <w:t xml:space="preserve">. It is expected the </w:t>
      </w:r>
      <w:r>
        <w:rPr>
          <w:rFonts w:ascii="Arial" w:hAnsi="Arial" w:cs="Arial"/>
        </w:rPr>
        <w:t xml:space="preserve">Australian summerfruit </w:t>
      </w:r>
      <w:r w:rsidRPr="00C02DDF">
        <w:rPr>
          <w:rFonts w:ascii="Arial" w:hAnsi="Arial" w:cs="Arial"/>
        </w:rPr>
        <w:t xml:space="preserve">industry </w:t>
      </w:r>
      <w:r w:rsidRPr="0094710F">
        <w:rPr>
          <w:rFonts w:ascii="Arial" w:hAnsi="Arial" w:cs="Arial"/>
        </w:rPr>
        <w:t>will be the primary beneficiary of the investment.</w:t>
      </w:r>
    </w:p>
    <w:p w:rsidR="00E378B5" w:rsidRPr="0094710F" w:rsidRDefault="00E378B5" w:rsidP="00A0699E">
      <w:pPr>
        <w:spacing w:after="240"/>
        <w:rPr>
          <w:rFonts w:ascii="Arial" w:hAnsi="Arial" w:cs="Arial"/>
          <w:b/>
          <w:sz w:val="24"/>
        </w:rPr>
      </w:pPr>
      <w:r w:rsidRPr="0094710F">
        <w:rPr>
          <w:rFonts w:ascii="Arial" w:hAnsi="Arial" w:cs="Arial"/>
          <w:b/>
          <w:sz w:val="24"/>
        </w:rPr>
        <w:t>Investment Criteria</w:t>
      </w:r>
    </w:p>
    <w:p w:rsidR="00E378B5" w:rsidRPr="0035351E" w:rsidRDefault="00E378B5" w:rsidP="00A0699E">
      <w:pPr>
        <w:spacing w:after="240"/>
        <w:rPr>
          <w:rFonts w:ascii="Arial" w:hAnsi="Arial" w:cs="Arial"/>
        </w:rPr>
      </w:pPr>
      <w:r w:rsidRPr="0035351E">
        <w:rPr>
          <w:rFonts w:ascii="Arial" w:hAnsi="Arial" w:cs="Arial"/>
        </w:rPr>
        <w:t>Total funding from all sources for the project was $0.9 million (present value terms). The value of benefits was estimated at $4.2 million (present value terms). This gave an estimated net present value of $3.3 million, and a benefit-cost ratio of 4.</w:t>
      </w:r>
      <w:r w:rsidR="0035351E" w:rsidRPr="0035351E">
        <w:rPr>
          <w:rFonts w:ascii="Arial" w:hAnsi="Arial" w:cs="Arial"/>
        </w:rPr>
        <w:t>6</w:t>
      </w:r>
      <w:r w:rsidRPr="0035351E">
        <w:rPr>
          <w:rFonts w:ascii="Arial" w:hAnsi="Arial" w:cs="Arial"/>
        </w:rPr>
        <w:t xml:space="preserve"> to 1. </w:t>
      </w:r>
    </w:p>
    <w:p w:rsidR="00E378B5" w:rsidRPr="0094710F" w:rsidRDefault="00E378B5">
      <w:pPr>
        <w:rPr>
          <w:rFonts w:ascii="Arial" w:hAnsi="Arial" w:cs="Arial"/>
          <w:b/>
          <w:sz w:val="44"/>
          <w:szCs w:val="20"/>
        </w:rPr>
      </w:pPr>
      <w:r w:rsidRPr="0094710F">
        <w:rPr>
          <w:rFonts w:ascii="Arial" w:hAnsi="Arial" w:cs="Arial"/>
        </w:rPr>
        <w:br w:type="page"/>
      </w:r>
    </w:p>
    <w:p w:rsidR="00E378B5" w:rsidRPr="00C66231" w:rsidRDefault="00E378B5" w:rsidP="00C66231">
      <w:pPr>
        <w:spacing w:after="240"/>
        <w:rPr>
          <w:rFonts w:ascii="Arial" w:hAnsi="Arial" w:cs="Arial"/>
          <w:b/>
          <w:sz w:val="40"/>
          <w:szCs w:val="40"/>
        </w:rPr>
      </w:pPr>
      <w:bookmarkStart w:id="161" w:name="_Toc476387735"/>
      <w:bookmarkStart w:id="162" w:name="_Toc486145227"/>
      <w:bookmarkStart w:id="163" w:name="_Toc486145336"/>
      <w:bookmarkStart w:id="164" w:name="_Toc486146252"/>
      <w:r w:rsidRPr="00C66231">
        <w:rPr>
          <w:rFonts w:ascii="Arial" w:hAnsi="Arial" w:cs="Arial"/>
          <w:b/>
          <w:sz w:val="40"/>
          <w:szCs w:val="40"/>
        </w:rPr>
        <w:t>1. Methods</w:t>
      </w:r>
      <w:bookmarkEnd w:id="161"/>
      <w:bookmarkEnd w:id="162"/>
      <w:bookmarkEnd w:id="163"/>
      <w:bookmarkEnd w:id="164"/>
    </w:p>
    <w:p w:rsidR="00E378B5" w:rsidRPr="0094710F" w:rsidRDefault="00E378B5" w:rsidP="00A0699E">
      <w:pPr>
        <w:spacing w:after="240"/>
        <w:rPr>
          <w:rFonts w:ascii="Arial" w:hAnsi="Arial" w:cs="Arial"/>
        </w:rPr>
      </w:pPr>
      <w:r w:rsidRPr="0094710F">
        <w:rPr>
          <w:rFonts w:ascii="Arial" w:hAnsi="Arial" w:cs="Arial"/>
        </w:rPr>
        <w:t xml:space="preserve">The evaluation approach follows general evaluation guidelines that are now well entrenched within the Australian primary industry research sector including </w:t>
      </w:r>
      <w:r>
        <w:rPr>
          <w:rFonts w:ascii="Arial" w:hAnsi="Arial" w:cs="Arial"/>
        </w:rPr>
        <w:t>Research and Development Corporations (</w:t>
      </w:r>
      <w:r w:rsidRPr="0094710F">
        <w:rPr>
          <w:rFonts w:ascii="Arial" w:hAnsi="Arial" w:cs="Arial"/>
        </w:rPr>
        <w:t>RDCs</w:t>
      </w:r>
      <w:r>
        <w:rPr>
          <w:rFonts w:ascii="Arial" w:hAnsi="Arial" w:cs="Arial"/>
        </w:rPr>
        <w:t>)</w:t>
      </w:r>
      <w:r w:rsidRPr="0094710F">
        <w:rPr>
          <w:rFonts w:ascii="Arial" w:hAnsi="Arial" w:cs="Arial"/>
        </w:rPr>
        <w:t>, Cooperative Research Centres (CRCs), State Departments of Agriculture, and some Universities. This impact assessment uses Cost-Benefit Analysis (CBA)</w:t>
      </w:r>
      <w:r>
        <w:rPr>
          <w:rFonts w:ascii="Arial" w:hAnsi="Arial" w:cs="Arial"/>
        </w:rPr>
        <w:t xml:space="preserve"> as its principal tool</w:t>
      </w:r>
      <w:r w:rsidRPr="0094710F">
        <w:rPr>
          <w:rFonts w:ascii="Arial" w:hAnsi="Arial" w:cs="Arial"/>
        </w:rPr>
        <w:t>. Th</w:t>
      </w:r>
      <w:r>
        <w:rPr>
          <w:rFonts w:ascii="Arial" w:hAnsi="Arial" w:cs="Arial"/>
        </w:rPr>
        <w:t>e</w:t>
      </w:r>
      <w:r w:rsidRPr="0094710F">
        <w:rPr>
          <w:rFonts w:ascii="Arial" w:hAnsi="Arial" w:cs="Arial"/>
        </w:rPr>
        <w:t xml:space="preserve"> </w:t>
      </w:r>
      <w:r>
        <w:rPr>
          <w:rFonts w:ascii="Arial" w:hAnsi="Arial" w:cs="Arial"/>
        </w:rPr>
        <w:t xml:space="preserve">approach included </w:t>
      </w:r>
      <w:r w:rsidRPr="0094710F">
        <w:rPr>
          <w:rFonts w:ascii="Arial" w:hAnsi="Arial" w:cs="Arial"/>
        </w:rPr>
        <w:t>both qualitative and quantitative</w:t>
      </w:r>
      <w:r>
        <w:rPr>
          <w:rFonts w:ascii="Arial" w:hAnsi="Arial" w:cs="Arial"/>
        </w:rPr>
        <w:t xml:space="preserve"> descriptions </w:t>
      </w:r>
      <w:r w:rsidRPr="0094710F">
        <w:rPr>
          <w:rFonts w:ascii="Arial" w:hAnsi="Arial" w:cs="Arial"/>
        </w:rPr>
        <w:t xml:space="preserve">that are in accord with the evaluation guidelines of the Council of Research and Development Corporations (CRRDC, 2014). </w:t>
      </w:r>
    </w:p>
    <w:p w:rsidR="00E378B5" w:rsidRPr="0094710F" w:rsidRDefault="00E378B5" w:rsidP="00A0699E">
      <w:pPr>
        <w:spacing w:after="240"/>
        <w:rPr>
          <w:rFonts w:ascii="Arial" w:hAnsi="Arial" w:cs="Arial"/>
          <w:szCs w:val="22"/>
        </w:rPr>
      </w:pPr>
      <w:r w:rsidRPr="0094710F">
        <w:rPr>
          <w:rFonts w:ascii="Arial" w:hAnsi="Arial" w:cs="Arial"/>
          <w:szCs w:val="22"/>
        </w:rPr>
        <w:t xml:space="preserve">The evaluation process involved identifying and briefly describing </w:t>
      </w:r>
      <w:r>
        <w:rPr>
          <w:rFonts w:ascii="Arial" w:hAnsi="Arial" w:cs="Arial"/>
          <w:szCs w:val="22"/>
        </w:rPr>
        <w:t xml:space="preserve">project </w:t>
      </w:r>
      <w:r w:rsidRPr="0094710F">
        <w:rPr>
          <w:rFonts w:ascii="Arial" w:hAnsi="Arial" w:cs="Arial"/>
          <w:szCs w:val="22"/>
        </w:rPr>
        <w:t>objectives, activities</w:t>
      </w:r>
      <w:r>
        <w:rPr>
          <w:rFonts w:ascii="Arial" w:hAnsi="Arial" w:cs="Arial"/>
          <w:szCs w:val="22"/>
        </w:rPr>
        <w:t xml:space="preserve"> and</w:t>
      </w:r>
      <w:r w:rsidRPr="0094710F">
        <w:rPr>
          <w:rFonts w:ascii="Arial" w:hAnsi="Arial" w:cs="Arial"/>
          <w:szCs w:val="22"/>
        </w:rPr>
        <w:t xml:space="preserve"> outputs, outcomes, and impacts</w:t>
      </w:r>
      <w:r>
        <w:rPr>
          <w:rFonts w:ascii="Arial" w:hAnsi="Arial" w:cs="Arial"/>
          <w:szCs w:val="22"/>
        </w:rPr>
        <w:t>.</w:t>
      </w:r>
      <w:r w:rsidRPr="0094710F">
        <w:rPr>
          <w:rFonts w:ascii="Arial" w:hAnsi="Arial" w:cs="Arial"/>
          <w:szCs w:val="22"/>
        </w:rPr>
        <w:t xml:space="preserve"> The principal economic, environmental and social </w:t>
      </w:r>
      <w:r w:rsidRPr="00A0699E">
        <w:rPr>
          <w:rFonts w:ascii="Arial" w:hAnsi="Arial" w:cs="Arial"/>
        </w:rPr>
        <w:t>impacts</w:t>
      </w:r>
      <w:r w:rsidRPr="0094710F">
        <w:rPr>
          <w:rFonts w:ascii="Arial" w:hAnsi="Arial" w:cs="Arial"/>
          <w:szCs w:val="22"/>
        </w:rPr>
        <w:t xml:space="preserve"> are then summarised in a triple bottom line framework. </w:t>
      </w:r>
    </w:p>
    <w:p w:rsidR="00E378B5" w:rsidRPr="00F21760" w:rsidRDefault="00E378B5" w:rsidP="00A0699E">
      <w:pPr>
        <w:spacing w:after="240"/>
        <w:rPr>
          <w:rFonts w:ascii="Arial" w:hAnsi="Arial" w:cs="Arial"/>
          <w:szCs w:val="22"/>
        </w:rPr>
      </w:pPr>
      <w:r w:rsidRPr="0094710F">
        <w:rPr>
          <w:rFonts w:ascii="Arial" w:hAnsi="Arial" w:cs="Arial"/>
          <w:szCs w:val="22"/>
        </w:rPr>
        <w:t xml:space="preserve">Some, but not all, of the impacts identified </w:t>
      </w:r>
      <w:r>
        <w:rPr>
          <w:rFonts w:ascii="Arial" w:hAnsi="Arial" w:cs="Arial"/>
          <w:szCs w:val="22"/>
        </w:rPr>
        <w:t xml:space="preserve">were </w:t>
      </w:r>
      <w:r w:rsidRPr="0094710F">
        <w:rPr>
          <w:rFonts w:ascii="Arial" w:hAnsi="Arial" w:cs="Arial"/>
          <w:szCs w:val="22"/>
        </w:rPr>
        <w:t xml:space="preserve">then valued in monetary terms. </w:t>
      </w:r>
      <w:r w:rsidRPr="00F21760">
        <w:rPr>
          <w:rFonts w:ascii="Arial" w:hAnsi="Arial" w:cs="Arial"/>
          <w:szCs w:val="22"/>
        </w:rPr>
        <w:t xml:space="preserve">The decision not to value certain impacts was due either to a shortage of necessary evidence/data, a high degree of uncertainty surrounding </w:t>
      </w:r>
      <w:r>
        <w:rPr>
          <w:rFonts w:ascii="Arial" w:hAnsi="Arial" w:cs="Arial"/>
          <w:szCs w:val="22"/>
        </w:rPr>
        <w:t xml:space="preserve">the </w:t>
      </w:r>
      <w:r w:rsidRPr="00F21760">
        <w:rPr>
          <w:rFonts w:ascii="Arial" w:hAnsi="Arial" w:cs="Arial"/>
          <w:szCs w:val="22"/>
        </w:rPr>
        <w:t xml:space="preserve">potential impact, or the likely low relative significance of the benefit compared to those that were valued. The impacts valued </w:t>
      </w:r>
      <w:r>
        <w:rPr>
          <w:rFonts w:ascii="Arial" w:hAnsi="Arial" w:cs="Arial"/>
          <w:szCs w:val="22"/>
        </w:rPr>
        <w:t xml:space="preserve">therefore </w:t>
      </w:r>
      <w:r w:rsidRPr="00F21760">
        <w:rPr>
          <w:rFonts w:ascii="Arial" w:hAnsi="Arial" w:cs="Arial"/>
          <w:szCs w:val="22"/>
        </w:rPr>
        <w:t>are deemed to represent the principal benefits delivered by the project.</w:t>
      </w:r>
    </w:p>
    <w:p w:rsidR="00E378B5" w:rsidRPr="00C66231" w:rsidRDefault="00E378B5" w:rsidP="00C66231">
      <w:pPr>
        <w:spacing w:after="240"/>
        <w:rPr>
          <w:rFonts w:ascii="Arial" w:hAnsi="Arial" w:cs="Arial"/>
          <w:b/>
          <w:sz w:val="40"/>
          <w:szCs w:val="40"/>
        </w:rPr>
      </w:pPr>
      <w:bookmarkStart w:id="165" w:name="_Toc476387736"/>
      <w:bookmarkStart w:id="166" w:name="_Toc486145228"/>
      <w:bookmarkStart w:id="167" w:name="_Toc486145337"/>
      <w:bookmarkStart w:id="168" w:name="_Toc486146253"/>
      <w:r w:rsidRPr="00C66231">
        <w:rPr>
          <w:rFonts w:ascii="Arial" w:hAnsi="Arial" w:cs="Arial"/>
          <w:b/>
          <w:sz w:val="40"/>
          <w:szCs w:val="40"/>
        </w:rPr>
        <w:t>2. Background and Rationale</w:t>
      </w:r>
      <w:bookmarkEnd w:id="165"/>
      <w:bookmarkEnd w:id="166"/>
      <w:bookmarkEnd w:id="167"/>
      <w:bookmarkEnd w:id="168"/>
      <w:r w:rsidRPr="00C66231">
        <w:rPr>
          <w:rFonts w:ascii="Arial" w:hAnsi="Arial" w:cs="Arial"/>
          <w:b/>
          <w:sz w:val="40"/>
          <w:szCs w:val="40"/>
        </w:rPr>
        <w:t xml:space="preserve"> </w:t>
      </w:r>
    </w:p>
    <w:p w:rsidR="00E378B5" w:rsidRPr="0094710F" w:rsidRDefault="00E378B5" w:rsidP="00A0699E">
      <w:pPr>
        <w:spacing w:after="240"/>
        <w:rPr>
          <w:rFonts w:ascii="Arial" w:eastAsiaTheme="majorEastAsia" w:hAnsi="Arial" w:cs="Arial"/>
          <w:b/>
          <w:bCs/>
          <w:sz w:val="24"/>
        </w:rPr>
      </w:pPr>
      <w:r w:rsidRPr="0094710F">
        <w:rPr>
          <w:rFonts w:ascii="Arial" w:eastAsiaTheme="majorEastAsia" w:hAnsi="Arial" w:cs="Arial"/>
          <w:b/>
          <w:bCs/>
          <w:sz w:val="24"/>
        </w:rPr>
        <w:t>Background</w:t>
      </w:r>
    </w:p>
    <w:p w:rsidR="00E378B5" w:rsidRPr="00E43E3C" w:rsidRDefault="00E378B5" w:rsidP="00A0699E">
      <w:pPr>
        <w:spacing w:after="240"/>
        <w:rPr>
          <w:rFonts w:ascii="Arial" w:eastAsiaTheme="majorEastAsia" w:hAnsi="Arial" w:cs="Arial"/>
          <w:bCs/>
        </w:rPr>
      </w:pPr>
      <w:r w:rsidRPr="00E43E3C">
        <w:rPr>
          <w:rFonts w:ascii="Arial" w:eastAsiaTheme="majorEastAsia" w:hAnsi="Arial" w:cs="Arial"/>
          <w:bCs/>
        </w:rPr>
        <w:t xml:space="preserve">The Australian summerfruit industry comprises peaches, nectarines, apricots, plums and pluots (plum apricot hybrid). Annual production is approximately 110,000 tonnes and </w:t>
      </w:r>
      <w:r>
        <w:rPr>
          <w:rFonts w:ascii="Arial" w:eastAsiaTheme="majorEastAsia" w:hAnsi="Arial" w:cs="Arial"/>
          <w:bCs/>
        </w:rPr>
        <w:t>wa</w:t>
      </w:r>
      <w:r w:rsidRPr="00E43E3C">
        <w:rPr>
          <w:rFonts w:ascii="Arial" w:eastAsiaTheme="majorEastAsia" w:hAnsi="Arial" w:cs="Arial"/>
          <w:bCs/>
        </w:rPr>
        <w:t>s valued at $200 million farm gate</w:t>
      </w:r>
      <w:r>
        <w:rPr>
          <w:rFonts w:ascii="Arial" w:eastAsiaTheme="majorEastAsia" w:hAnsi="Arial" w:cs="Arial"/>
          <w:bCs/>
        </w:rPr>
        <w:t xml:space="preserve"> in 2014-15</w:t>
      </w:r>
      <w:r w:rsidRPr="00E43E3C">
        <w:rPr>
          <w:rFonts w:ascii="Arial" w:eastAsiaTheme="majorEastAsia" w:hAnsi="Arial" w:cs="Arial"/>
          <w:bCs/>
        </w:rPr>
        <w:t xml:space="preserve">. Most production takes place in Victoria but all Australian </w:t>
      </w:r>
      <w:r w:rsidRPr="00A0699E">
        <w:rPr>
          <w:rFonts w:ascii="Arial" w:hAnsi="Arial" w:cs="Arial"/>
          <w:szCs w:val="22"/>
        </w:rPr>
        <w:t>states</w:t>
      </w:r>
      <w:r w:rsidRPr="00E43E3C">
        <w:rPr>
          <w:rFonts w:ascii="Arial" w:eastAsiaTheme="majorEastAsia" w:hAnsi="Arial" w:cs="Arial"/>
          <w:bCs/>
        </w:rPr>
        <w:t>, including Queensland, have a commercial summerfruit industry (Summerfruit Australia June 2016).</w:t>
      </w:r>
    </w:p>
    <w:p w:rsidR="00E378B5" w:rsidRPr="00E43E3C" w:rsidRDefault="00E378B5" w:rsidP="00A0699E">
      <w:pPr>
        <w:spacing w:after="240"/>
        <w:rPr>
          <w:rFonts w:ascii="Arial" w:eastAsiaTheme="majorEastAsia" w:hAnsi="Arial" w:cs="Arial"/>
          <w:bCs/>
        </w:rPr>
      </w:pPr>
      <w:r w:rsidRPr="00E43E3C">
        <w:rPr>
          <w:rFonts w:ascii="Arial" w:eastAsiaTheme="majorEastAsia" w:hAnsi="Arial" w:cs="Arial"/>
          <w:bCs/>
        </w:rPr>
        <w:t xml:space="preserve">Approximately 80% of Australian summerfruit is consumed fresh in the domestic market, 10% is </w:t>
      </w:r>
      <w:r w:rsidRPr="00A0699E">
        <w:rPr>
          <w:rFonts w:ascii="Arial" w:hAnsi="Arial" w:cs="Arial"/>
          <w:szCs w:val="22"/>
        </w:rPr>
        <w:t>processed</w:t>
      </w:r>
      <w:r w:rsidRPr="00E43E3C">
        <w:rPr>
          <w:rFonts w:ascii="Arial" w:eastAsiaTheme="majorEastAsia" w:hAnsi="Arial" w:cs="Arial"/>
          <w:bCs/>
        </w:rPr>
        <w:t xml:space="preserve"> and the balance is exported. In 2015-16 Australia produced around 35,000 tonnes of summerfruit surplus to local market requirements. In 2016-17 a further 7,500 tonnes of summerfruit, mainly nectarines, will be produced on trees already planted with similar i</w:t>
      </w:r>
      <w:r>
        <w:rPr>
          <w:rFonts w:ascii="Arial" w:eastAsiaTheme="majorEastAsia" w:hAnsi="Arial" w:cs="Arial"/>
          <w:bCs/>
        </w:rPr>
        <w:t xml:space="preserve">ncreases </w:t>
      </w:r>
      <w:r w:rsidRPr="00E43E3C">
        <w:rPr>
          <w:rFonts w:ascii="Arial" w:eastAsiaTheme="majorEastAsia" w:hAnsi="Arial" w:cs="Arial"/>
          <w:bCs/>
        </w:rPr>
        <w:t xml:space="preserve">in the next few years as new plantings come on stream. If Australian summerfruit production continues to grow, the domestic market will not be able to </w:t>
      </w:r>
      <w:r>
        <w:rPr>
          <w:rFonts w:ascii="Arial" w:eastAsiaTheme="majorEastAsia" w:hAnsi="Arial" w:cs="Arial"/>
          <w:bCs/>
        </w:rPr>
        <w:t>absorb the increase without significant price reductions and associated industry adjustment</w:t>
      </w:r>
      <w:r w:rsidRPr="00E43E3C">
        <w:rPr>
          <w:rFonts w:ascii="Arial" w:eastAsiaTheme="majorEastAsia" w:hAnsi="Arial" w:cs="Arial"/>
          <w:bCs/>
        </w:rPr>
        <w:t xml:space="preserve">. Export development, including improved access to markets, is essential for the </w:t>
      </w:r>
      <w:r>
        <w:rPr>
          <w:rFonts w:ascii="Arial" w:eastAsiaTheme="majorEastAsia" w:hAnsi="Arial" w:cs="Arial"/>
          <w:bCs/>
        </w:rPr>
        <w:t xml:space="preserve">summerfruit </w:t>
      </w:r>
      <w:r w:rsidRPr="00E43E3C">
        <w:rPr>
          <w:rFonts w:ascii="Arial" w:eastAsiaTheme="majorEastAsia" w:hAnsi="Arial" w:cs="Arial"/>
          <w:bCs/>
        </w:rPr>
        <w:t>industry (Summerfruit Australia June 2016).</w:t>
      </w:r>
    </w:p>
    <w:p w:rsidR="00E378B5" w:rsidRPr="0094710F" w:rsidRDefault="00E378B5" w:rsidP="00A0699E">
      <w:pPr>
        <w:spacing w:after="240"/>
        <w:rPr>
          <w:rFonts w:ascii="Arial" w:eastAsiaTheme="majorEastAsia" w:hAnsi="Arial" w:cs="Arial"/>
          <w:b/>
          <w:bCs/>
          <w:sz w:val="24"/>
        </w:rPr>
      </w:pPr>
      <w:r w:rsidRPr="0094710F">
        <w:rPr>
          <w:rFonts w:ascii="Arial" w:eastAsiaTheme="majorEastAsia" w:hAnsi="Arial" w:cs="Arial"/>
          <w:b/>
          <w:bCs/>
          <w:sz w:val="24"/>
        </w:rPr>
        <w:t xml:space="preserve">Rationale for the </w:t>
      </w:r>
      <w:r>
        <w:rPr>
          <w:rFonts w:ascii="Arial" w:eastAsiaTheme="majorEastAsia" w:hAnsi="Arial" w:cs="Arial"/>
          <w:b/>
          <w:bCs/>
          <w:sz w:val="24"/>
        </w:rPr>
        <w:t>P</w:t>
      </w:r>
      <w:r w:rsidRPr="0094710F">
        <w:rPr>
          <w:rFonts w:ascii="Arial" w:eastAsiaTheme="majorEastAsia" w:hAnsi="Arial" w:cs="Arial"/>
          <w:b/>
          <w:bCs/>
          <w:sz w:val="24"/>
        </w:rPr>
        <w:t xml:space="preserve">roject </w:t>
      </w:r>
    </w:p>
    <w:p w:rsidR="00E378B5" w:rsidRDefault="00E378B5" w:rsidP="00A0699E">
      <w:pPr>
        <w:spacing w:after="240"/>
        <w:rPr>
          <w:rFonts w:ascii="Arial" w:eastAsiaTheme="majorEastAsia" w:hAnsi="Arial" w:cs="Arial"/>
          <w:bCs/>
        </w:rPr>
      </w:pPr>
      <w:r w:rsidRPr="00E43E3C">
        <w:rPr>
          <w:rFonts w:ascii="Arial" w:eastAsiaTheme="majorEastAsia" w:hAnsi="Arial" w:cs="Arial"/>
          <w:bCs/>
        </w:rPr>
        <w:t>The aim of this project was to gain and improve market access for Australian summerfruit</w:t>
      </w:r>
      <w:r>
        <w:rPr>
          <w:rFonts w:ascii="Arial" w:eastAsiaTheme="majorEastAsia" w:hAnsi="Arial" w:cs="Arial"/>
          <w:bCs/>
        </w:rPr>
        <w:t xml:space="preserve"> to export markets</w:t>
      </w:r>
      <w:r w:rsidRPr="00E43E3C">
        <w:rPr>
          <w:rFonts w:ascii="Arial" w:eastAsiaTheme="majorEastAsia" w:hAnsi="Arial" w:cs="Arial"/>
          <w:bCs/>
        </w:rPr>
        <w:t xml:space="preserve">. Australian summerfruit currently has </w:t>
      </w:r>
      <w:r>
        <w:rPr>
          <w:rFonts w:ascii="Arial" w:eastAsiaTheme="majorEastAsia" w:hAnsi="Arial" w:cs="Arial"/>
          <w:bCs/>
        </w:rPr>
        <w:t xml:space="preserve">export </w:t>
      </w:r>
      <w:r w:rsidRPr="00E43E3C">
        <w:rPr>
          <w:rFonts w:ascii="Arial" w:eastAsiaTheme="majorEastAsia" w:hAnsi="Arial" w:cs="Arial"/>
          <w:bCs/>
        </w:rPr>
        <w:t xml:space="preserve">protocols in place or being developed for plums, nectarines and pluots, based on cold disinfestation treatments for </w:t>
      </w:r>
      <w:r w:rsidRPr="00D50CD8">
        <w:rPr>
          <w:rFonts w:ascii="Arial" w:eastAsiaTheme="majorEastAsia" w:hAnsi="Arial" w:cs="Arial"/>
          <w:bCs/>
        </w:rPr>
        <w:t>markets with quarantine barriers against fruit flies. However, the cold disinfestation treatments are not always economically feasible or practical in many markets (e.g.</w:t>
      </w:r>
      <w:r>
        <w:rPr>
          <w:rFonts w:ascii="Arial" w:eastAsiaTheme="majorEastAsia" w:hAnsi="Arial" w:cs="Arial"/>
          <w:bCs/>
        </w:rPr>
        <w:t xml:space="preserve"> duration of voyage does not coincide with disinfestation time and as a consequence separate onshore storage facilities are required for export fruit)</w:t>
      </w:r>
      <w:r w:rsidRPr="00E43E3C">
        <w:rPr>
          <w:rFonts w:ascii="Arial" w:eastAsiaTheme="majorEastAsia" w:hAnsi="Arial" w:cs="Arial"/>
          <w:bCs/>
        </w:rPr>
        <w:t xml:space="preserve">. Peaches are not able to withstand long treatments required for cold disinfestation while maintaining fruit quality so no export protocols currently exist for peaches. Protocols using methyl bromide fumigation </w:t>
      </w:r>
      <w:r>
        <w:rPr>
          <w:rFonts w:ascii="Arial" w:eastAsiaTheme="majorEastAsia" w:hAnsi="Arial" w:cs="Arial"/>
          <w:bCs/>
        </w:rPr>
        <w:t xml:space="preserve">for airfreight shipments </w:t>
      </w:r>
      <w:r w:rsidRPr="00E43E3C">
        <w:rPr>
          <w:rFonts w:ascii="Arial" w:eastAsiaTheme="majorEastAsia" w:hAnsi="Arial" w:cs="Arial"/>
          <w:bCs/>
        </w:rPr>
        <w:t>will allow better targeting of market opportunities, allow better quality fruit arrivals for plums and nectarines and allow the development of quarantine protocols for peaches (John Moore</w:t>
      </w:r>
      <w:r>
        <w:rPr>
          <w:rFonts w:ascii="Arial" w:eastAsiaTheme="majorEastAsia" w:hAnsi="Arial" w:cs="Arial"/>
          <w:bCs/>
        </w:rPr>
        <w:t xml:space="preserve">, </w:t>
      </w:r>
      <w:r w:rsidRPr="00E43E3C">
        <w:rPr>
          <w:rFonts w:ascii="Arial" w:eastAsiaTheme="majorEastAsia" w:hAnsi="Arial" w:cs="Arial"/>
          <w:bCs/>
        </w:rPr>
        <w:t>Summerfruit Australia</w:t>
      </w:r>
      <w:r>
        <w:rPr>
          <w:rFonts w:ascii="Arial" w:eastAsiaTheme="majorEastAsia" w:hAnsi="Arial" w:cs="Arial"/>
          <w:bCs/>
        </w:rPr>
        <w:t xml:space="preserve"> quoted in the project proposal).</w:t>
      </w:r>
    </w:p>
    <w:p w:rsidR="00E378B5" w:rsidRPr="00C66231" w:rsidRDefault="00E378B5" w:rsidP="00C66231">
      <w:pPr>
        <w:spacing w:after="240"/>
        <w:rPr>
          <w:rFonts w:ascii="Arial" w:hAnsi="Arial" w:cs="Arial"/>
          <w:b/>
          <w:sz w:val="40"/>
          <w:szCs w:val="40"/>
        </w:rPr>
      </w:pPr>
      <w:bookmarkStart w:id="169" w:name="_Toc476387737"/>
      <w:bookmarkStart w:id="170" w:name="_Toc486145229"/>
      <w:bookmarkStart w:id="171" w:name="_Toc486145338"/>
      <w:bookmarkStart w:id="172" w:name="_Toc486146254"/>
      <w:r w:rsidRPr="00C66231">
        <w:rPr>
          <w:rFonts w:ascii="Arial" w:hAnsi="Arial" w:cs="Arial"/>
          <w:b/>
          <w:sz w:val="40"/>
          <w:szCs w:val="40"/>
        </w:rPr>
        <w:t>3. Project Details</w:t>
      </w:r>
      <w:bookmarkEnd w:id="169"/>
      <w:bookmarkEnd w:id="170"/>
      <w:bookmarkEnd w:id="171"/>
      <w:bookmarkEnd w:id="172"/>
      <w:r w:rsidRPr="00C66231">
        <w:rPr>
          <w:rFonts w:ascii="Arial" w:hAnsi="Arial" w:cs="Arial"/>
          <w:b/>
          <w:sz w:val="40"/>
          <w:szCs w:val="40"/>
        </w:rPr>
        <w:t xml:space="preserve"> </w:t>
      </w:r>
    </w:p>
    <w:p w:rsidR="00E378B5" w:rsidRDefault="00E378B5" w:rsidP="00A0699E">
      <w:pPr>
        <w:spacing w:after="240"/>
        <w:rPr>
          <w:rFonts w:ascii="Arial" w:eastAsiaTheme="majorEastAsia" w:hAnsi="Arial" w:cs="Arial"/>
          <w:b/>
          <w:bCs/>
          <w:sz w:val="24"/>
        </w:rPr>
      </w:pPr>
      <w:r>
        <w:rPr>
          <w:rFonts w:ascii="Arial" w:eastAsiaTheme="majorEastAsia" w:hAnsi="Arial" w:cs="Arial"/>
          <w:b/>
          <w:bCs/>
          <w:sz w:val="24"/>
        </w:rPr>
        <w:t>Summary</w:t>
      </w:r>
    </w:p>
    <w:tbl>
      <w:tblPr>
        <w:tblStyle w:val="TableGrid"/>
        <w:tblW w:w="9464" w:type="dxa"/>
        <w:tblLook w:val="04A0" w:firstRow="1" w:lastRow="0" w:firstColumn="1" w:lastColumn="0" w:noHBand="0" w:noVBand="1"/>
      </w:tblPr>
      <w:tblGrid>
        <w:gridCol w:w="9464"/>
      </w:tblGrid>
      <w:tr w:rsidR="00E378B5" w:rsidTr="00E378B5">
        <w:trPr>
          <w:trHeight w:val="1526"/>
        </w:trPr>
        <w:tc>
          <w:tcPr>
            <w:tcW w:w="9464" w:type="dxa"/>
          </w:tcPr>
          <w:p w:rsidR="00E378B5" w:rsidRPr="003B660D" w:rsidRDefault="00E378B5" w:rsidP="00E378B5">
            <w:pPr>
              <w:widowControl w:val="0"/>
              <w:tabs>
                <w:tab w:val="left" w:pos="110"/>
              </w:tabs>
              <w:autoSpaceDE w:val="0"/>
              <w:autoSpaceDN w:val="0"/>
              <w:adjustRightInd w:val="0"/>
              <w:spacing w:before="101"/>
              <w:rPr>
                <w:rFonts w:ascii="Arial" w:eastAsiaTheme="majorEastAsia" w:hAnsi="Arial" w:cs="Arial"/>
                <w:bCs/>
                <w:sz w:val="22"/>
                <w:szCs w:val="22"/>
              </w:rPr>
            </w:pPr>
            <w:r w:rsidRPr="003B660D">
              <w:rPr>
                <w:rFonts w:ascii="Arial" w:eastAsiaTheme="majorEastAsia" w:hAnsi="Arial" w:cs="Arial"/>
                <w:bCs/>
                <w:sz w:val="22"/>
                <w:szCs w:val="22"/>
              </w:rPr>
              <w:t xml:space="preserve">Title: </w:t>
            </w:r>
            <w:r>
              <w:rPr>
                <w:rFonts w:ascii="Arial" w:eastAsiaTheme="majorEastAsia" w:hAnsi="Arial" w:cs="Arial"/>
                <w:bCs/>
                <w:sz w:val="22"/>
                <w:szCs w:val="22"/>
              </w:rPr>
              <w:t>Low Dose Methyl Bromide against Fruit Flies to Improve Summerfruit Market Access</w:t>
            </w:r>
          </w:p>
          <w:p w:rsidR="00E378B5" w:rsidRPr="003B660D" w:rsidRDefault="00E378B5" w:rsidP="00E378B5">
            <w:pPr>
              <w:widowControl w:val="0"/>
              <w:tabs>
                <w:tab w:val="left" w:pos="110"/>
              </w:tabs>
              <w:autoSpaceDE w:val="0"/>
              <w:autoSpaceDN w:val="0"/>
              <w:adjustRightInd w:val="0"/>
              <w:spacing w:before="101"/>
              <w:rPr>
                <w:rFonts w:ascii="Arial" w:eastAsiaTheme="majorEastAsia" w:hAnsi="Arial" w:cs="Arial"/>
                <w:bCs/>
                <w:sz w:val="22"/>
                <w:szCs w:val="22"/>
              </w:rPr>
            </w:pPr>
            <w:r w:rsidRPr="003B660D">
              <w:rPr>
                <w:rFonts w:ascii="Arial" w:eastAsiaTheme="majorEastAsia" w:hAnsi="Arial" w:cs="Arial"/>
                <w:bCs/>
                <w:sz w:val="22"/>
                <w:szCs w:val="22"/>
              </w:rPr>
              <w:t xml:space="preserve">Research Organisation: Department of Agriculture and Fisheries, Queensland </w:t>
            </w:r>
          </w:p>
          <w:p w:rsidR="00E378B5" w:rsidRPr="003B660D" w:rsidRDefault="00E378B5" w:rsidP="00E378B5">
            <w:pPr>
              <w:widowControl w:val="0"/>
              <w:tabs>
                <w:tab w:val="left" w:pos="110"/>
              </w:tabs>
              <w:autoSpaceDE w:val="0"/>
              <w:autoSpaceDN w:val="0"/>
              <w:adjustRightInd w:val="0"/>
              <w:spacing w:before="101"/>
              <w:rPr>
                <w:rFonts w:ascii="Arial" w:eastAsiaTheme="majorEastAsia" w:hAnsi="Arial" w:cs="Arial"/>
                <w:bCs/>
                <w:sz w:val="22"/>
                <w:szCs w:val="22"/>
              </w:rPr>
            </w:pPr>
            <w:r w:rsidRPr="003B660D">
              <w:rPr>
                <w:rFonts w:ascii="Arial" w:eastAsiaTheme="majorEastAsia" w:hAnsi="Arial" w:cs="Arial"/>
                <w:bCs/>
                <w:sz w:val="22"/>
                <w:szCs w:val="22"/>
              </w:rPr>
              <w:t xml:space="preserve">Principal Investigator: </w:t>
            </w:r>
            <w:r>
              <w:rPr>
                <w:rFonts w:ascii="Arial" w:eastAsiaTheme="majorEastAsia" w:hAnsi="Arial" w:cs="Arial"/>
                <w:bCs/>
                <w:sz w:val="22"/>
                <w:szCs w:val="22"/>
              </w:rPr>
              <w:t>Pauline Wyatt</w:t>
            </w:r>
            <w:r w:rsidRPr="003B660D">
              <w:rPr>
                <w:rFonts w:ascii="Arial" w:eastAsiaTheme="majorEastAsia" w:hAnsi="Arial" w:cs="Arial"/>
                <w:bCs/>
                <w:sz w:val="22"/>
                <w:szCs w:val="22"/>
              </w:rPr>
              <w:t xml:space="preserve"> </w:t>
            </w:r>
          </w:p>
          <w:p w:rsidR="00E378B5" w:rsidRDefault="00E378B5" w:rsidP="00E378B5">
            <w:pPr>
              <w:widowControl w:val="0"/>
              <w:tabs>
                <w:tab w:val="left" w:pos="110"/>
              </w:tabs>
              <w:autoSpaceDE w:val="0"/>
              <w:autoSpaceDN w:val="0"/>
              <w:adjustRightInd w:val="0"/>
              <w:spacing w:before="101"/>
              <w:rPr>
                <w:rFonts w:ascii="Arial" w:eastAsiaTheme="majorEastAsia" w:hAnsi="Arial" w:cs="Arial"/>
                <w:bCs/>
              </w:rPr>
            </w:pPr>
            <w:r w:rsidRPr="003B660D">
              <w:rPr>
                <w:rFonts w:ascii="Arial" w:eastAsiaTheme="majorEastAsia" w:hAnsi="Arial" w:cs="Arial"/>
                <w:bCs/>
                <w:sz w:val="22"/>
                <w:szCs w:val="22"/>
              </w:rPr>
              <w:t xml:space="preserve">Period of Funding:  </w:t>
            </w:r>
            <w:r>
              <w:rPr>
                <w:rFonts w:ascii="Arial" w:eastAsiaTheme="majorEastAsia" w:hAnsi="Arial" w:cs="Arial"/>
                <w:bCs/>
                <w:sz w:val="22"/>
                <w:szCs w:val="22"/>
              </w:rPr>
              <w:t xml:space="preserve">February </w:t>
            </w:r>
            <w:r w:rsidRPr="003B660D">
              <w:rPr>
                <w:rFonts w:ascii="Arial" w:eastAsiaTheme="majorEastAsia" w:hAnsi="Arial" w:cs="Arial"/>
                <w:bCs/>
                <w:sz w:val="22"/>
                <w:szCs w:val="22"/>
              </w:rPr>
              <w:t>201</w:t>
            </w:r>
            <w:r>
              <w:rPr>
                <w:rFonts w:ascii="Arial" w:eastAsiaTheme="majorEastAsia" w:hAnsi="Arial" w:cs="Arial"/>
                <w:bCs/>
                <w:sz w:val="22"/>
                <w:szCs w:val="22"/>
              </w:rPr>
              <w:t>3</w:t>
            </w:r>
            <w:r w:rsidRPr="003B660D">
              <w:rPr>
                <w:rFonts w:ascii="Arial" w:eastAsiaTheme="majorEastAsia" w:hAnsi="Arial" w:cs="Arial"/>
                <w:bCs/>
                <w:sz w:val="22"/>
                <w:szCs w:val="22"/>
              </w:rPr>
              <w:t xml:space="preserve"> to May 2016</w:t>
            </w:r>
          </w:p>
        </w:tc>
      </w:tr>
    </w:tbl>
    <w:p w:rsidR="00E378B5" w:rsidRDefault="00E378B5" w:rsidP="00E378B5">
      <w:pPr>
        <w:rPr>
          <w:rFonts w:ascii="Arial" w:eastAsiaTheme="majorEastAsia" w:hAnsi="Arial" w:cs="Arial"/>
          <w:b/>
          <w:bCs/>
          <w:sz w:val="24"/>
        </w:rPr>
      </w:pPr>
    </w:p>
    <w:p w:rsidR="00E378B5" w:rsidRPr="00CC53ED" w:rsidRDefault="00E378B5" w:rsidP="00A0699E">
      <w:pPr>
        <w:spacing w:after="240"/>
        <w:rPr>
          <w:rFonts w:ascii="Arial" w:eastAsiaTheme="majorEastAsia" w:hAnsi="Arial" w:cs="Arial"/>
          <w:b/>
          <w:bCs/>
          <w:sz w:val="24"/>
        </w:rPr>
      </w:pPr>
      <w:r w:rsidRPr="00CC53ED">
        <w:rPr>
          <w:rFonts w:ascii="Arial" w:eastAsiaTheme="majorEastAsia" w:hAnsi="Arial" w:cs="Arial"/>
          <w:b/>
          <w:bCs/>
          <w:sz w:val="24"/>
        </w:rPr>
        <w:t xml:space="preserve">Objectives   </w:t>
      </w:r>
    </w:p>
    <w:p w:rsidR="00E378B5" w:rsidRDefault="00E378B5" w:rsidP="00E378B5">
      <w:pPr>
        <w:rPr>
          <w:rFonts w:ascii="Arial" w:eastAsiaTheme="majorEastAsia" w:hAnsi="Arial" w:cs="Arial"/>
          <w:bCs/>
        </w:rPr>
      </w:pPr>
      <w:r w:rsidRPr="00CC53ED">
        <w:rPr>
          <w:rFonts w:ascii="Arial" w:eastAsiaTheme="majorEastAsia" w:hAnsi="Arial" w:cs="Arial"/>
          <w:bCs/>
        </w:rPr>
        <w:t>The objective of the project w</w:t>
      </w:r>
      <w:r>
        <w:rPr>
          <w:rFonts w:ascii="Arial" w:eastAsiaTheme="majorEastAsia" w:hAnsi="Arial" w:cs="Arial"/>
          <w:bCs/>
        </w:rPr>
        <w:t>as:</w:t>
      </w:r>
    </w:p>
    <w:p w:rsidR="00E378B5" w:rsidRPr="00D50CD8" w:rsidRDefault="00E378B5" w:rsidP="00E378B5">
      <w:pPr>
        <w:rPr>
          <w:rFonts w:ascii="Arial" w:eastAsiaTheme="majorEastAsia" w:hAnsi="Arial" w:cs="Arial"/>
          <w:bCs/>
          <w:sz w:val="10"/>
          <w:szCs w:val="10"/>
        </w:rPr>
      </w:pPr>
    </w:p>
    <w:p w:rsidR="00E378B5" w:rsidRPr="00C42463" w:rsidRDefault="00E378B5" w:rsidP="000F22FE">
      <w:pPr>
        <w:pStyle w:val="ListParagraph"/>
        <w:numPr>
          <w:ilvl w:val="0"/>
          <w:numId w:val="22"/>
        </w:numPr>
        <w:suppressAutoHyphens/>
        <w:contextualSpacing w:val="0"/>
        <w:rPr>
          <w:rFonts w:ascii="Arial" w:eastAsiaTheme="majorEastAsia" w:hAnsi="Arial" w:cs="Arial"/>
          <w:bCs/>
        </w:rPr>
      </w:pPr>
      <w:r w:rsidRPr="00C42463">
        <w:rPr>
          <w:rFonts w:ascii="Arial" w:eastAsiaTheme="majorEastAsia" w:hAnsi="Arial" w:cs="Arial"/>
          <w:bCs/>
        </w:rPr>
        <w:t>To generate data to allow the development of export protocols suitable for airfreight.</w:t>
      </w:r>
    </w:p>
    <w:p w:rsidR="00E378B5" w:rsidRDefault="00E378B5" w:rsidP="00E378B5">
      <w:pPr>
        <w:rPr>
          <w:rFonts w:ascii="Arial" w:eastAsiaTheme="majorEastAsia" w:hAnsi="Arial" w:cs="Arial"/>
          <w:bCs/>
        </w:rPr>
      </w:pPr>
    </w:p>
    <w:p w:rsidR="00E378B5" w:rsidRPr="00F91146" w:rsidRDefault="00E378B5" w:rsidP="00A0699E">
      <w:pPr>
        <w:spacing w:after="240"/>
        <w:rPr>
          <w:rFonts w:ascii="Arial" w:eastAsiaTheme="majorEastAsia" w:hAnsi="Arial" w:cs="Arial"/>
          <w:b/>
          <w:bCs/>
          <w:sz w:val="24"/>
        </w:rPr>
      </w:pPr>
      <w:r w:rsidRPr="00F91146">
        <w:rPr>
          <w:rFonts w:ascii="Arial" w:eastAsiaTheme="majorEastAsia" w:hAnsi="Arial" w:cs="Arial"/>
          <w:b/>
          <w:bCs/>
          <w:sz w:val="24"/>
        </w:rPr>
        <w:t xml:space="preserve">Logical Framework </w:t>
      </w:r>
    </w:p>
    <w:p w:rsidR="00E378B5" w:rsidRDefault="00E378B5" w:rsidP="00A0699E">
      <w:pPr>
        <w:spacing w:after="240"/>
        <w:rPr>
          <w:rFonts w:ascii="Arial" w:eastAsiaTheme="majorEastAsia" w:hAnsi="Arial" w:cs="Arial"/>
          <w:bCs/>
        </w:rPr>
      </w:pPr>
      <w:r w:rsidRPr="00D04886">
        <w:rPr>
          <w:rFonts w:ascii="Arial" w:eastAsiaTheme="majorEastAsia" w:hAnsi="Arial" w:cs="Arial"/>
          <w:bCs/>
        </w:rPr>
        <w:t xml:space="preserve">Table 1 provides a description of the </w:t>
      </w:r>
      <w:r>
        <w:rPr>
          <w:rFonts w:ascii="Arial" w:eastAsiaTheme="majorEastAsia" w:hAnsi="Arial" w:cs="Arial"/>
          <w:bCs/>
        </w:rPr>
        <w:t xml:space="preserve">project in a </w:t>
      </w:r>
      <w:r w:rsidRPr="00D04886">
        <w:rPr>
          <w:rFonts w:ascii="Arial" w:eastAsiaTheme="majorEastAsia" w:hAnsi="Arial" w:cs="Arial"/>
          <w:bCs/>
        </w:rPr>
        <w:t>logical framework</w:t>
      </w:r>
      <w:r>
        <w:rPr>
          <w:rFonts w:ascii="Arial" w:eastAsiaTheme="majorEastAsia" w:hAnsi="Arial" w:cs="Arial"/>
          <w:bCs/>
        </w:rPr>
        <w:t xml:space="preserve"> devel</w:t>
      </w:r>
      <w:r w:rsidRPr="00D04886">
        <w:rPr>
          <w:rFonts w:ascii="Arial" w:eastAsiaTheme="majorEastAsia" w:hAnsi="Arial" w:cs="Arial"/>
          <w:bCs/>
        </w:rPr>
        <w:t xml:space="preserve">oped for the project. </w:t>
      </w:r>
    </w:p>
    <w:p w:rsidR="00E378B5" w:rsidRPr="00C66231" w:rsidRDefault="00E378B5" w:rsidP="00C66231">
      <w:pPr>
        <w:pStyle w:val="Caption"/>
        <w:spacing w:after="240"/>
        <w:jc w:val="center"/>
        <w:rPr>
          <w:rFonts w:ascii="Arial" w:eastAsiaTheme="majorEastAsia" w:hAnsi="Arial"/>
          <w:b w:val="0"/>
          <w:bCs w:val="0"/>
          <w:i/>
          <w:color w:val="000000" w:themeColor="text1"/>
          <w:sz w:val="22"/>
          <w:szCs w:val="22"/>
        </w:rPr>
      </w:pPr>
      <w:bookmarkStart w:id="173" w:name="_Toc476632574"/>
      <w:r w:rsidRPr="00C66231">
        <w:rPr>
          <w:rFonts w:ascii="Arial" w:hAnsi="Arial"/>
          <w:b w:val="0"/>
          <w:color w:val="000000" w:themeColor="text1"/>
          <w:sz w:val="22"/>
          <w:szCs w:val="22"/>
        </w:rPr>
        <w:t xml:space="preserve">Table </w:t>
      </w:r>
      <w:r w:rsidR="003147F5" w:rsidRPr="003147F5">
        <w:rPr>
          <w:rFonts w:ascii="Arial" w:hAnsi="Arial"/>
          <w:b w:val="0"/>
          <w:color w:val="000000" w:themeColor="text1"/>
          <w:sz w:val="22"/>
          <w:szCs w:val="22"/>
        </w:rPr>
        <w:t>1</w:t>
      </w:r>
      <w:r w:rsidRPr="00C66231">
        <w:rPr>
          <w:rFonts w:ascii="Arial" w:hAnsi="Arial"/>
          <w:b w:val="0"/>
          <w:color w:val="000000" w:themeColor="text1"/>
          <w:sz w:val="22"/>
          <w:szCs w:val="22"/>
        </w:rPr>
        <w:t>: Logical Framework</w:t>
      </w:r>
      <w:bookmarkEnd w:id="173"/>
    </w:p>
    <w:tbl>
      <w:tblPr>
        <w:tblStyle w:val="TableGrid"/>
        <w:tblW w:w="9478" w:type="dxa"/>
        <w:tblLook w:val="04A0" w:firstRow="1" w:lastRow="0" w:firstColumn="1" w:lastColumn="0" w:noHBand="0" w:noVBand="1"/>
      </w:tblPr>
      <w:tblGrid>
        <w:gridCol w:w="1762"/>
        <w:gridCol w:w="7716"/>
      </w:tblGrid>
      <w:tr w:rsidR="00E378B5" w:rsidRPr="00D04886" w:rsidTr="00E378B5">
        <w:trPr>
          <w:trHeight w:val="5993"/>
        </w:trPr>
        <w:tc>
          <w:tcPr>
            <w:tcW w:w="1762" w:type="dxa"/>
          </w:tcPr>
          <w:p w:rsidR="00E378B5" w:rsidRPr="00D04886" w:rsidRDefault="00E378B5" w:rsidP="00E378B5">
            <w:pPr>
              <w:rPr>
                <w:rFonts w:ascii="Arial" w:hAnsi="Arial" w:cs="Arial"/>
                <w:sz w:val="22"/>
                <w:szCs w:val="22"/>
              </w:rPr>
            </w:pPr>
            <w:r w:rsidRPr="00D04886">
              <w:rPr>
                <w:rFonts w:ascii="Arial" w:hAnsi="Arial" w:cs="Arial"/>
                <w:sz w:val="22"/>
                <w:szCs w:val="22"/>
              </w:rPr>
              <w:t>Activities and Outputs</w:t>
            </w:r>
          </w:p>
        </w:tc>
        <w:tc>
          <w:tcPr>
            <w:tcW w:w="7716" w:type="dxa"/>
          </w:tcPr>
          <w:p w:rsidR="00E378B5" w:rsidRPr="00F42562"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F42562">
              <w:rPr>
                <w:rFonts w:ascii="Arial" w:hAnsi="Arial" w:cs="Arial"/>
                <w:sz w:val="22"/>
              </w:rPr>
              <w:t>Nectarines and peaches were fumigated with methyl bromide at a treatment dose of 18g/m</w:t>
            </w:r>
            <w:r w:rsidRPr="00F42562">
              <w:rPr>
                <w:rFonts w:ascii="Arial" w:hAnsi="Arial" w:cs="Arial"/>
                <w:sz w:val="22"/>
                <w:vertAlign w:val="superscript"/>
              </w:rPr>
              <w:t>3</w:t>
            </w:r>
            <w:r w:rsidRPr="00F42562">
              <w:rPr>
                <w:rFonts w:ascii="Arial" w:hAnsi="Arial" w:cs="Arial"/>
                <w:sz w:val="22"/>
              </w:rPr>
              <w:t xml:space="preserve"> at a pulp temperature of 18</w:t>
            </w:r>
            <w:r w:rsidRPr="00F42562">
              <w:rPr>
                <w:rFonts w:ascii="Arial" w:hAnsi="Arial" w:cs="Arial"/>
                <w:sz w:val="22"/>
                <w:vertAlign w:val="superscript"/>
              </w:rPr>
              <w:t>0</w:t>
            </w:r>
            <w:r w:rsidRPr="00F42562">
              <w:rPr>
                <w:rFonts w:ascii="Arial" w:hAnsi="Arial" w:cs="Arial"/>
                <w:sz w:val="22"/>
              </w:rPr>
              <w:t xml:space="preserve">C for 5.5 hours to kill </w:t>
            </w:r>
            <w:r>
              <w:rPr>
                <w:rFonts w:ascii="Arial" w:hAnsi="Arial" w:cs="Arial"/>
                <w:sz w:val="22"/>
              </w:rPr>
              <w:t>Queensland fruit fly (</w:t>
            </w:r>
            <w:r w:rsidRPr="00F42562">
              <w:rPr>
                <w:rFonts w:ascii="Arial" w:hAnsi="Arial" w:cs="Arial"/>
                <w:sz w:val="22"/>
              </w:rPr>
              <w:t>Qfly</w:t>
            </w:r>
            <w:r>
              <w:rPr>
                <w:rFonts w:ascii="Arial" w:hAnsi="Arial" w:cs="Arial"/>
                <w:sz w:val="22"/>
              </w:rPr>
              <w:t>,</w:t>
            </w:r>
            <w:r w:rsidRPr="00F42562">
              <w:rPr>
                <w:rFonts w:ascii="Arial" w:hAnsi="Arial" w:cs="Arial"/>
                <w:sz w:val="22"/>
              </w:rPr>
              <w:t xml:space="preserve"> </w:t>
            </w:r>
            <w:r w:rsidRPr="00F42562">
              <w:rPr>
                <w:rFonts w:ascii="Arial" w:hAnsi="Arial" w:cs="Arial"/>
                <w:i/>
                <w:sz w:val="22"/>
              </w:rPr>
              <w:t>Bactrocera tryoni</w:t>
            </w:r>
            <w:r w:rsidRPr="00F42562">
              <w:rPr>
                <w:rFonts w:ascii="Arial" w:hAnsi="Arial" w:cs="Arial"/>
                <w:sz w:val="22"/>
              </w:rPr>
              <w:t>).</w:t>
            </w:r>
          </w:p>
          <w:p w:rsidR="00E378B5" w:rsidRPr="00F42562"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F42562">
              <w:rPr>
                <w:rFonts w:ascii="Arial" w:hAnsi="Arial" w:cs="Arial"/>
                <w:sz w:val="22"/>
              </w:rPr>
              <w:t xml:space="preserve">Three large scale trials </w:t>
            </w:r>
            <w:r>
              <w:rPr>
                <w:rFonts w:ascii="Arial" w:hAnsi="Arial" w:cs="Arial"/>
                <w:sz w:val="22"/>
              </w:rPr>
              <w:t xml:space="preserve">were </w:t>
            </w:r>
            <w:r w:rsidRPr="00F42562">
              <w:rPr>
                <w:rFonts w:ascii="Arial" w:hAnsi="Arial" w:cs="Arial"/>
                <w:sz w:val="22"/>
              </w:rPr>
              <w:t>conducted against each of the four immature life stages of Qfly</w:t>
            </w:r>
            <w:r>
              <w:rPr>
                <w:rFonts w:ascii="Arial" w:hAnsi="Arial" w:cs="Arial"/>
                <w:sz w:val="22"/>
              </w:rPr>
              <w:t>.</w:t>
            </w:r>
          </w:p>
          <w:p w:rsidR="00E378B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F42562">
              <w:rPr>
                <w:rFonts w:ascii="Arial" w:hAnsi="Arial" w:cs="Arial"/>
                <w:sz w:val="22"/>
              </w:rPr>
              <w:t xml:space="preserve">No Qfly survived, thereby resulting in a &gt;99.99% mortality at the 95% confidence level for each life stage. </w:t>
            </w:r>
          </w:p>
          <w:p w:rsidR="00E378B5" w:rsidRPr="00F42562"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F42562">
              <w:rPr>
                <w:rFonts w:ascii="Arial" w:hAnsi="Arial" w:cs="Arial"/>
                <w:sz w:val="22"/>
              </w:rPr>
              <w:t>There was no adverse effect on fruit quality.</w:t>
            </w:r>
          </w:p>
          <w:p w:rsidR="00E378B5" w:rsidRPr="00F42562"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F42562">
              <w:rPr>
                <w:rFonts w:ascii="Arial" w:hAnsi="Arial" w:cs="Arial"/>
                <w:sz w:val="22"/>
              </w:rPr>
              <w:t>The data package generated from th</w:t>
            </w:r>
            <w:r>
              <w:rPr>
                <w:rFonts w:ascii="Arial" w:hAnsi="Arial" w:cs="Arial"/>
                <w:sz w:val="22"/>
              </w:rPr>
              <w:t>e</w:t>
            </w:r>
            <w:r w:rsidRPr="00F42562">
              <w:rPr>
                <w:rFonts w:ascii="Arial" w:hAnsi="Arial" w:cs="Arial"/>
                <w:sz w:val="22"/>
              </w:rPr>
              <w:t xml:space="preserve"> experiment </w:t>
            </w:r>
            <w:r>
              <w:rPr>
                <w:rFonts w:ascii="Arial" w:hAnsi="Arial" w:cs="Arial"/>
                <w:sz w:val="22"/>
              </w:rPr>
              <w:t>wa</w:t>
            </w:r>
            <w:r w:rsidRPr="00F42562">
              <w:rPr>
                <w:rFonts w:ascii="Arial" w:hAnsi="Arial" w:cs="Arial"/>
                <w:sz w:val="22"/>
              </w:rPr>
              <w:t>s sufficient for protocol development for the use of low dose methyl bromide as a quarantine treatment against Qfly in nectarines and peaches.</w:t>
            </w:r>
          </w:p>
          <w:p w:rsidR="00E378B5" w:rsidRPr="00F42562"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F42562">
              <w:rPr>
                <w:rFonts w:ascii="Arial" w:hAnsi="Arial" w:cs="Arial"/>
                <w:sz w:val="22"/>
              </w:rPr>
              <w:t>This project was the first time that a complete data set on low dose methyl bromide use had been assembled (Ekman</w:t>
            </w:r>
            <w:r>
              <w:rPr>
                <w:rFonts w:ascii="Arial" w:hAnsi="Arial" w:cs="Arial"/>
                <w:sz w:val="22"/>
              </w:rPr>
              <w:t>,</w:t>
            </w:r>
            <w:r w:rsidRPr="00F42562">
              <w:rPr>
                <w:rFonts w:ascii="Arial" w:hAnsi="Arial" w:cs="Arial"/>
                <w:sz w:val="22"/>
              </w:rPr>
              <w:t xml:space="preserve"> 2016)</w:t>
            </w:r>
            <w:r>
              <w:rPr>
                <w:rFonts w:ascii="Arial" w:hAnsi="Arial" w:cs="Arial"/>
                <w:sz w:val="22"/>
              </w:rPr>
              <w:t>.</w:t>
            </w:r>
          </w:p>
          <w:p w:rsidR="00E378B5" w:rsidRPr="00F42562"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F42562">
              <w:rPr>
                <w:rFonts w:ascii="Arial" w:hAnsi="Arial" w:cs="Arial"/>
                <w:sz w:val="22"/>
              </w:rPr>
              <w:t xml:space="preserve">An export submission </w:t>
            </w:r>
            <w:r>
              <w:rPr>
                <w:rFonts w:ascii="Arial" w:hAnsi="Arial" w:cs="Arial"/>
                <w:sz w:val="22"/>
              </w:rPr>
              <w:t>w</w:t>
            </w:r>
            <w:r w:rsidRPr="00F42562">
              <w:rPr>
                <w:rFonts w:ascii="Arial" w:hAnsi="Arial" w:cs="Arial"/>
                <w:sz w:val="22"/>
              </w:rPr>
              <w:t xml:space="preserve">as prepared and submitted to the </w:t>
            </w:r>
            <w:r>
              <w:rPr>
                <w:rFonts w:ascii="Arial" w:hAnsi="Arial" w:cs="Arial"/>
                <w:sz w:val="22"/>
              </w:rPr>
              <w:t xml:space="preserve">Australian Government </w:t>
            </w:r>
            <w:r w:rsidRPr="00F42562">
              <w:rPr>
                <w:rFonts w:ascii="Arial" w:hAnsi="Arial" w:cs="Arial"/>
                <w:sz w:val="22"/>
              </w:rPr>
              <w:t>Department of Agriculture and Water Resources (DAWR)</w:t>
            </w:r>
            <w:r>
              <w:rPr>
                <w:rFonts w:ascii="Arial" w:hAnsi="Arial" w:cs="Arial"/>
                <w:sz w:val="22"/>
              </w:rPr>
              <w:t>.</w:t>
            </w:r>
            <w:r w:rsidRPr="00F42562">
              <w:rPr>
                <w:rFonts w:ascii="Arial" w:hAnsi="Arial" w:cs="Arial"/>
                <w:sz w:val="22"/>
              </w:rPr>
              <w:t xml:space="preserve"> </w:t>
            </w:r>
          </w:p>
          <w:p w:rsidR="00E378B5" w:rsidRPr="00F42562"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F42562">
              <w:rPr>
                <w:rFonts w:ascii="Arial" w:hAnsi="Arial" w:cs="Arial"/>
                <w:sz w:val="22"/>
              </w:rPr>
              <w:t>In 2015</w:t>
            </w:r>
            <w:r>
              <w:rPr>
                <w:rFonts w:ascii="Arial" w:hAnsi="Arial" w:cs="Arial"/>
                <w:sz w:val="22"/>
              </w:rPr>
              <w:t xml:space="preserve"> it was reported</w:t>
            </w:r>
            <w:r w:rsidRPr="00F42562">
              <w:rPr>
                <w:rFonts w:ascii="Arial" w:hAnsi="Arial" w:cs="Arial"/>
                <w:sz w:val="22"/>
              </w:rPr>
              <w:t xml:space="preserve"> “DAWR officers have provided the report to quarantine authorities from China and Thailand. Bilateral negotiations have commenced with both countries, but are not complete yet” (</w:t>
            </w:r>
            <w:r>
              <w:rPr>
                <w:rFonts w:ascii="Arial" w:hAnsi="Arial" w:cs="Arial"/>
                <w:sz w:val="22"/>
              </w:rPr>
              <w:t xml:space="preserve">Wyatt et al </w:t>
            </w:r>
            <w:r w:rsidRPr="00F42562">
              <w:rPr>
                <w:rFonts w:ascii="Arial" w:hAnsi="Arial" w:cs="Arial"/>
                <w:sz w:val="22"/>
              </w:rPr>
              <w:t>2015)</w:t>
            </w:r>
            <w:r>
              <w:rPr>
                <w:rFonts w:ascii="Arial" w:hAnsi="Arial" w:cs="Arial"/>
                <w:sz w:val="22"/>
              </w:rPr>
              <w:t>.</w:t>
            </w:r>
          </w:p>
          <w:p w:rsidR="00E378B5" w:rsidRPr="00F42562" w:rsidRDefault="00E378B5" w:rsidP="000F22FE">
            <w:pPr>
              <w:pStyle w:val="ListParagraph"/>
              <w:numPr>
                <w:ilvl w:val="0"/>
                <w:numId w:val="20"/>
              </w:numPr>
              <w:tabs>
                <w:tab w:val="left" w:pos="1620"/>
                <w:tab w:val="left" w:pos="10440"/>
              </w:tabs>
              <w:suppressAutoHyphens/>
              <w:ind w:left="365"/>
              <w:contextualSpacing w:val="0"/>
              <w:rPr>
                <w:rFonts w:ascii="Arial" w:hAnsi="Arial" w:cs="Arial"/>
                <w:b/>
                <w:sz w:val="22"/>
              </w:rPr>
            </w:pPr>
            <w:r w:rsidRPr="00F42562">
              <w:rPr>
                <w:rFonts w:ascii="Arial" w:hAnsi="Arial" w:cs="Arial"/>
                <w:sz w:val="22"/>
              </w:rPr>
              <w:t xml:space="preserve">Outputs from the project are relevant to </w:t>
            </w:r>
            <w:r>
              <w:rPr>
                <w:rFonts w:ascii="Arial" w:hAnsi="Arial" w:cs="Arial"/>
                <w:sz w:val="22"/>
              </w:rPr>
              <w:t xml:space="preserve">Australian summerfruit </w:t>
            </w:r>
            <w:r w:rsidRPr="00F42562">
              <w:rPr>
                <w:rFonts w:ascii="Arial" w:hAnsi="Arial" w:cs="Arial"/>
                <w:sz w:val="22"/>
              </w:rPr>
              <w:t>protocol markets</w:t>
            </w:r>
            <w:r>
              <w:rPr>
                <w:rStyle w:val="FootnoteReference"/>
                <w:rFonts w:ascii="Arial" w:hAnsi="Arial" w:cs="Arial"/>
                <w:sz w:val="22"/>
              </w:rPr>
              <w:footnoteReference w:id="1"/>
            </w:r>
            <w:r>
              <w:rPr>
                <w:rFonts w:ascii="Arial" w:hAnsi="Arial" w:cs="Arial"/>
                <w:sz w:val="22"/>
              </w:rPr>
              <w:t>:</w:t>
            </w:r>
            <w:r w:rsidRPr="00F42562">
              <w:rPr>
                <w:rFonts w:ascii="Arial" w:hAnsi="Arial" w:cs="Arial"/>
                <w:sz w:val="22"/>
              </w:rPr>
              <w:t xml:space="preserve"> China, Vietnam, Thailand, Philippines and Taiwan (NB: Indonesia is a non-protocol market that already accepts methyl bromide fumigation albeit at high dose levels i.e. 64g/m</w:t>
            </w:r>
            <w:r w:rsidRPr="00F42562">
              <w:rPr>
                <w:rFonts w:ascii="Arial" w:hAnsi="Arial" w:cs="Arial"/>
                <w:sz w:val="22"/>
                <w:vertAlign w:val="superscript"/>
              </w:rPr>
              <w:t>3</w:t>
            </w:r>
            <w:r w:rsidRPr="00F42562">
              <w:rPr>
                <w:rFonts w:ascii="Arial" w:hAnsi="Arial" w:cs="Arial"/>
                <w:sz w:val="22"/>
              </w:rPr>
              <w:t>)</w:t>
            </w:r>
            <w:r>
              <w:rPr>
                <w:rFonts w:ascii="Arial" w:hAnsi="Arial" w:cs="Arial"/>
                <w:sz w:val="22"/>
              </w:rPr>
              <w:t>.</w:t>
            </w:r>
          </w:p>
        </w:tc>
      </w:tr>
      <w:tr w:rsidR="00E378B5" w:rsidRPr="00D04886" w:rsidTr="00E378B5">
        <w:tc>
          <w:tcPr>
            <w:tcW w:w="1762" w:type="dxa"/>
          </w:tcPr>
          <w:p w:rsidR="00E378B5" w:rsidRPr="00D04886" w:rsidRDefault="00E378B5" w:rsidP="00E378B5">
            <w:pPr>
              <w:rPr>
                <w:rFonts w:ascii="Arial" w:hAnsi="Arial" w:cs="Arial"/>
                <w:sz w:val="22"/>
                <w:szCs w:val="22"/>
              </w:rPr>
            </w:pPr>
            <w:r w:rsidRPr="00D04886">
              <w:rPr>
                <w:rFonts w:ascii="Arial" w:hAnsi="Arial" w:cs="Arial"/>
                <w:sz w:val="22"/>
                <w:szCs w:val="22"/>
              </w:rPr>
              <w:t>Outcomes</w:t>
            </w:r>
          </w:p>
        </w:tc>
        <w:tc>
          <w:tcPr>
            <w:tcW w:w="7716" w:type="dxa"/>
          </w:tcPr>
          <w:p w:rsidR="00E378B5" w:rsidRPr="0017514A"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As a result of the project the </w:t>
            </w:r>
            <w:r w:rsidRPr="002202C5">
              <w:rPr>
                <w:rFonts w:ascii="Arial" w:hAnsi="Arial" w:cs="Arial"/>
                <w:sz w:val="22"/>
              </w:rPr>
              <w:t xml:space="preserve">China market opened for nectarines starting in the 2016-17 summerfruit season. </w:t>
            </w:r>
            <w:r>
              <w:rPr>
                <w:rFonts w:ascii="Arial" w:hAnsi="Arial" w:cs="Arial"/>
                <w:sz w:val="22"/>
              </w:rPr>
              <w:t xml:space="preserve">The </w:t>
            </w:r>
            <w:r w:rsidRPr="002202C5">
              <w:rPr>
                <w:rFonts w:ascii="Arial" w:hAnsi="Arial" w:cs="Arial"/>
                <w:sz w:val="22"/>
              </w:rPr>
              <w:t>protocol includes airfreight using ‘low dose methyl bromide at 18g/m</w:t>
            </w:r>
            <w:r w:rsidRPr="002202C5">
              <w:rPr>
                <w:rFonts w:ascii="Arial" w:hAnsi="Arial" w:cs="Arial"/>
                <w:sz w:val="22"/>
                <w:vertAlign w:val="superscript"/>
              </w:rPr>
              <w:t>3</w:t>
            </w:r>
            <w:r w:rsidRPr="002202C5">
              <w:rPr>
                <w:rFonts w:ascii="Arial" w:hAnsi="Arial" w:cs="Arial"/>
                <w:sz w:val="22"/>
              </w:rPr>
              <w:t xml:space="preserve"> for 5.5 hours at a pulp temperature of 18</w:t>
            </w:r>
            <w:r w:rsidRPr="002202C5">
              <w:rPr>
                <w:rFonts w:ascii="Arial" w:hAnsi="Arial" w:cs="Arial"/>
                <w:sz w:val="22"/>
                <w:vertAlign w:val="superscript"/>
              </w:rPr>
              <w:t>o</w:t>
            </w:r>
            <w:r w:rsidRPr="002202C5">
              <w:rPr>
                <w:rFonts w:ascii="Arial" w:hAnsi="Arial" w:cs="Arial"/>
                <w:sz w:val="22"/>
              </w:rPr>
              <w:t xml:space="preserve">C or above at no more than 34% chamber load’ i.e. project recommendations. </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2202C5">
              <w:rPr>
                <w:rFonts w:ascii="Arial" w:hAnsi="Arial" w:cs="Arial"/>
                <w:sz w:val="22"/>
              </w:rPr>
              <w:t>Australian nectarines were air-freighted to China using the protocol in 2016-17 (John Moore</w:t>
            </w:r>
            <w:r>
              <w:rPr>
                <w:rFonts w:ascii="Arial" w:hAnsi="Arial" w:cs="Arial"/>
                <w:sz w:val="22"/>
              </w:rPr>
              <w:t>,</w:t>
            </w:r>
            <w:r w:rsidRPr="002202C5">
              <w:rPr>
                <w:rFonts w:ascii="Arial" w:hAnsi="Arial" w:cs="Arial"/>
                <w:sz w:val="22"/>
              </w:rPr>
              <w:t xml:space="preserve"> pers. comm. March 2017)</w:t>
            </w:r>
            <w:r>
              <w:rPr>
                <w:rFonts w:ascii="Arial" w:hAnsi="Arial" w:cs="Arial"/>
                <w:sz w:val="22"/>
              </w:rPr>
              <w:t>.</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2202C5">
              <w:rPr>
                <w:rFonts w:ascii="Arial" w:hAnsi="Arial" w:cs="Arial"/>
                <w:sz w:val="22"/>
              </w:rPr>
              <w:t xml:space="preserve">The same low dose methyl bromide based protocol has been requested by Australia for </w:t>
            </w:r>
            <w:r>
              <w:rPr>
                <w:rFonts w:ascii="Arial" w:hAnsi="Arial" w:cs="Arial"/>
                <w:sz w:val="22"/>
              </w:rPr>
              <w:t xml:space="preserve">airfreight </w:t>
            </w:r>
            <w:r w:rsidRPr="002202C5">
              <w:rPr>
                <w:rFonts w:ascii="Arial" w:hAnsi="Arial" w:cs="Arial"/>
                <w:sz w:val="22"/>
              </w:rPr>
              <w:t>summerfruit exports to (John Moore</w:t>
            </w:r>
            <w:r>
              <w:rPr>
                <w:rFonts w:ascii="Arial" w:hAnsi="Arial" w:cs="Arial"/>
                <w:sz w:val="22"/>
              </w:rPr>
              <w:t>,</w:t>
            </w:r>
            <w:r w:rsidRPr="002202C5">
              <w:rPr>
                <w:rFonts w:ascii="Arial" w:hAnsi="Arial" w:cs="Arial"/>
                <w:sz w:val="22"/>
              </w:rPr>
              <w:t xml:space="preserve"> pers. comm. March 2017):</w:t>
            </w:r>
          </w:p>
          <w:p w:rsidR="00E378B5" w:rsidRPr="002202C5" w:rsidRDefault="00E378B5" w:rsidP="000F22FE">
            <w:pPr>
              <w:pStyle w:val="ListParagraph"/>
              <w:numPr>
                <w:ilvl w:val="0"/>
                <w:numId w:val="21"/>
              </w:numPr>
              <w:rPr>
                <w:rFonts w:ascii="Arial" w:hAnsi="Arial" w:cs="Arial"/>
                <w:sz w:val="22"/>
              </w:rPr>
            </w:pPr>
            <w:r w:rsidRPr="002202C5">
              <w:rPr>
                <w:rFonts w:ascii="Arial" w:hAnsi="Arial" w:cs="Arial"/>
                <w:sz w:val="22"/>
              </w:rPr>
              <w:t xml:space="preserve">China – access anticipated </w:t>
            </w:r>
            <w:r>
              <w:rPr>
                <w:rFonts w:ascii="Arial" w:hAnsi="Arial" w:cs="Arial"/>
                <w:sz w:val="22"/>
              </w:rPr>
              <w:t xml:space="preserve">for </w:t>
            </w:r>
            <w:r w:rsidRPr="002202C5">
              <w:rPr>
                <w:rFonts w:ascii="Arial" w:hAnsi="Arial" w:cs="Arial"/>
                <w:sz w:val="22"/>
              </w:rPr>
              <w:t>peaches in 2017-18</w:t>
            </w:r>
            <w:r>
              <w:rPr>
                <w:rFonts w:ascii="Arial" w:hAnsi="Arial" w:cs="Arial"/>
                <w:sz w:val="22"/>
              </w:rPr>
              <w:t>.</w:t>
            </w:r>
          </w:p>
          <w:p w:rsidR="00E378B5" w:rsidRPr="002202C5" w:rsidRDefault="00E378B5" w:rsidP="000F22FE">
            <w:pPr>
              <w:pStyle w:val="ListParagraph"/>
              <w:numPr>
                <w:ilvl w:val="0"/>
                <w:numId w:val="21"/>
              </w:numPr>
              <w:rPr>
                <w:rFonts w:ascii="Arial" w:hAnsi="Arial" w:cs="Arial"/>
                <w:sz w:val="22"/>
              </w:rPr>
            </w:pPr>
            <w:r w:rsidRPr="002202C5">
              <w:rPr>
                <w:rFonts w:ascii="Arial" w:hAnsi="Arial" w:cs="Arial"/>
                <w:sz w:val="22"/>
              </w:rPr>
              <w:t xml:space="preserve">Vietnam – access anticipated </w:t>
            </w:r>
            <w:r>
              <w:rPr>
                <w:rFonts w:ascii="Arial" w:hAnsi="Arial" w:cs="Arial"/>
                <w:sz w:val="22"/>
              </w:rPr>
              <w:t xml:space="preserve">for </w:t>
            </w:r>
            <w:r w:rsidRPr="002202C5">
              <w:rPr>
                <w:rFonts w:ascii="Arial" w:hAnsi="Arial" w:cs="Arial"/>
                <w:sz w:val="22"/>
              </w:rPr>
              <w:t>nectarines</w:t>
            </w:r>
            <w:r>
              <w:rPr>
                <w:rFonts w:ascii="Arial" w:hAnsi="Arial" w:cs="Arial"/>
                <w:sz w:val="22"/>
              </w:rPr>
              <w:t xml:space="preserve"> and</w:t>
            </w:r>
            <w:r w:rsidRPr="002202C5">
              <w:rPr>
                <w:rFonts w:ascii="Arial" w:hAnsi="Arial" w:cs="Arial"/>
                <w:sz w:val="22"/>
              </w:rPr>
              <w:t xml:space="preserve"> peaches in 2017-18</w:t>
            </w:r>
            <w:r>
              <w:rPr>
                <w:rFonts w:ascii="Arial" w:hAnsi="Arial" w:cs="Arial"/>
                <w:sz w:val="22"/>
              </w:rPr>
              <w:t>.</w:t>
            </w:r>
          </w:p>
          <w:p w:rsidR="00E378B5" w:rsidRPr="002202C5" w:rsidRDefault="00E378B5" w:rsidP="000F22FE">
            <w:pPr>
              <w:pStyle w:val="ListParagraph"/>
              <w:numPr>
                <w:ilvl w:val="0"/>
                <w:numId w:val="21"/>
              </w:numPr>
              <w:rPr>
                <w:rFonts w:ascii="Arial" w:hAnsi="Arial" w:cs="Arial"/>
                <w:sz w:val="22"/>
              </w:rPr>
            </w:pPr>
            <w:r w:rsidRPr="002202C5">
              <w:rPr>
                <w:rFonts w:ascii="Arial" w:hAnsi="Arial" w:cs="Arial"/>
                <w:sz w:val="22"/>
              </w:rPr>
              <w:t xml:space="preserve">Thailand – access anticipated </w:t>
            </w:r>
            <w:r>
              <w:rPr>
                <w:rFonts w:ascii="Arial" w:hAnsi="Arial" w:cs="Arial"/>
                <w:sz w:val="22"/>
              </w:rPr>
              <w:t xml:space="preserve">for </w:t>
            </w:r>
            <w:r w:rsidRPr="002202C5">
              <w:rPr>
                <w:rFonts w:ascii="Arial" w:hAnsi="Arial" w:cs="Arial"/>
                <w:sz w:val="22"/>
              </w:rPr>
              <w:t>nectarines</w:t>
            </w:r>
            <w:r>
              <w:rPr>
                <w:rFonts w:ascii="Arial" w:hAnsi="Arial" w:cs="Arial"/>
                <w:sz w:val="22"/>
              </w:rPr>
              <w:t xml:space="preserve"> and</w:t>
            </w:r>
            <w:r w:rsidRPr="002202C5">
              <w:rPr>
                <w:rFonts w:ascii="Arial" w:hAnsi="Arial" w:cs="Arial"/>
                <w:sz w:val="22"/>
              </w:rPr>
              <w:t xml:space="preserve"> peaches in 2018-19</w:t>
            </w:r>
            <w:r>
              <w:rPr>
                <w:rFonts w:ascii="Arial" w:hAnsi="Arial" w:cs="Arial"/>
                <w:sz w:val="22"/>
              </w:rPr>
              <w:t>.</w:t>
            </w:r>
          </w:p>
          <w:p w:rsidR="00E378B5" w:rsidRPr="002202C5" w:rsidRDefault="00E378B5" w:rsidP="000F22FE">
            <w:pPr>
              <w:pStyle w:val="ListParagraph"/>
              <w:numPr>
                <w:ilvl w:val="0"/>
                <w:numId w:val="21"/>
              </w:numPr>
              <w:rPr>
                <w:rFonts w:ascii="Arial" w:hAnsi="Arial" w:cs="Arial"/>
                <w:sz w:val="22"/>
              </w:rPr>
            </w:pPr>
            <w:r w:rsidRPr="002202C5">
              <w:rPr>
                <w:rFonts w:ascii="Arial" w:hAnsi="Arial" w:cs="Arial"/>
                <w:sz w:val="22"/>
              </w:rPr>
              <w:t>Philippines –</w:t>
            </w:r>
            <w:r>
              <w:rPr>
                <w:rFonts w:ascii="Arial" w:hAnsi="Arial" w:cs="Arial"/>
                <w:sz w:val="22"/>
              </w:rPr>
              <w:t xml:space="preserve"> </w:t>
            </w:r>
            <w:r w:rsidRPr="002202C5">
              <w:rPr>
                <w:rFonts w:ascii="Arial" w:hAnsi="Arial" w:cs="Arial"/>
                <w:sz w:val="22"/>
              </w:rPr>
              <w:t xml:space="preserve">access anticipated </w:t>
            </w:r>
            <w:r>
              <w:rPr>
                <w:rFonts w:ascii="Arial" w:hAnsi="Arial" w:cs="Arial"/>
                <w:sz w:val="22"/>
              </w:rPr>
              <w:t xml:space="preserve">for </w:t>
            </w:r>
            <w:r w:rsidRPr="002202C5">
              <w:rPr>
                <w:rFonts w:ascii="Arial" w:hAnsi="Arial" w:cs="Arial"/>
                <w:sz w:val="22"/>
              </w:rPr>
              <w:t>nectarines</w:t>
            </w:r>
            <w:r>
              <w:rPr>
                <w:rFonts w:ascii="Arial" w:hAnsi="Arial" w:cs="Arial"/>
                <w:sz w:val="22"/>
              </w:rPr>
              <w:t xml:space="preserve"> and</w:t>
            </w:r>
            <w:r w:rsidRPr="002202C5">
              <w:rPr>
                <w:rFonts w:ascii="Arial" w:hAnsi="Arial" w:cs="Arial"/>
                <w:sz w:val="22"/>
              </w:rPr>
              <w:t xml:space="preserve"> peaches in 2018-19</w:t>
            </w:r>
            <w:r>
              <w:rPr>
                <w:rFonts w:ascii="Arial" w:hAnsi="Arial" w:cs="Arial"/>
                <w:sz w:val="22"/>
              </w:rPr>
              <w:t>.</w:t>
            </w:r>
          </w:p>
          <w:p w:rsidR="00E378B5" w:rsidRPr="002202C5" w:rsidRDefault="00E378B5" w:rsidP="000F22FE">
            <w:pPr>
              <w:pStyle w:val="ListParagraph"/>
              <w:numPr>
                <w:ilvl w:val="0"/>
                <w:numId w:val="21"/>
              </w:numPr>
              <w:rPr>
                <w:rFonts w:ascii="Arial" w:hAnsi="Arial" w:cs="Arial"/>
                <w:sz w:val="22"/>
              </w:rPr>
            </w:pPr>
            <w:r w:rsidRPr="002202C5">
              <w:rPr>
                <w:rFonts w:ascii="Arial" w:hAnsi="Arial" w:cs="Arial"/>
                <w:sz w:val="22"/>
              </w:rPr>
              <w:t>Taiwan –</w:t>
            </w:r>
            <w:r>
              <w:rPr>
                <w:rFonts w:ascii="Arial" w:hAnsi="Arial" w:cs="Arial"/>
                <w:sz w:val="22"/>
              </w:rPr>
              <w:t xml:space="preserve"> </w:t>
            </w:r>
            <w:r w:rsidRPr="002202C5">
              <w:rPr>
                <w:rFonts w:ascii="Arial" w:hAnsi="Arial" w:cs="Arial"/>
                <w:sz w:val="22"/>
              </w:rPr>
              <w:t>access anticipated for nectarines</w:t>
            </w:r>
            <w:r>
              <w:rPr>
                <w:rFonts w:ascii="Arial" w:hAnsi="Arial" w:cs="Arial"/>
                <w:sz w:val="22"/>
              </w:rPr>
              <w:t xml:space="preserve"> and</w:t>
            </w:r>
            <w:r w:rsidRPr="002202C5">
              <w:rPr>
                <w:rFonts w:ascii="Arial" w:hAnsi="Arial" w:cs="Arial"/>
                <w:sz w:val="22"/>
              </w:rPr>
              <w:t xml:space="preserve"> peaches in 2019-20</w:t>
            </w:r>
            <w:r>
              <w:rPr>
                <w:rFonts w:ascii="Arial" w:hAnsi="Arial" w:cs="Arial"/>
                <w:sz w:val="22"/>
              </w:rPr>
              <w:t>.</w:t>
            </w:r>
          </w:p>
          <w:p w:rsidR="00E378B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In the longer term low dose methyl bromide may also be relevant to the New Zealand and United States markets (Pauline Wyatt,</w:t>
            </w:r>
            <w:r w:rsidRPr="002202C5">
              <w:rPr>
                <w:rFonts w:ascii="Arial" w:hAnsi="Arial" w:cs="Arial"/>
                <w:sz w:val="22"/>
              </w:rPr>
              <w:t xml:space="preserve"> pers. comm. March 2017)</w:t>
            </w:r>
            <w:r>
              <w:rPr>
                <w:rFonts w:ascii="Arial" w:hAnsi="Arial" w:cs="Arial"/>
                <w:sz w:val="22"/>
              </w:rPr>
              <w:t xml:space="preserve">. </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2202C5">
              <w:rPr>
                <w:rFonts w:ascii="Arial" w:hAnsi="Arial" w:cs="Arial"/>
                <w:sz w:val="22"/>
              </w:rPr>
              <w:t xml:space="preserve">While </w:t>
            </w:r>
            <w:r>
              <w:rPr>
                <w:rFonts w:ascii="Arial" w:hAnsi="Arial" w:cs="Arial"/>
                <w:sz w:val="22"/>
              </w:rPr>
              <w:t xml:space="preserve">the project </w:t>
            </w:r>
            <w:r w:rsidRPr="002202C5">
              <w:rPr>
                <w:rFonts w:ascii="Arial" w:hAnsi="Arial" w:cs="Arial"/>
                <w:sz w:val="22"/>
              </w:rPr>
              <w:t xml:space="preserve">outputs are also potentially relevant to the interstate trade in summerfruit – </w:t>
            </w:r>
            <w:r>
              <w:rPr>
                <w:rFonts w:ascii="Arial" w:hAnsi="Arial" w:cs="Arial"/>
                <w:sz w:val="22"/>
              </w:rPr>
              <w:t xml:space="preserve">as </w:t>
            </w:r>
            <w:r w:rsidRPr="002202C5">
              <w:rPr>
                <w:rFonts w:ascii="Arial" w:hAnsi="Arial" w:cs="Arial"/>
                <w:sz w:val="22"/>
              </w:rPr>
              <w:t>summerfruit originating in the major Australian production regions are subject to fumigation or other forms of Qfly management prior to entering Western Australia, South Australia and Tasmania – the trade is not based on airfreight and research outputs will not change current interstate trade outcomes</w:t>
            </w:r>
            <w:r>
              <w:rPr>
                <w:rFonts w:ascii="Arial" w:hAnsi="Arial" w:cs="Arial"/>
                <w:sz w:val="22"/>
              </w:rPr>
              <w:t>.</w:t>
            </w:r>
            <w:r w:rsidRPr="002202C5">
              <w:rPr>
                <w:rFonts w:ascii="Arial" w:hAnsi="Arial" w:cs="Arial"/>
                <w:sz w:val="22"/>
              </w:rPr>
              <w:t xml:space="preserve">  </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2202C5">
              <w:rPr>
                <w:rFonts w:ascii="Arial" w:hAnsi="Arial" w:cs="Arial"/>
                <w:sz w:val="22"/>
              </w:rPr>
              <w:t>Outputs from the research are also relevant to other horticultural crops whose airfreight export is constrained by Qfly concerns</w:t>
            </w:r>
            <w:r>
              <w:rPr>
                <w:rFonts w:ascii="Arial" w:hAnsi="Arial" w:cs="Arial"/>
                <w:sz w:val="22"/>
              </w:rPr>
              <w:t>; other crop interests</w:t>
            </w:r>
            <w:r w:rsidRPr="002202C5">
              <w:rPr>
                <w:rFonts w:ascii="Arial" w:hAnsi="Arial" w:cs="Arial"/>
                <w:sz w:val="22"/>
              </w:rPr>
              <w:t xml:space="preserve"> might be able to adapt the research to create an additional phytosanitary treatment option for their particular industries</w:t>
            </w:r>
            <w:r>
              <w:rPr>
                <w:rFonts w:ascii="Arial" w:hAnsi="Arial" w:cs="Arial"/>
                <w:sz w:val="22"/>
              </w:rPr>
              <w:t>.</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U</w:t>
            </w:r>
            <w:r w:rsidRPr="002202C5">
              <w:rPr>
                <w:rFonts w:ascii="Arial" w:hAnsi="Arial" w:cs="Arial"/>
                <w:sz w:val="22"/>
              </w:rPr>
              <w:t>se of th</w:t>
            </w:r>
            <w:r>
              <w:rPr>
                <w:rFonts w:ascii="Arial" w:hAnsi="Arial" w:cs="Arial"/>
                <w:sz w:val="22"/>
              </w:rPr>
              <w:t>e new</w:t>
            </w:r>
            <w:r w:rsidRPr="002202C5">
              <w:rPr>
                <w:rFonts w:ascii="Arial" w:hAnsi="Arial" w:cs="Arial"/>
                <w:sz w:val="22"/>
              </w:rPr>
              <w:t xml:space="preserve"> treatment option </w:t>
            </w:r>
            <w:r>
              <w:rPr>
                <w:rFonts w:ascii="Arial" w:hAnsi="Arial" w:cs="Arial"/>
                <w:sz w:val="22"/>
              </w:rPr>
              <w:t xml:space="preserve">with </w:t>
            </w:r>
            <w:r w:rsidRPr="002202C5">
              <w:rPr>
                <w:rFonts w:ascii="Arial" w:hAnsi="Arial" w:cs="Arial"/>
                <w:sz w:val="22"/>
              </w:rPr>
              <w:t>half the amount of methyl bromide used and will avoid fumigation burn (‘fumo burn’)</w:t>
            </w:r>
            <w:r>
              <w:rPr>
                <w:rFonts w:ascii="Arial" w:hAnsi="Arial" w:cs="Arial"/>
                <w:sz w:val="22"/>
              </w:rPr>
              <w:t xml:space="preserve"> and increase fruit quality</w:t>
            </w:r>
            <w:r w:rsidRPr="002202C5">
              <w:rPr>
                <w:rFonts w:ascii="Arial" w:hAnsi="Arial" w:cs="Arial"/>
                <w:sz w:val="22"/>
              </w:rPr>
              <w:t>. Adoption will result in improved fruit quality in export markets serviced by airfreight</w:t>
            </w:r>
            <w:r>
              <w:rPr>
                <w:rFonts w:ascii="Arial" w:hAnsi="Arial" w:cs="Arial"/>
                <w:sz w:val="22"/>
              </w:rPr>
              <w:t xml:space="preserve"> </w:t>
            </w:r>
            <w:r w:rsidRPr="00F42562">
              <w:rPr>
                <w:rFonts w:ascii="Arial" w:hAnsi="Arial" w:cs="Arial"/>
                <w:sz w:val="22"/>
              </w:rPr>
              <w:t>(Ekman</w:t>
            </w:r>
            <w:r>
              <w:rPr>
                <w:rFonts w:ascii="Arial" w:hAnsi="Arial" w:cs="Arial"/>
                <w:sz w:val="22"/>
              </w:rPr>
              <w:t>,</w:t>
            </w:r>
            <w:r w:rsidRPr="00F42562">
              <w:rPr>
                <w:rFonts w:ascii="Arial" w:hAnsi="Arial" w:cs="Arial"/>
                <w:sz w:val="22"/>
              </w:rPr>
              <w:t xml:space="preserve"> 2016)</w:t>
            </w:r>
            <w:r>
              <w:rPr>
                <w:rFonts w:ascii="Arial" w:hAnsi="Arial" w:cs="Arial"/>
                <w:sz w:val="22"/>
              </w:rPr>
              <w:t>.</w:t>
            </w:r>
          </w:p>
          <w:p w:rsidR="00E378B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sidRPr="002202C5">
              <w:rPr>
                <w:rFonts w:ascii="Arial" w:hAnsi="Arial" w:cs="Arial"/>
                <w:sz w:val="22"/>
              </w:rPr>
              <w:t>Reducing the volume of methyl bromide used also has implications for the environment</w:t>
            </w:r>
            <w:r>
              <w:rPr>
                <w:rFonts w:ascii="Arial" w:hAnsi="Arial" w:cs="Arial"/>
                <w:sz w:val="22"/>
              </w:rPr>
              <w:t xml:space="preserve"> </w:t>
            </w:r>
            <w:r w:rsidRPr="002202C5">
              <w:rPr>
                <w:rFonts w:ascii="Arial" w:hAnsi="Arial" w:cs="Arial"/>
                <w:sz w:val="22"/>
              </w:rPr>
              <w:t>–</w:t>
            </w:r>
            <w:r>
              <w:rPr>
                <w:rFonts w:ascii="Arial" w:hAnsi="Arial" w:cs="Arial"/>
                <w:sz w:val="22"/>
              </w:rPr>
              <w:t xml:space="preserve"> </w:t>
            </w:r>
            <w:r w:rsidRPr="002202C5">
              <w:rPr>
                <w:rFonts w:ascii="Arial" w:hAnsi="Arial" w:cs="Arial"/>
                <w:sz w:val="22"/>
              </w:rPr>
              <w:t xml:space="preserve">methyl bromide is an ozone depleting substance and </w:t>
            </w:r>
            <w:r>
              <w:rPr>
                <w:rFonts w:ascii="Arial" w:hAnsi="Arial" w:cs="Arial"/>
                <w:sz w:val="22"/>
              </w:rPr>
              <w:t xml:space="preserve">until </w:t>
            </w:r>
            <w:r w:rsidRPr="002202C5">
              <w:rPr>
                <w:rFonts w:ascii="Arial" w:hAnsi="Arial" w:cs="Arial"/>
                <w:sz w:val="22"/>
              </w:rPr>
              <w:t>capture</w:t>
            </w:r>
            <w:r>
              <w:rPr>
                <w:rFonts w:ascii="Arial" w:hAnsi="Arial" w:cs="Arial"/>
                <w:sz w:val="22"/>
              </w:rPr>
              <w:t xml:space="preserve"> is mandatory, </w:t>
            </w:r>
            <w:r w:rsidRPr="002202C5">
              <w:rPr>
                <w:rFonts w:ascii="Arial" w:hAnsi="Arial" w:cs="Arial"/>
                <w:sz w:val="22"/>
              </w:rPr>
              <w:t xml:space="preserve">a </w:t>
            </w:r>
            <w:r w:rsidRPr="005854D6">
              <w:rPr>
                <w:rFonts w:ascii="Arial" w:hAnsi="Arial" w:cs="Arial"/>
                <w:sz w:val="22"/>
              </w:rPr>
              <w:t>reduction in use volume will also reduce</w:t>
            </w:r>
            <w:r w:rsidRPr="002202C5">
              <w:rPr>
                <w:rFonts w:ascii="Arial" w:hAnsi="Arial" w:cs="Arial"/>
                <w:sz w:val="22"/>
              </w:rPr>
              <w:t xml:space="preserve"> </w:t>
            </w:r>
            <w:r>
              <w:rPr>
                <w:rFonts w:ascii="Arial" w:hAnsi="Arial" w:cs="Arial"/>
                <w:sz w:val="22"/>
              </w:rPr>
              <w:t xml:space="preserve">subsequent </w:t>
            </w:r>
            <w:r w:rsidRPr="002202C5">
              <w:rPr>
                <w:rFonts w:ascii="Arial" w:hAnsi="Arial" w:cs="Arial"/>
                <w:sz w:val="22"/>
              </w:rPr>
              <w:t>environmental damage</w:t>
            </w:r>
            <w:r>
              <w:rPr>
                <w:rFonts w:ascii="Arial" w:hAnsi="Arial" w:cs="Arial"/>
                <w:sz w:val="22"/>
              </w:rPr>
              <w:t xml:space="preserve">. </w:t>
            </w:r>
          </w:p>
          <w:p w:rsidR="00E378B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Methyl bromide adversely affects human health and a reduction in concentration reduces workplace health and safety risk during venting (Pauline Wyatt,</w:t>
            </w:r>
            <w:r w:rsidRPr="002202C5">
              <w:rPr>
                <w:rFonts w:ascii="Arial" w:hAnsi="Arial" w:cs="Arial"/>
                <w:sz w:val="22"/>
              </w:rPr>
              <w:t xml:space="preserve"> pers. comm. March 2017)</w:t>
            </w:r>
            <w:r>
              <w:rPr>
                <w:rFonts w:ascii="Arial" w:hAnsi="Arial" w:cs="Arial"/>
                <w:sz w:val="22"/>
              </w:rPr>
              <w:t>.</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Reduced methyl bromide use will also result in minor cost savings over ‘full dose’ methyl bromide use for fumigation operations. </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b/>
                <w:sz w:val="22"/>
              </w:rPr>
            </w:pPr>
            <w:r w:rsidRPr="002202C5">
              <w:rPr>
                <w:rFonts w:ascii="Arial" w:hAnsi="Arial" w:cs="Arial"/>
                <w:sz w:val="22"/>
              </w:rPr>
              <w:t xml:space="preserve">Research capacity was built in </w:t>
            </w:r>
            <w:r>
              <w:rPr>
                <w:rFonts w:ascii="Arial" w:hAnsi="Arial" w:cs="Arial"/>
                <w:sz w:val="22"/>
              </w:rPr>
              <w:t>fumigation, gas chromatography, and fruit fly fumigation techniques.</w:t>
            </w:r>
            <w:r w:rsidRPr="002202C5">
              <w:rPr>
                <w:rFonts w:ascii="Arial" w:hAnsi="Arial" w:cs="Arial"/>
                <w:sz w:val="22"/>
              </w:rPr>
              <w:t xml:space="preserve"> </w:t>
            </w:r>
          </w:p>
        </w:tc>
      </w:tr>
      <w:tr w:rsidR="00E378B5" w:rsidRPr="00D04886" w:rsidTr="00E378B5">
        <w:tc>
          <w:tcPr>
            <w:tcW w:w="1762" w:type="dxa"/>
          </w:tcPr>
          <w:p w:rsidR="00E378B5" w:rsidRPr="00D04886" w:rsidRDefault="00E378B5" w:rsidP="00E378B5">
            <w:pPr>
              <w:rPr>
                <w:rFonts w:ascii="Arial" w:hAnsi="Arial" w:cs="Arial"/>
                <w:sz w:val="22"/>
                <w:szCs w:val="22"/>
              </w:rPr>
            </w:pPr>
            <w:r w:rsidRPr="00D04886">
              <w:rPr>
                <w:rFonts w:ascii="Arial" w:hAnsi="Arial" w:cs="Arial"/>
                <w:sz w:val="22"/>
                <w:szCs w:val="22"/>
              </w:rPr>
              <w:t>Impacts</w:t>
            </w:r>
          </w:p>
        </w:tc>
        <w:tc>
          <w:tcPr>
            <w:tcW w:w="7716" w:type="dxa"/>
          </w:tcPr>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S</w:t>
            </w:r>
            <w:r w:rsidRPr="002202C5">
              <w:rPr>
                <w:rFonts w:ascii="Arial" w:hAnsi="Arial" w:cs="Arial"/>
                <w:sz w:val="22"/>
              </w:rPr>
              <w:t xml:space="preserve">ummerfruit export sales </w:t>
            </w:r>
            <w:r>
              <w:rPr>
                <w:rFonts w:ascii="Arial" w:hAnsi="Arial" w:cs="Arial"/>
                <w:sz w:val="22"/>
              </w:rPr>
              <w:t xml:space="preserve">in Asian airfreight markets </w:t>
            </w:r>
            <w:r w:rsidRPr="002202C5">
              <w:rPr>
                <w:rFonts w:ascii="Arial" w:hAnsi="Arial" w:cs="Arial"/>
                <w:sz w:val="22"/>
              </w:rPr>
              <w:t xml:space="preserve">resulting in increased grower profit </w:t>
            </w:r>
            <w:r>
              <w:rPr>
                <w:rFonts w:ascii="Arial" w:hAnsi="Arial" w:cs="Arial"/>
                <w:sz w:val="22"/>
              </w:rPr>
              <w:t>i</w:t>
            </w:r>
            <w:r w:rsidRPr="002202C5">
              <w:rPr>
                <w:rFonts w:ascii="Arial" w:hAnsi="Arial" w:cs="Arial"/>
                <w:sz w:val="22"/>
              </w:rPr>
              <w:t xml:space="preserve">.e. </w:t>
            </w:r>
            <w:r>
              <w:rPr>
                <w:rFonts w:ascii="Arial" w:hAnsi="Arial" w:cs="Arial"/>
                <w:sz w:val="22"/>
              </w:rPr>
              <w:t xml:space="preserve">new sales to </w:t>
            </w:r>
            <w:r w:rsidRPr="002202C5">
              <w:rPr>
                <w:rFonts w:ascii="Arial" w:hAnsi="Arial" w:cs="Arial"/>
                <w:sz w:val="22"/>
              </w:rPr>
              <w:t>China, Vietnam, Thailand, Philippines and Taiwan</w:t>
            </w:r>
            <w:r>
              <w:rPr>
                <w:rFonts w:ascii="Arial" w:hAnsi="Arial" w:cs="Arial"/>
                <w:sz w:val="22"/>
              </w:rPr>
              <w:t>.</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b/>
                <w:sz w:val="22"/>
              </w:rPr>
            </w:pPr>
            <w:r w:rsidRPr="002202C5">
              <w:rPr>
                <w:rFonts w:ascii="Arial" w:hAnsi="Arial" w:cs="Arial"/>
                <w:sz w:val="22"/>
              </w:rPr>
              <w:t>Potential additional phytosanitary treatment options for other horticultural crops</w:t>
            </w:r>
            <w:r>
              <w:rPr>
                <w:rFonts w:ascii="Arial" w:hAnsi="Arial" w:cs="Arial"/>
                <w:sz w:val="22"/>
              </w:rPr>
              <w:t xml:space="preserve"> because it has been shown to be successful on peaches and nectarines e.g. other summerfruit (apricots, plums and pluots), apples, pears, table grapes, mango, capsicum, pumpkin, strawberry.</w:t>
            </w:r>
          </w:p>
          <w:p w:rsidR="00E378B5" w:rsidRPr="00F12C75" w:rsidRDefault="00E378B5" w:rsidP="000F22FE">
            <w:pPr>
              <w:pStyle w:val="ListParagraph"/>
              <w:numPr>
                <w:ilvl w:val="0"/>
                <w:numId w:val="20"/>
              </w:numPr>
              <w:tabs>
                <w:tab w:val="left" w:pos="1620"/>
                <w:tab w:val="left" w:pos="10440"/>
              </w:tabs>
              <w:suppressAutoHyphens/>
              <w:ind w:left="365"/>
              <w:contextualSpacing w:val="0"/>
              <w:rPr>
                <w:rFonts w:ascii="Arial" w:hAnsi="Arial" w:cs="Arial"/>
                <w:b/>
                <w:sz w:val="22"/>
              </w:rPr>
            </w:pPr>
            <w:r w:rsidRPr="002202C5">
              <w:rPr>
                <w:rFonts w:ascii="Arial" w:hAnsi="Arial" w:cs="Arial"/>
                <w:sz w:val="22"/>
              </w:rPr>
              <w:t>Reduction in the volume of ozone depleting substances used in phytosanitary treatments</w:t>
            </w:r>
            <w:r>
              <w:rPr>
                <w:rFonts w:ascii="Arial" w:hAnsi="Arial" w:cs="Arial"/>
                <w:sz w:val="22"/>
              </w:rPr>
              <w:t>.</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Improvement in workplace health and safety as a result of lower dose methyl bromide protocols.</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b/>
                <w:sz w:val="22"/>
              </w:rPr>
            </w:pPr>
            <w:r w:rsidRPr="002202C5">
              <w:rPr>
                <w:rFonts w:ascii="Arial" w:hAnsi="Arial" w:cs="Arial"/>
                <w:sz w:val="22"/>
              </w:rPr>
              <w:t xml:space="preserve">Increased </w:t>
            </w:r>
            <w:r>
              <w:rPr>
                <w:rFonts w:ascii="Arial" w:hAnsi="Arial" w:cs="Arial"/>
                <w:sz w:val="22"/>
              </w:rPr>
              <w:t xml:space="preserve">research </w:t>
            </w:r>
            <w:r w:rsidRPr="002202C5">
              <w:rPr>
                <w:rFonts w:ascii="Arial" w:hAnsi="Arial" w:cs="Arial"/>
                <w:sz w:val="22"/>
              </w:rPr>
              <w:t>capacity</w:t>
            </w:r>
            <w:r>
              <w:rPr>
                <w:rFonts w:ascii="Arial" w:hAnsi="Arial" w:cs="Arial"/>
                <w:sz w:val="22"/>
              </w:rPr>
              <w:t>.</w:t>
            </w:r>
          </w:p>
          <w:p w:rsidR="00E378B5" w:rsidRPr="002202C5" w:rsidRDefault="00E378B5" w:rsidP="000F22FE">
            <w:pPr>
              <w:pStyle w:val="ListParagraph"/>
              <w:numPr>
                <w:ilvl w:val="0"/>
                <w:numId w:val="20"/>
              </w:numPr>
              <w:tabs>
                <w:tab w:val="left" w:pos="1620"/>
                <w:tab w:val="left" w:pos="10440"/>
              </w:tabs>
              <w:suppressAutoHyphens/>
              <w:ind w:left="365"/>
              <w:contextualSpacing w:val="0"/>
              <w:rPr>
                <w:rFonts w:ascii="Arial" w:hAnsi="Arial" w:cs="Arial"/>
                <w:b/>
                <w:sz w:val="22"/>
              </w:rPr>
            </w:pPr>
            <w:r w:rsidRPr="002202C5">
              <w:rPr>
                <w:rFonts w:ascii="Arial" w:hAnsi="Arial" w:cs="Arial"/>
                <w:sz w:val="22"/>
              </w:rPr>
              <w:t>Increased regional income in summerfruit growing areas.</w:t>
            </w:r>
          </w:p>
        </w:tc>
      </w:tr>
    </w:tbl>
    <w:p w:rsidR="00E378B5" w:rsidRDefault="00E378B5">
      <w:pPr>
        <w:rPr>
          <w:rFonts w:ascii="Arial" w:eastAsiaTheme="majorEastAsia" w:hAnsi="Arial" w:cs="Arial"/>
          <w:bCs/>
        </w:rPr>
      </w:pPr>
    </w:p>
    <w:p w:rsidR="00E378B5" w:rsidRPr="00C66231" w:rsidRDefault="00E378B5" w:rsidP="00C66231">
      <w:pPr>
        <w:spacing w:after="240"/>
        <w:rPr>
          <w:rFonts w:ascii="Arial" w:hAnsi="Arial" w:cs="Arial"/>
          <w:b/>
          <w:sz w:val="40"/>
          <w:szCs w:val="40"/>
        </w:rPr>
      </w:pPr>
      <w:bookmarkStart w:id="174" w:name="_Toc476387738"/>
      <w:bookmarkStart w:id="175" w:name="_Toc486145230"/>
      <w:bookmarkStart w:id="176" w:name="_Toc486145339"/>
      <w:bookmarkStart w:id="177" w:name="_Toc486146255"/>
      <w:r w:rsidRPr="00C66231">
        <w:rPr>
          <w:rFonts w:ascii="Arial" w:hAnsi="Arial" w:cs="Arial"/>
          <w:b/>
          <w:sz w:val="40"/>
          <w:szCs w:val="40"/>
        </w:rPr>
        <w:t>4. Project Investment</w:t>
      </w:r>
      <w:bookmarkEnd w:id="174"/>
      <w:bookmarkEnd w:id="175"/>
      <w:bookmarkEnd w:id="176"/>
      <w:bookmarkEnd w:id="177"/>
      <w:r w:rsidRPr="00C66231">
        <w:rPr>
          <w:rFonts w:ascii="Arial" w:hAnsi="Arial" w:cs="Arial"/>
          <w:b/>
          <w:sz w:val="40"/>
          <w:szCs w:val="40"/>
        </w:rPr>
        <w:t xml:space="preserve"> </w:t>
      </w:r>
    </w:p>
    <w:p w:rsidR="00E378B5" w:rsidRPr="00AA0B42" w:rsidRDefault="00E378B5" w:rsidP="00A0699E">
      <w:pPr>
        <w:spacing w:after="240"/>
        <w:rPr>
          <w:rFonts w:ascii="Arial" w:hAnsi="Arial" w:cs="Arial"/>
          <w:b/>
        </w:rPr>
      </w:pPr>
      <w:r w:rsidRPr="00AA0B42">
        <w:rPr>
          <w:rFonts w:ascii="Arial" w:hAnsi="Arial" w:cs="Arial"/>
          <w:b/>
        </w:rPr>
        <w:t xml:space="preserve">Nominal Investment </w:t>
      </w:r>
    </w:p>
    <w:p w:rsidR="00E378B5" w:rsidRDefault="00E378B5" w:rsidP="00A0699E">
      <w:pPr>
        <w:spacing w:after="240"/>
        <w:rPr>
          <w:rFonts w:ascii="Arial" w:hAnsi="Arial" w:cs="Arial"/>
        </w:rPr>
      </w:pPr>
      <w:r w:rsidRPr="00F45195">
        <w:rPr>
          <w:rFonts w:ascii="Arial" w:hAnsi="Arial" w:cs="Arial"/>
        </w:rPr>
        <w:t>Table 2 shows the annual investment for the project funded by DAF</w:t>
      </w:r>
      <w:r>
        <w:rPr>
          <w:rFonts w:ascii="Arial" w:hAnsi="Arial" w:cs="Arial"/>
        </w:rPr>
        <w:t xml:space="preserve"> and Hort Innovation</w:t>
      </w:r>
      <w:r w:rsidRPr="00F45195">
        <w:rPr>
          <w:rFonts w:ascii="Arial" w:hAnsi="Arial" w:cs="Arial"/>
        </w:rPr>
        <w:t>.</w:t>
      </w:r>
    </w:p>
    <w:p w:rsidR="00E378B5" w:rsidRPr="00A0699E" w:rsidRDefault="00E378B5" w:rsidP="00A0699E">
      <w:pPr>
        <w:spacing w:after="240"/>
        <w:jc w:val="center"/>
        <w:rPr>
          <w:rFonts w:ascii="Arial" w:hAnsi="Arial"/>
          <w:color w:val="000000" w:themeColor="text1"/>
          <w:szCs w:val="22"/>
        </w:rPr>
      </w:pPr>
      <w:bookmarkStart w:id="178" w:name="_Toc476632575"/>
      <w:r w:rsidRPr="00A0699E">
        <w:rPr>
          <w:rFonts w:ascii="Arial" w:hAnsi="Arial"/>
          <w:color w:val="000000" w:themeColor="text1"/>
          <w:szCs w:val="22"/>
        </w:rPr>
        <w:t xml:space="preserve">Table </w:t>
      </w:r>
      <w:r w:rsidR="003147F5">
        <w:rPr>
          <w:rFonts w:ascii="Arial" w:hAnsi="Arial"/>
          <w:color w:val="000000" w:themeColor="text1"/>
          <w:szCs w:val="22"/>
        </w:rPr>
        <w:t>2</w:t>
      </w:r>
      <w:r w:rsidRPr="00A0699E">
        <w:rPr>
          <w:rFonts w:ascii="Arial" w:hAnsi="Arial"/>
          <w:color w:val="000000" w:themeColor="text1"/>
          <w:szCs w:val="22"/>
        </w:rPr>
        <w:t>: Annual Investment in the Project (nominal $)</w:t>
      </w:r>
      <w:bookmarkEnd w:id="178"/>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1867"/>
        <w:gridCol w:w="1867"/>
        <w:gridCol w:w="1869"/>
      </w:tblGrid>
      <w:tr w:rsidR="00E378B5" w:rsidRPr="00B739B9" w:rsidTr="00E378B5">
        <w:trPr>
          <w:trHeight w:val="245"/>
          <w:jc w:val="center"/>
        </w:trPr>
        <w:tc>
          <w:tcPr>
            <w:tcW w:w="1698" w:type="pct"/>
            <w:shd w:val="clear" w:color="auto" w:fill="auto"/>
            <w:vAlign w:val="center"/>
            <w:hideMark/>
          </w:tcPr>
          <w:p w:rsidR="00E378B5" w:rsidRPr="00F45195" w:rsidRDefault="00E378B5" w:rsidP="00E378B5">
            <w:pPr>
              <w:rPr>
                <w:rFonts w:ascii="Arial" w:hAnsi="Arial" w:cs="Arial"/>
                <w:b/>
                <w:bCs/>
                <w:lang w:eastAsia="en-AU"/>
              </w:rPr>
            </w:pPr>
            <w:r w:rsidRPr="00F45195">
              <w:rPr>
                <w:rFonts w:ascii="Arial" w:hAnsi="Arial" w:cs="Arial"/>
                <w:b/>
                <w:bCs/>
                <w:lang w:eastAsia="en-AU"/>
              </w:rPr>
              <w:t>Year ended 30</w:t>
            </w:r>
            <w:r w:rsidRPr="00F45195">
              <w:rPr>
                <w:rFonts w:ascii="Arial" w:hAnsi="Arial" w:cs="Arial"/>
                <w:b/>
                <w:bCs/>
                <w:vertAlign w:val="superscript"/>
                <w:lang w:eastAsia="en-AU"/>
              </w:rPr>
              <w:t>th</w:t>
            </w:r>
            <w:r w:rsidRPr="00F45195">
              <w:rPr>
                <w:rFonts w:ascii="Arial" w:hAnsi="Arial" w:cs="Arial"/>
                <w:b/>
                <w:bCs/>
                <w:lang w:eastAsia="en-AU"/>
              </w:rPr>
              <w:t xml:space="preserve"> June</w:t>
            </w:r>
          </w:p>
        </w:tc>
        <w:tc>
          <w:tcPr>
            <w:tcW w:w="1100" w:type="pct"/>
            <w:shd w:val="clear" w:color="auto" w:fill="auto"/>
            <w:hideMark/>
          </w:tcPr>
          <w:p w:rsidR="00E378B5" w:rsidRPr="00F45195" w:rsidRDefault="00E378B5" w:rsidP="0042513E">
            <w:pPr>
              <w:jc w:val="center"/>
              <w:rPr>
                <w:rFonts w:ascii="Arial" w:hAnsi="Arial" w:cs="Arial"/>
                <w:b/>
                <w:bCs/>
                <w:lang w:eastAsia="en-AU"/>
              </w:rPr>
            </w:pPr>
            <w:r w:rsidRPr="00F45195">
              <w:rPr>
                <w:rFonts w:ascii="Arial" w:hAnsi="Arial" w:cs="Arial"/>
                <w:b/>
                <w:bCs/>
                <w:lang w:eastAsia="en-AU"/>
              </w:rPr>
              <w:t>DAF</w:t>
            </w:r>
          </w:p>
        </w:tc>
        <w:tc>
          <w:tcPr>
            <w:tcW w:w="1100" w:type="pct"/>
            <w:shd w:val="clear" w:color="auto" w:fill="auto"/>
            <w:hideMark/>
          </w:tcPr>
          <w:p w:rsidR="00E378B5" w:rsidRPr="00F45195" w:rsidRDefault="00E378B5" w:rsidP="0042513E">
            <w:pPr>
              <w:jc w:val="center"/>
              <w:rPr>
                <w:rFonts w:ascii="Arial" w:hAnsi="Arial" w:cs="Arial"/>
                <w:b/>
                <w:bCs/>
                <w:lang w:eastAsia="en-AU"/>
              </w:rPr>
            </w:pPr>
            <w:r>
              <w:rPr>
                <w:rFonts w:ascii="Arial" w:hAnsi="Arial" w:cs="Arial"/>
                <w:b/>
                <w:bCs/>
                <w:lang w:eastAsia="en-AU"/>
              </w:rPr>
              <w:t>Hort Innovation</w:t>
            </w:r>
          </w:p>
        </w:tc>
        <w:tc>
          <w:tcPr>
            <w:tcW w:w="1101" w:type="pct"/>
            <w:shd w:val="clear" w:color="auto" w:fill="auto"/>
            <w:hideMark/>
          </w:tcPr>
          <w:p w:rsidR="00E378B5" w:rsidRPr="00F45195" w:rsidRDefault="00E378B5" w:rsidP="0042513E">
            <w:pPr>
              <w:jc w:val="center"/>
              <w:rPr>
                <w:rFonts w:ascii="Arial" w:hAnsi="Arial" w:cs="Arial"/>
                <w:b/>
                <w:bCs/>
                <w:lang w:eastAsia="en-AU"/>
              </w:rPr>
            </w:pPr>
            <w:r w:rsidRPr="00F45195">
              <w:rPr>
                <w:rFonts w:ascii="Arial" w:hAnsi="Arial" w:cs="Arial"/>
                <w:b/>
                <w:bCs/>
                <w:lang w:eastAsia="en-AU"/>
              </w:rPr>
              <w:t>TOTAL</w:t>
            </w:r>
          </w:p>
        </w:tc>
      </w:tr>
      <w:tr w:rsidR="00E378B5" w:rsidRPr="00B739B9" w:rsidTr="00E378B5">
        <w:trPr>
          <w:trHeight w:val="245"/>
          <w:jc w:val="center"/>
        </w:trPr>
        <w:tc>
          <w:tcPr>
            <w:tcW w:w="1698" w:type="pct"/>
            <w:shd w:val="clear" w:color="auto" w:fill="auto"/>
          </w:tcPr>
          <w:p w:rsidR="00E378B5" w:rsidRPr="00F45195" w:rsidRDefault="00E378B5" w:rsidP="00E378B5">
            <w:pPr>
              <w:jc w:val="both"/>
              <w:rPr>
                <w:rFonts w:ascii="Arial" w:hAnsi="Arial" w:cs="Arial"/>
              </w:rPr>
            </w:pPr>
            <w:r>
              <w:rPr>
                <w:rFonts w:ascii="Arial" w:hAnsi="Arial" w:cs="Arial"/>
              </w:rPr>
              <w:t>2013</w:t>
            </w:r>
          </w:p>
        </w:tc>
        <w:tc>
          <w:tcPr>
            <w:tcW w:w="1100"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80,000</w:t>
            </w:r>
          </w:p>
        </w:tc>
        <w:tc>
          <w:tcPr>
            <w:tcW w:w="1100"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51,208</w:t>
            </w:r>
          </w:p>
        </w:tc>
        <w:tc>
          <w:tcPr>
            <w:tcW w:w="1101"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131,208</w:t>
            </w:r>
          </w:p>
        </w:tc>
      </w:tr>
      <w:tr w:rsidR="00E378B5" w:rsidRPr="00B739B9" w:rsidTr="00E378B5">
        <w:trPr>
          <w:trHeight w:val="245"/>
          <w:jc w:val="center"/>
        </w:trPr>
        <w:tc>
          <w:tcPr>
            <w:tcW w:w="1698" w:type="pct"/>
            <w:shd w:val="clear" w:color="auto" w:fill="auto"/>
          </w:tcPr>
          <w:p w:rsidR="00E378B5" w:rsidRPr="00F45195" w:rsidRDefault="00E378B5" w:rsidP="00E378B5">
            <w:pPr>
              <w:jc w:val="both"/>
              <w:rPr>
                <w:rFonts w:ascii="Arial" w:hAnsi="Arial" w:cs="Arial"/>
              </w:rPr>
            </w:pPr>
            <w:r>
              <w:rPr>
                <w:rFonts w:ascii="Arial" w:hAnsi="Arial" w:cs="Arial"/>
              </w:rPr>
              <w:t>2014</w:t>
            </w:r>
          </w:p>
        </w:tc>
        <w:tc>
          <w:tcPr>
            <w:tcW w:w="1100"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208,000</w:t>
            </w:r>
          </w:p>
        </w:tc>
        <w:tc>
          <w:tcPr>
            <w:tcW w:w="1100"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106,507</w:t>
            </w:r>
          </w:p>
        </w:tc>
        <w:tc>
          <w:tcPr>
            <w:tcW w:w="1101"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314,507</w:t>
            </w:r>
          </w:p>
        </w:tc>
      </w:tr>
      <w:tr w:rsidR="00E378B5" w:rsidRPr="00B739B9" w:rsidTr="00E378B5">
        <w:trPr>
          <w:trHeight w:val="245"/>
          <w:jc w:val="center"/>
        </w:trPr>
        <w:tc>
          <w:tcPr>
            <w:tcW w:w="1698" w:type="pct"/>
            <w:shd w:val="clear" w:color="auto" w:fill="auto"/>
          </w:tcPr>
          <w:p w:rsidR="00E378B5" w:rsidRPr="00F45195" w:rsidRDefault="00E378B5" w:rsidP="00E378B5">
            <w:pPr>
              <w:jc w:val="both"/>
              <w:rPr>
                <w:rFonts w:ascii="Arial" w:hAnsi="Arial" w:cs="Arial"/>
              </w:rPr>
            </w:pPr>
            <w:r w:rsidRPr="00F45195">
              <w:rPr>
                <w:rFonts w:ascii="Arial" w:hAnsi="Arial" w:cs="Arial"/>
              </w:rPr>
              <w:t>2015</w:t>
            </w:r>
          </w:p>
        </w:tc>
        <w:tc>
          <w:tcPr>
            <w:tcW w:w="1100"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36,000</w:t>
            </w:r>
          </w:p>
        </w:tc>
        <w:tc>
          <w:tcPr>
            <w:tcW w:w="1100"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169,686</w:t>
            </w:r>
          </w:p>
        </w:tc>
        <w:tc>
          <w:tcPr>
            <w:tcW w:w="1101"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205,686</w:t>
            </w:r>
          </w:p>
        </w:tc>
      </w:tr>
      <w:tr w:rsidR="00E378B5" w:rsidRPr="00B739B9" w:rsidTr="00E378B5">
        <w:trPr>
          <w:trHeight w:val="245"/>
          <w:jc w:val="center"/>
        </w:trPr>
        <w:tc>
          <w:tcPr>
            <w:tcW w:w="1698" w:type="pct"/>
            <w:shd w:val="clear" w:color="auto" w:fill="auto"/>
          </w:tcPr>
          <w:p w:rsidR="00E378B5" w:rsidRPr="00F45195" w:rsidRDefault="00E378B5" w:rsidP="00E378B5">
            <w:pPr>
              <w:jc w:val="both"/>
              <w:rPr>
                <w:rFonts w:ascii="Arial" w:hAnsi="Arial" w:cs="Arial"/>
              </w:rPr>
            </w:pPr>
            <w:r w:rsidRPr="00F45195">
              <w:rPr>
                <w:rFonts w:ascii="Arial" w:hAnsi="Arial" w:cs="Arial"/>
              </w:rPr>
              <w:t>2016</w:t>
            </w:r>
          </w:p>
        </w:tc>
        <w:tc>
          <w:tcPr>
            <w:tcW w:w="1100"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36,000</w:t>
            </w:r>
          </w:p>
        </w:tc>
        <w:tc>
          <w:tcPr>
            <w:tcW w:w="1100"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37,499</w:t>
            </w:r>
          </w:p>
        </w:tc>
        <w:tc>
          <w:tcPr>
            <w:tcW w:w="1101" w:type="pct"/>
            <w:shd w:val="clear" w:color="auto" w:fill="auto"/>
          </w:tcPr>
          <w:p w:rsidR="00E378B5" w:rsidRPr="00F45195" w:rsidRDefault="00E378B5" w:rsidP="00E378B5">
            <w:pPr>
              <w:jc w:val="right"/>
              <w:rPr>
                <w:rFonts w:ascii="Arial" w:hAnsi="Arial" w:cs="Arial"/>
                <w:lang w:eastAsia="en-AU"/>
              </w:rPr>
            </w:pPr>
            <w:r>
              <w:rPr>
                <w:rFonts w:ascii="Arial" w:hAnsi="Arial" w:cs="Arial"/>
                <w:lang w:eastAsia="en-AU"/>
              </w:rPr>
              <w:t>73,499</w:t>
            </w:r>
          </w:p>
        </w:tc>
      </w:tr>
      <w:tr w:rsidR="00E378B5" w:rsidRPr="00B739B9" w:rsidTr="00E378B5">
        <w:trPr>
          <w:trHeight w:val="245"/>
          <w:jc w:val="center"/>
        </w:trPr>
        <w:tc>
          <w:tcPr>
            <w:tcW w:w="1698" w:type="pct"/>
            <w:shd w:val="clear" w:color="auto" w:fill="D9D9D9" w:themeFill="background1" w:themeFillShade="D9"/>
            <w:vAlign w:val="center"/>
            <w:hideMark/>
          </w:tcPr>
          <w:p w:rsidR="00E378B5" w:rsidRPr="00F45195" w:rsidRDefault="00E378B5" w:rsidP="00E378B5">
            <w:pPr>
              <w:rPr>
                <w:rFonts w:ascii="Arial" w:hAnsi="Arial" w:cs="Arial"/>
                <w:b/>
                <w:bCs/>
                <w:lang w:eastAsia="en-AU"/>
              </w:rPr>
            </w:pPr>
            <w:r w:rsidRPr="00F45195">
              <w:rPr>
                <w:rFonts w:ascii="Arial" w:hAnsi="Arial" w:cs="Arial"/>
                <w:b/>
                <w:bCs/>
                <w:lang w:eastAsia="en-AU"/>
              </w:rPr>
              <w:t>Totals</w:t>
            </w:r>
          </w:p>
        </w:tc>
        <w:tc>
          <w:tcPr>
            <w:tcW w:w="1100" w:type="pct"/>
            <w:shd w:val="clear" w:color="auto" w:fill="D9D9D9" w:themeFill="background1" w:themeFillShade="D9"/>
          </w:tcPr>
          <w:p w:rsidR="00E378B5" w:rsidRPr="00F45195" w:rsidRDefault="00E378B5" w:rsidP="00E378B5">
            <w:pPr>
              <w:jc w:val="right"/>
              <w:rPr>
                <w:rFonts w:ascii="Arial" w:hAnsi="Arial" w:cs="Arial"/>
                <w:b/>
                <w:lang w:eastAsia="en-AU"/>
              </w:rPr>
            </w:pPr>
            <w:r>
              <w:rPr>
                <w:rFonts w:ascii="Arial" w:hAnsi="Arial" w:cs="Arial"/>
                <w:b/>
                <w:lang w:eastAsia="en-AU"/>
              </w:rPr>
              <w:t>360,000</w:t>
            </w:r>
          </w:p>
        </w:tc>
        <w:tc>
          <w:tcPr>
            <w:tcW w:w="1100" w:type="pct"/>
            <w:shd w:val="clear" w:color="auto" w:fill="D9D9D9" w:themeFill="background1" w:themeFillShade="D9"/>
          </w:tcPr>
          <w:p w:rsidR="00E378B5" w:rsidRPr="00F45195" w:rsidRDefault="00E378B5" w:rsidP="00E378B5">
            <w:pPr>
              <w:jc w:val="right"/>
              <w:rPr>
                <w:rFonts w:ascii="Arial" w:hAnsi="Arial" w:cs="Arial"/>
                <w:b/>
                <w:lang w:eastAsia="en-AU"/>
              </w:rPr>
            </w:pPr>
            <w:r>
              <w:rPr>
                <w:rFonts w:ascii="Arial" w:hAnsi="Arial" w:cs="Arial"/>
                <w:b/>
                <w:lang w:eastAsia="en-AU"/>
              </w:rPr>
              <w:t>364,900</w:t>
            </w:r>
          </w:p>
        </w:tc>
        <w:tc>
          <w:tcPr>
            <w:tcW w:w="1101" w:type="pct"/>
            <w:shd w:val="clear" w:color="auto" w:fill="D9D9D9" w:themeFill="background1" w:themeFillShade="D9"/>
          </w:tcPr>
          <w:p w:rsidR="00E378B5" w:rsidRPr="00F45195" w:rsidRDefault="00E378B5" w:rsidP="00E378B5">
            <w:pPr>
              <w:jc w:val="right"/>
              <w:rPr>
                <w:rFonts w:ascii="Arial" w:hAnsi="Arial" w:cs="Arial"/>
                <w:b/>
                <w:lang w:eastAsia="en-AU"/>
              </w:rPr>
            </w:pPr>
            <w:r>
              <w:rPr>
                <w:rFonts w:ascii="Arial" w:hAnsi="Arial" w:cs="Arial"/>
                <w:b/>
                <w:lang w:eastAsia="en-AU"/>
              </w:rPr>
              <w:t>724,900</w:t>
            </w:r>
          </w:p>
        </w:tc>
      </w:tr>
    </w:tbl>
    <w:p w:rsidR="00E378B5" w:rsidRDefault="00E378B5" w:rsidP="00E378B5">
      <w:pPr>
        <w:pStyle w:val="Table"/>
      </w:pPr>
    </w:p>
    <w:p w:rsidR="00E378B5" w:rsidRPr="00914AFC" w:rsidRDefault="00E378B5" w:rsidP="00A0699E">
      <w:pPr>
        <w:spacing w:after="240"/>
        <w:rPr>
          <w:rFonts w:ascii="Arial" w:hAnsi="Arial" w:cs="Arial"/>
          <w:b/>
        </w:rPr>
      </w:pPr>
      <w:r w:rsidRPr="00914AFC">
        <w:rPr>
          <w:rFonts w:ascii="Arial" w:hAnsi="Arial" w:cs="Arial"/>
          <w:b/>
        </w:rPr>
        <w:t>Program Management Costs</w:t>
      </w:r>
    </w:p>
    <w:p w:rsidR="00E378B5" w:rsidRDefault="00E378B5" w:rsidP="00A0699E">
      <w:pPr>
        <w:spacing w:after="240"/>
        <w:rPr>
          <w:rFonts w:ascii="Arial" w:hAnsi="Arial" w:cs="Arial"/>
        </w:rPr>
      </w:pPr>
      <w:r>
        <w:rPr>
          <w:rFonts w:ascii="Arial" w:hAnsi="Arial" w:cs="Arial"/>
        </w:rPr>
        <w:t>DAF investment includes an allowance for program management, administration and corporate infrastructure costs.</w:t>
      </w:r>
    </w:p>
    <w:p w:rsidR="00E378B5" w:rsidRPr="001D7412" w:rsidRDefault="00E378B5" w:rsidP="00A0699E">
      <w:pPr>
        <w:spacing w:after="240"/>
        <w:rPr>
          <w:rFonts w:ascii="Arial" w:hAnsi="Arial" w:cs="Arial"/>
        </w:rPr>
      </w:pPr>
      <w:r>
        <w:rPr>
          <w:rFonts w:ascii="Arial" w:hAnsi="Arial" w:cs="Arial"/>
        </w:rPr>
        <w:t>For Hort Innovation investment t</w:t>
      </w:r>
      <w:r w:rsidRPr="001D7412">
        <w:rPr>
          <w:rFonts w:ascii="Arial" w:hAnsi="Arial" w:cs="Arial"/>
        </w:rPr>
        <w:t xml:space="preserve">he cost of managing the </w:t>
      </w:r>
      <w:r>
        <w:rPr>
          <w:rFonts w:ascii="Arial" w:hAnsi="Arial" w:cs="Arial"/>
        </w:rPr>
        <w:t xml:space="preserve">Hort Innovation funding </w:t>
      </w:r>
      <w:r w:rsidRPr="001D7412">
        <w:rPr>
          <w:rFonts w:ascii="Arial" w:hAnsi="Arial" w:cs="Arial"/>
        </w:rPr>
        <w:t xml:space="preserve">was added to the </w:t>
      </w:r>
      <w:r>
        <w:rPr>
          <w:rFonts w:ascii="Arial" w:hAnsi="Arial" w:cs="Arial"/>
        </w:rPr>
        <w:t xml:space="preserve">Hort Innovation contribution </w:t>
      </w:r>
      <w:r w:rsidRPr="001D7412">
        <w:rPr>
          <w:rFonts w:ascii="Arial" w:hAnsi="Arial" w:cs="Arial"/>
        </w:rPr>
        <w:t>via a management cost multiplier (</w:t>
      </w:r>
      <w:r>
        <w:rPr>
          <w:rFonts w:ascii="Arial" w:hAnsi="Arial" w:cs="Arial"/>
        </w:rPr>
        <w:t>1</w:t>
      </w:r>
      <w:r w:rsidRPr="001D7412">
        <w:rPr>
          <w:rFonts w:ascii="Arial" w:hAnsi="Arial" w:cs="Arial"/>
        </w:rPr>
        <w:t>.1</w:t>
      </w:r>
      <w:r>
        <w:rPr>
          <w:rFonts w:ascii="Arial" w:hAnsi="Arial" w:cs="Arial"/>
        </w:rPr>
        <w:t>227</w:t>
      </w:r>
      <w:r w:rsidRPr="001D7412">
        <w:rPr>
          <w:rFonts w:ascii="Arial" w:hAnsi="Arial" w:cs="Arial"/>
        </w:rPr>
        <w:t xml:space="preserve">); this was estimated based on the reported share of </w:t>
      </w:r>
      <w:r>
        <w:rPr>
          <w:rFonts w:ascii="Arial" w:hAnsi="Arial" w:cs="Arial"/>
        </w:rPr>
        <w:t xml:space="preserve">overhead costs including </w:t>
      </w:r>
      <w:r w:rsidRPr="001D7412">
        <w:rPr>
          <w:rFonts w:ascii="Arial" w:hAnsi="Arial" w:cs="Arial"/>
        </w:rPr>
        <w:t xml:space="preserve">‘employee benefits’ in total </w:t>
      </w:r>
      <w:r>
        <w:rPr>
          <w:rFonts w:ascii="Arial" w:hAnsi="Arial" w:cs="Arial"/>
        </w:rPr>
        <w:t xml:space="preserve">Hort Innovation </w:t>
      </w:r>
      <w:r w:rsidRPr="001D7412">
        <w:rPr>
          <w:rFonts w:ascii="Arial" w:hAnsi="Arial" w:cs="Arial"/>
        </w:rPr>
        <w:t>expenditure (</w:t>
      </w:r>
      <w:r>
        <w:rPr>
          <w:rFonts w:ascii="Arial" w:hAnsi="Arial" w:cs="Arial"/>
        </w:rPr>
        <w:t>Hort Innovation</w:t>
      </w:r>
      <w:r w:rsidRPr="001D7412">
        <w:rPr>
          <w:rFonts w:ascii="Arial" w:hAnsi="Arial" w:cs="Arial"/>
        </w:rPr>
        <w:t xml:space="preserve">, 2016). </w:t>
      </w:r>
      <w:r>
        <w:rPr>
          <w:rFonts w:ascii="Arial" w:hAnsi="Arial" w:cs="Arial"/>
        </w:rPr>
        <w:t xml:space="preserve">This multiplier was applied to the nominal investment by Hort Innovation shown in Table 2.  </w:t>
      </w:r>
    </w:p>
    <w:p w:rsidR="00E378B5" w:rsidRPr="00FC515A" w:rsidRDefault="00E378B5" w:rsidP="00A0699E">
      <w:pPr>
        <w:spacing w:after="240"/>
        <w:rPr>
          <w:rFonts w:ascii="Arial" w:hAnsi="Arial" w:cs="Arial"/>
          <w:b/>
          <w:sz w:val="24"/>
        </w:rPr>
      </w:pPr>
      <w:r w:rsidRPr="000A2974">
        <w:rPr>
          <w:rFonts w:ascii="Arial" w:hAnsi="Arial" w:cs="Arial"/>
          <w:b/>
          <w:color w:val="000000" w:themeColor="text1"/>
          <w:sz w:val="24"/>
        </w:rPr>
        <w:t xml:space="preserve">Real Investment </w:t>
      </w:r>
      <w:r w:rsidRPr="00A0699E">
        <w:rPr>
          <w:rFonts w:ascii="Arial" w:hAnsi="Arial" w:cs="Arial"/>
          <w:b/>
        </w:rPr>
        <w:t>and</w:t>
      </w:r>
      <w:r w:rsidRPr="000A2974">
        <w:rPr>
          <w:rFonts w:ascii="Arial" w:hAnsi="Arial" w:cs="Arial"/>
          <w:b/>
          <w:color w:val="000000" w:themeColor="text1"/>
          <w:sz w:val="24"/>
        </w:rPr>
        <w:t xml:space="preserve"> Extension Costs  </w:t>
      </w:r>
    </w:p>
    <w:p w:rsidR="00E378B5" w:rsidRDefault="00E378B5" w:rsidP="00A0699E">
      <w:pPr>
        <w:spacing w:after="240"/>
        <w:rPr>
          <w:rFonts w:ascii="Arial" w:hAnsi="Arial" w:cs="Arial"/>
        </w:rPr>
      </w:pPr>
      <w:r>
        <w:rPr>
          <w:rFonts w:ascii="Arial" w:hAnsi="Arial" w:cs="Arial"/>
          <w:color w:val="000000" w:themeColor="text1"/>
        </w:rPr>
        <w:t>For the purposes of the investment analysis, the investment costs of all parties were expressed in 2016/17 $ terms using the GDP deflator index.   ‘</w:t>
      </w:r>
      <w:r w:rsidRPr="001D7412">
        <w:rPr>
          <w:rFonts w:ascii="Arial" w:hAnsi="Arial" w:cs="Arial"/>
        </w:rPr>
        <w:t>Extension</w:t>
      </w:r>
      <w:r>
        <w:rPr>
          <w:rFonts w:ascii="Arial" w:hAnsi="Arial" w:cs="Arial"/>
        </w:rPr>
        <w:t>’ costs include a share of costs incurred by DAWR in communicating the data package resulting from project research to quarantine authorities in China, Vietnam, Thailand, Philippines and Taiwan. Communication costs were also incurred informing industry of successful market access outcomes. An allowance of $50,000 in 2015</w:t>
      </w:r>
      <w:r w:rsidRPr="001D7412">
        <w:rPr>
          <w:rFonts w:ascii="Arial" w:hAnsi="Arial" w:cs="Arial"/>
        </w:rPr>
        <w:t xml:space="preserve"> </w:t>
      </w:r>
      <w:r>
        <w:rPr>
          <w:rFonts w:ascii="Arial" w:hAnsi="Arial" w:cs="Arial"/>
        </w:rPr>
        <w:t>and again in 2016 has been included to cover these costs</w:t>
      </w:r>
      <w:r w:rsidRPr="001D7412">
        <w:rPr>
          <w:rFonts w:ascii="Arial" w:hAnsi="Arial" w:cs="Arial"/>
        </w:rPr>
        <w:t xml:space="preserve">.   </w:t>
      </w:r>
    </w:p>
    <w:p w:rsidR="00E378B5" w:rsidRPr="00C66231" w:rsidRDefault="00E378B5" w:rsidP="00C66231">
      <w:pPr>
        <w:spacing w:after="240"/>
        <w:rPr>
          <w:rFonts w:ascii="Arial" w:hAnsi="Arial" w:cs="Arial"/>
          <w:b/>
          <w:sz w:val="40"/>
          <w:szCs w:val="40"/>
        </w:rPr>
      </w:pPr>
      <w:bookmarkStart w:id="179" w:name="_Toc476387739"/>
      <w:bookmarkStart w:id="180" w:name="_Toc486145231"/>
      <w:bookmarkStart w:id="181" w:name="_Toc486145340"/>
      <w:bookmarkStart w:id="182" w:name="_Toc486146256"/>
      <w:r w:rsidRPr="00C66231">
        <w:rPr>
          <w:rFonts w:ascii="Arial" w:hAnsi="Arial" w:cs="Arial"/>
          <w:b/>
          <w:sz w:val="40"/>
          <w:szCs w:val="40"/>
        </w:rPr>
        <w:t>5. Impacts</w:t>
      </w:r>
      <w:bookmarkEnd w:id="179"/>
      <w:bookmarkEnd w:id="180"/>
      <w:bookmarkEnd w:id="181"/>
      <w:bookmarkEnd w:id="182"/>
    </w:p>
    <w:p w:rsidR="00E378B5" w:rsidRDefault="00E378B5" w:rsidP="00A0699E">
      <w:pPr>
        <w:spacing w:after="240"/>
        <w:rPr>
          <w:rFonts w:ascii="Arial" w:hAnsi="Arial" w:cs="Arial"/>
        </w:rPr>
      </w:pPr>
      <w:r>
        <w:rPr>
          <w:rFonts w:ascii="Arial" w:hAnsi="Arial" w:cs="Arial"/>
        </w:rPr>
        <w:t>As described previously, the data set showing the efficacy of low dose methyl bromide against Qfly was incorporated into an export submission by DAF and made available to DAWR. In 2015 DAWR officers provided the report to quarantine authorities from China and Thailand (Wyatt et al 2015). Subsequently the report has been made available to quarantine authorities in other relevant protocol markets i.e. Vietnam, Philippines and Taiwan (John Moore, pers. comm., March 2017).</w:t>
      </w:r>
    </w:p>
    <w:p w:rsidR="00E378B5" w:rsidRPr="004E7E9B" w:rsidRDefault="00E378B5" w:rsidP="00A0699E">
      <w:pPr>
        <w:spacing w:after="240"/>
        <w:rPr>
          <w:rFonts w:ascii="Arial" w:hAnsi="Arial" w:cs="Arial"/>
        </w:rPr>
      </w:pPr>
      <w:r w:rsidRPr="004E7E9B">
        <w:rPr>
          <w:rFonts w:ascii="Arial" w:hAnsi="Arial" w:cs="Arial"/>
        </w:rPr>
        <w:t xml:space="preserve">The principal </w:t>
      </w:r>
      <w:r>
        <w:rPr>
          <w:rFonts w:ascii="Arial" w:hAnsi="Arial" w:cs="Arial"/>
        </w:rPr>
        <w:t xml:space="preserve">actual and </w:t>
      </w:r>
      <w:r w:rsidRPr="004E7E9B">
        <w:rPr>
          <w:rFonts w:ascii="Arial" w:hAnsi="Arial" w:cs="Arial"/>
        </w:rPr>
        <w:t xml:space="preserve">potential impacts from </w:t>
      </w:r>
      <w:r>
        <w:rPr>
          <w:rFonts w:ascii="Arial" w:hAnsi="Arial" w:cs="Arial"/>
        </w:rPr>
        <w:t xml:space="preserve">evidence of the effectiveness of low dose methyl bromide against Qfly </w:t>
      </w:r>
      <w:r w:rsidRPr="004E7E9B">
        <w:rPr>
          <w:rFonts w:ascii="Arial" w:hAnsi="Arial" w:cs="Arial"/>
        </w:rPr>
        <w:t>include:</w:t>
      </w:r>
    </w:p>
    <w:p w:rsidR="00E378B5" w:rsidRPr="008F5EC4" w:rsidRDefault="00E378B5" w:rsidP="000F22FE">
      <w:pPr>
        <w:pStyle w:val="ListParagraph"/>
        <w:numPr>
          <w:ilvl w:val="0"/>
          <w:numId w:val="15"/>
        </w:numPr>
        <w:suppressAutoHyphens/>
        <w:ind w:left="357" w:hanging="357"/>
        <w:contextualSpacing w:val="0"/>
        <w:rPr>
          <w:rFonts w:ascii="Arial" w:hAnsi="Arial" w:cs="Arial"/>
        </w:rPr>
      </w:pPr>
      <w:r>
        <w:rPr>
          <w:rFonts w:ascii="Arial" w:hAnsi="Arial" w:cs="Arial"/>
        </w:rPr>
        <w:t>S</w:t>
      </w:r>
      <w:r w:rsidRPr="008F5EC4">
        <w:rPr>
          <w:rFonts w:ascii="Arial" w:hAnsi="Arial" w:cs="Arial"/>
        </w:rPr>
        <w:t xml:space="preserve">ummerfruit export sales </w:t>
      </w:r>
      <w:r>
        <w:rPr>
          <w:rFonts w:ascii="Arial" w:hAnsi="Arial" w:cs="Arial"/>
        </w:rPr>
        <w:t xml:space="preserve">in Asian airfreight markets </w:t>
      </w:r>
      <w:r w:rsidRPr="008F5EC4">
        <w:rPr>
          <w:rFonts w:ascii="Arial" w:hAnsi="Arial" w:cs="Arial"/>
        </w:rPr>
        <w:t xml:space="preserve">resulting in increased grower profit </w:t>
      </w:r>
    </w:p>
    <w:p w:rsidR="00E378B5" w:rsidRDefault="00E378B5" w:rsidP="000F22FE">
      <w:pPr>
        <w:pStyle w:val="ListParagraph"/>
        <w:numPr>
          <w:ilvl w:val="0"/>
          <w:numId w:val="15"/>
        </w:numPr>
        <w:suppressAutoHyphens/>
        <w:ind w:left="357" w:hanging="357"/>
        <w:contextualSpacing w:val="0"/>
        <w:rPr>
          <w:rFonts w:ascii="Arial" w:hAnsi="Arial" w:cs="Arial"/>
        </w:rPr>
      </w:pPr>
      <w:r>
        <w:rPr>
          <w:rFonts w:ascii="Arial" w:hAnsi="Arial" w:cs="Arial"/>
        </w:rPr>
        <w:t>Potential additional phytosanitary treatment options for other horticultural crops</w:t>
      </w:r>
    </w:p>
    <w:p w:rsidR="00E378B5" w:rsidRDefault="00E378B5" w:rsidP="000F22FE">
      <w:pPr>
        <w:pStyle w:val="ListParagraph"/>
        <w:numPr>
          <w:ilvl w:val="0"/>
          <w:numId w:val="15"/>
        </w:numPr>
        <w:suppressAutoHyphens/>
        <w:ind w:left="357" w:hanging="357"/>
        <w:contextualSpacing w:val="0"/>
        <w:rPr>
          <w:rFonts w:ascii="Arial" w:hAnsi="Arial" w:cs="Arial"/>
        </w:rPr>
      </w:pPr>
      <w:r>
        <w:rPr>
          <w:rFonts w:ascii="Arial" w:hAnsi="Arial" w:cs="Arial"/>
        </w:rPr>
        <w:t>Reduction in volume of ozone depleting substances used in phytosanitary treatments</w:t>
      </w:r>
    </w:p>
    <w:p w:rsidR="00E378B5" w:rsidRDefault="00E378B5" w:rsidP="000F22FE">
      <w:pPr>
        <w:pStyle w:val="ListParagraph"/>
        <w:numPr>
          <w:ilvl w:val="0"/>
          <w:numId w:val="15"/>
        </w:numPr>
        <w:suppressAutoHyphens/>
        <w:ind w:left="357" w:hanging="357"/>
        <w:contextualSpacing w:val="0"/>
        <w:rPr>
          <w:rFonts w:ascii="Arial" w:hAnsi="Arial" w:cs="Arial"/>
        </w:rPr>
      </w:pPr>
      <w:r>
        <w:rPr>
          <w:rFonts w:ascii="Arial" w:hAnsi="Arial" w:cs="Arial"/>
        </w:rPr>
        <w:t>Increased research capacity</w:t>
      </w:r>
    </w:p>
    <w:p w:rsidR="00E378B5" w:rsidRPr="004E7E9B" w:rsidRDefault="00E378B5" w:rsidP="00A0699E">
      <w:pPr>
        <w:pStyle w:val="ListParagraph"/>
        <w:numPr>
          <w:ilvl w:val="0"/>
          <w:numId w:val="15"/>
        </w:numPr>
        <w:suppressAutoHyphens/>
        <w:spacing w:after="240"/>
        <w:ind w:left="357" w:hanging="357"/>
        <w:contextualSpacing w:val="0"/>
        <w:rPr>
          <w:rFonts w:ascii="Arial" w:hAnsi="Arial" w:cs="Arial"/>
        </w:rPr>
      </w:pPr>
      <w:r>
        <w:rPr>
          <w:rFonts w:ascii="Arial" w:hAnsi="Arial" w:cs="Arial"/>
        </w:rPr>
        <w:t>Increased regional income in summerfruit growing areas (</w:t>
      </w:r>
      <w:r w:rsidRPr="004E7E9B">
        <w:rPr>
          <w:rFonts w:ascii="Arial" w:hAnsi="Arial" w:cs="Arial"/>
        </w:rPr>
        <w:t>s</w:t>
      </w:r>
      <w:r>
        <w:rPr>
          <w:rFonts w:ascii="Arial" w:hAnsi="Arial" w:cs="Arial"/>
        </w:rPr>
        <w:t>pillover).</w:t>
      </w:r>
      <w:r w:rsidRPr="004E7E9B">
        <w:rPr>
          <w:rFonts w:ascii="Arial" w:hAnsi="Arial" w:cs="Arial"/>
        </w:rPr>
        <w:t xml:space="preserve"> </w:t>
      </w:r>
    </w:p>
    <w:p w:rsidR="00E378B5" w:rsidRPr="00855B2B" w:rsidRDefault="00E378B5" w:rsidP="00A0699E">
      <w:pPr>
        <w:widowControl w:val="0"/>
        <w:spacing w:after="240"/>
        <w:rPr>
          <w:rFonts w:ascii="Arial" w:hAnsi="Arial" w:cs="Arial"/>
        </w:rPr>
      </w:pPr>
      <w:r w:rsidRPr="00855B2B">
        <w:rPr>
          <w:rFonts w:ascii="Arial" w:hAnsi="Arial" w:cs="Arial"/>
        </w:rPr>
        <w:t xml:space="preserve">Table 3 provides a summary of the types of impacts categorised into economic, environmental and social impacts. </w:t>
      </w:r>
    </w:p>
    <w:p w:rsidR="00E378B5" w:rsidRPr="00C66231" w:rsidRDefault="00E378B5" w:rsidP="00C66231">
      <w:pPr>
        <w:pStyle w:val="Caption"/>
        <w:spacing w:after="240"/>
        <w:jc w:val="center"/>
        <w:rPr>
          <w:rFonts w:ascii="Arial" w:hAnsi="Arial"/>
          <w:b w:val="0"/>
          <w:color w:val="000000" w:themeColor="text1"/>
          <w:sz w:val="22"/>
          <w:szCs w:val="22"/>
        </w:rPr>
      </w:pPr>
      <w:bookmarkStart w:id="183" w:name="_Toc476632576"/>
      <w:r w:rsidRPr="00C66231">
        <w:rPr>
          <w:rFonts w:ascii="Arial" w:hAnsi="Arial"/>
          <w:b w:val="0"/>
          <w:color w:val="000000" w:themeColor="text1"/>
          <w:sz w:val="22"/>
          <w:szCs w:val="22"/>
        </w:rPr>
        <w:t xml:space="preserve">Table </w:t>
      </w:r>
      <w:r w:rsidR="003147F5">
        <w:rPr>
          <w:rFonts w:ascii="Arial" w:hAnsi="Arial"/>
          <w:b w:val="0"/>
          <w:color w:val="000000" w:themeColor="text1"/>
          <w:sz w:val="22"/>
          <w:szCs w:val="22"/>
        </w:rPr>
        <w:t>3</w:t>
      </w:r>
      <w:r w:rsidRPr="00C66231">
        <w:rPr>
          <w:rFonts w:ascii="Arial" w:hAnsi="Arial"/>
          <w:b w:val="0"/>
          <w:color w:val="000000" w:themeColor="text1"/>
          <w:sz w:val="22"/>
          <w:szCs w:val="22"/>
        </w:rPr>
        <w:t>: Triple Bottom Line Categories of Impacts from Low Dose Methyl Bromide</w:t>
      </w:r>
      <w:bookmarkEnd w:id="183"/>
      <w:r w:rsidRPr="00C66231">
        <w:rPr>
          <w:rFonts w:ascii="Arial" w:hAnsi="Arial"/>
          <w:b w:val="0"/>
          <w:color w:val="000000" w:themeColor="text1"/>
          <w:sz w:val="22"/>
          <w:szCs w:val="22"/>
        </w:rPr>
        <w:t xml:space="preserve"> </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647"/>
        <w:gridCol w:w="7229"/>
      </w:tblGrid>
      <w:tr w:rsidR="00E378B5" w:rsidRPr="007D67C2" w:rsidTr="00E378B5">
        <w:trPr>
          <w:trHeight w:val="58"/>
        </w:trPr>
        <w:tc>
          <w:tcPr>
            <w:tcW w:w="1647" w:type="dxa"/>
            <w:tcBorders>
              <w:bottom w:val="single" w:sz="4" w:space="0" w:color="auto"/>
            </w:tcBorders>
          </w:tcPr>
          <w:p w:rsidR="00E378B5" w:rsidRPr="002202C5" w:rsidRDefault="00E378B5" w:rsidP="00E378B5">
            <w:pPr>
              <w:widowControl w:val="0"/>
              <w:rPr>
                <w:rFonts w:ascii="Arial" w:hAnsi="Arial" w:cs="Arial"/>
                <w:sz w:val="22"/>
                <w:szCs w:val="22"/>
              </w:rPr>
            </w:pPr>
            <w:r w:rsidRPr="002202C5">
              <w:rPr>
                <w:rFonts w:ascii="Arial" w:hAnsi="Arial" w:cs="Arial"/>
                <w:sz w:val="22"/>
                <w:szCs w:val="22"/>
              </w:rPr>
              <w:t>Economic</w:t>
            </w:r>
          </w:p>
        </w:tc>
        <w:tc>
          <w:tcPr>
            <w:tcW w:w="7229" w:type="dxa"/>
            <w:tcBorders>
              <w:bottom w:val="single" w:sz="4" w:space="0" w:color="auto"/>
            </w:tcBorders>
          </w:tcPr>
          <w:p w:rsidR="00E378B5" w:rsidRPr="002202C5" w:rsidRDefault="00E378B5" w:rsidP="000F22FE">
            <w:pPr>
              <w:pStyle w:val="ListParagraph"/>
              <w:widowControl w:val="0"/>
              <w:numPr>
                <w:ilvl w:val="0"/>
                <w:numId w:val="12"/>
              </w:numPr>
              <w:suppressAutoHyphens/>
              <w:contextualSpacing w:val="0"/>
              <w:rPr>
                <w:rFonts w:ascii="Arial" w:hAnsi="Arial" w:cs="Arial"/>
                <w:sz w:val="22"/>
                <w:szCs w:val="22"/>
              </w:rPr>
            </w:pPr>
            <w:r>
              <w:rPr>
                <w:rFonts w:ascii="Arial" w:hAnsi="Arial" w:cs="Arial"/>
                <w:sz w:val="22"/>
                <w:szCs w:val="22"/>
              </w:rPr>
              <w:t>S</w:t>
            </w:r>
            <w:r w:rsidRPr="002202C5">
              <w:rPr>
                <w:rFonts w:ascii="Arial" w:hAnsi="Arial" w:cs="Arial"/>
                <w:sz w:val="22"/>
                <w:szCs w:val="22"/>
              </w:rPr>
              <w:t xml:space="preserve">ummerfruit export sales </w:t>
            </w:r>
            <w:r>
              <w:rPr>
                <w:rFonts w:ascii="Arial" w:hAnsi="Arial" w:cs="Arial"/>
                <w:sz w:val="22"/>
                <w:szCs w:val="22"/>
              </w:rPr>
              <w:t xml:space="preserve">in Asian airfreight markets </w:t>
            </w:r>
            <w:r w:rsidRPr="002202C5">
              <w:rPr>
                <w:rFonts w:ascii="Arial" w:hAnsi="Arial" w:cs="Arial"/>
                <w:sz w:val="22"/>
                <w:szCs w:val="22"/>
              </w:rPr>
              <w:t>resulting in increased grower profit</w:t>
            </w:r>
            <w:r>
              <w:rPr>
                <w:rFonts w:ascii="Arial" w:hAnsi="Arial" w:cs="Arial"/>
                <w:sz w:val="22"/>
                <w:szCs w:val="22"/>
              </w:rPr>
              <w:t>.</w:t>
            </w:r>
          </w:p>
          <w:p w:rsidR="00E378B5" w:rsidRPr="002202C5" w:rsidRDefault="00E378B5" w:rsidP="000F22FE">
            <w:pPr>
              <w:pStyle w:val="ListParagraph"/>
              <w:widowControl w:val="0"/>
              <w:numPr>
                <w:ilvl w:val="0"/>
                <w:numId w:val="12"/>
              </w:numPr>
              <w:suppressAutoHyphens/>
              <w:contextualSpacing w:val="0"/>
              <w:rPr>
                <w:rFonts w:ascii="Arial" w:hAnsi="Arial" w:cs="Arial"/>
                <w:sz w:val="22"/>
                <w:szCs w:val="22"/>
              </w:rPr>
            </w:pPr>
            <w:r w:rsidRPr="002202C5">
              <w:rPr>
                <w:rFonts w:ascii="Arial" w:hAnsi="Arial" w:cs="Arial"/>
                <w:sz w:val="22"/>
                <w:szCs w:val="22"/>
              </w:rPr>
              <w:t xml:space="preserve">Additional phytosanitary treatment options for other horticultural crops </w:t>
            </w:r>
            <w:r>
              <w:rPr>
                <w:rFonts w:ascii="Arial" w:hAnsi="Arial" w:cs="Arial"/>
                <w:sz w:val="22"/>
              </w:rPr>
              <w:t>e.g. other summerfruit (apricots, plums and pluots), apples, pears, mango, capsicum, pumpkin, strawberry</w:t>
            </w:r>
            <w:r w:rsidRPr="002202C5">
              <w:rPr>
                <w:rFonts w:ascii="Arial" w:hAnsi="Arial" w:cs="Arial"/>
                <w:sz w:val="22"/>
                <w:szCs w:val="22"/>
              </w:rPr>
              <w:t xml:space="preserve"> (</w:t>
            </w:r>
            <w:r>
              <w:rPr>
                <w:rFonts w:ascii="Arial" w:hAnsi="Arial" w:cs="Arial"/>
                <w:sz w:val="22"/>
                <w:szCs w:val="22"/>
              </w:rPr>
              <w:t xml:space="preserve">resulting in </w:t>
            </w:r>
            <w:r w:rsidRPr="002202C5">
              <w:rPr>
                <w:rFonts w:ascii="Arial" w:hAnsi="Arial" w:cs="Arial"/>
                <w:sz w:val="22"/>
                <w:szCs w:val="22"/>
              </w:rPr>
              <w:t>increased grower profit)</w:t>
            </w:r>
            <w:r w:rsidRPr="002202C5">
              <w:rPr>
                <w:rFonts w:ascii="Arial" w:hAnsi="Arial" w:cs="Arial"/>
                <w:color w:val="FF0000"/>
                <w:sz w:val="22"/>
                <w:szCs w:val="22"/>
              </w:rPr>
              <w:t>.</w:t>
            </w:r>
          </w:p>
        </w:tc>
      </w:tr>
      <w:tr w:rsidR="00E378B5" w:rsidRPr="007D67C2" w:rsidTr="00E378B5">
        <w:trPr>
          <w:trHeight w:val="274"/>
        </w:trPr>
        <w:tc>
          <w:tcPr>
            <w:tcW w:w="1647" w:type="dxa"/>
          </w:tcPr>
          <w:p w:rsidR="00E378B5" w:rsidRPr="002202C5" w:rsidRDefault="00E378B5" w:rsidP="00E378B5">
            <w:pPr>
              <w:widowControl w:val="0"/>
              <w:rPr>
                <w:rFonts w:ascii="Arial" w:hAnsi="Arial" w:cs="Arial"/>
                <w:sz w:val="22"/>
                <w:szCs w:val="22"/>
              </w:rPr>
            </w:pPr>
            <w:r w:rsidRPr="002202C5">
              <w:rPr>
                <w:rFonts w:ascii="Arial" w:hAnsi="Arial" w:cs="Arial"/>
                <w:sz w:val="22"/>
                <w:szCs w:val="22"/>
              </w:rPr>
              <w:t>Environmental</w:t>
            </w:r>
          </w:p>
        </w:tc>
        <w:tc>
          <w:tcPr>
            <w:tcW w:w="7229" w:type="dxa"/>
          </w:tcPr>
          <w:p w:rsidR="00E378B5" w:rsidRPr="002202C5" w:rsidRDefault="00E378B5" w:rsidP="000F22FE">
            <w:pPr>
              <w:pStyle w:val="ListParagraph"/>
              <w:widowControl w:val="0"/>
              <w:numPr>
                <w:ilvl w:val="0"/>
                <w:numId w:val="11"/>
              </w:numPr>
              <w:contextualSpacing w:val="0"/>
              <w:rPr>
                <w:rFonts w:ascii="Arial" w:hAnsi="Arial" w:cs="Arial"/>
                <w:sz w:val="22"/>
                <w:szCs w:val="22"/>
              </w:rPr>
            </w:pPr>
            <w:r w:rsidRPr="002202C5">
              <w:rPr>
                <w:rFonts w:ascii="Arial" w:hAnsi="Arial" w:cs="Arial"/>
                <w:sz w:val="22"/>
                <w:szCs w:val="22"/>
              </w:rPr>
              <w:t>Reduction in volume of ozone depleting substances (ODS) used in phytosanitary treatments (</w:t>
            </w:r>
            <w:r>
              <w:rPr>
                <w:rFonts w:ascii="Arial" w:hAnsi="Arial" w:cs="Arial"/>
                <w:sz w:val="22"/>
                <w:szCs w:val="22"/>
              </w:rPr>
              <w:t>m</w:t>
            </w:r>
            <w:r w:rsidRPr="002202C5">
              <w:rPr>
                <w:rFonts w:ascii="Arial" w:hAnsi="Arial" w:cs="Arial"/>
                <w:sz w:val="22"/>
                <w:szCs w:val="22"/>
              </w:rPr>
              <w:t xml:space="preserve">ethyl bromide is a known ODS and half </w:t>
            </w:r>
            <w:r>
              <w:rPr>
                <w:rFonts w:ascii="Arial" w:hAnsi="Arial" w:cs="Arial"/>
                <w:sz w:val="22"/>
                <w:szCs w:val="22"/>
              </w:rPr>
              <w:t xml:space="preserve">the </w:t>
            </w:r>
            <w:r w:rsidRPr="002202C5">
              <w:rPr>
                <w:rFonts w:ascii="Arial" w:hAnsi="Arial" w:cs="Arial"/>
                <w:sz w:val="22"/>
                <w:szCs w:val="22"/>
              </w:rPr>
              <w:t>previous volume will be used</w:t>
            </w:r>
            <w:r>
              <w:rPr>
                <w:rFonts w:ascii="Arial" w:hAnsi="Arial" w:cs="Arial"/>
                <w:sz w:val="22"/>
                <w:szCs w:val="22"/>
              </w:rPr>
              <w:t xml:space="preserve"> in the low dose protocol</w:t>
            </w:r>
            <w:r w:rsidRPr="002202C5">
              <w:rPr>
                <w:rFonts w:ascii="Arial" w:hAnsi="Arial" w:cs="Arial"/>
                <w:sz w:val="22"/>
                <w:szCs w:val="22"/>
              </w:rPr>
              <w:t>)</w:t>
            </w:r>
            <w:r w:rsidRPr="002202C5">
              <w:rPr>
                <w:rFonts w:ascii="Arial" w:hAnsi="Arial" w:cs="Arial"/>
                <w:color w:val="000000" w:themeColor="text1"/>
                <w:sz w:val="22"/>
                <w:szCs w:val="22"/>
              </w:rPr>
              <w:t>.</w:t>
            </w:r>
          </w:p>
        </w:tc>
      </w:tr>
      <w:tr w:rsidR="00E378B5" w:rsidRPr="007D67C2" w:rsidTr="00E378B5">
        <w:tc>
          <w:tcPr>
            <w:tcW w:w="1647" w:type="dxa"/>
            <w:tcBorders>
              <w:bottom w:val="single" w:sz="4" w:space="0" w:color="auto"/>
            </w:tcBorders>
          </w:tcPr>
          <w:p w:rsidR="00E378B5" w:rsidRPr="002202C5" w:rsidRDefault="00E378B5" w:rsidP="00E378B5">
            <w:pPr>
              <w:widowControl w:val="0"/>
              <w:rPr>
                <w:rFonts w:ascii="Arial" w:hAnsi="Arial" w:cs="Arial"/>
                <w:sz w:val="22"/>
                <w:szCs w:val="22"/>
              </w:rPr>
            </w:pPr>
            <w:r w:rsidRPr="002202C5">
              <w:rPr>
                <w:rFonts w:ascii="Arial" w:hAnsi="Arial" w:cs="Arial"/>
                <w:sz w:val="22"/>
                <w:szCs w:val="22"/>
              </w:rPr>
              <w:t>Social</w:t>
            </w:r>
          </w:p>
        </w:tc>
        <w:tc>
          <w:tcPr>
            <w:tcW w:w="7229" w:type="dxa"/>
            <w:tcBorders>
              <w:bottom w:val="single" w:sz="4" w:space="0" w:color="auto"/>
            </w:tcBorders>
          </w:tcPr>
          <w:p w:rsidR="00E378B5" w:rsidRPr="00423A2A" w:rsidRDefault="00E378B5" w:rsidP="000F22FE">
            <w:pPr>
              <w:pStyle w:val="ListParagraph"/>
              <w:numPr>
                <w:ilvl w:val="0"/>
                <w:numId w:val="11"/>
              </w:numPr>
              <w:suppressAutoHyphens/>
              <w:contextualSpacing w:val="0"/>
              <w:rPr>
                <w:rFonts w:ascii="Arial" w:hAnsi="Arial" w:cs="Arial"/>
                <w:sz w:val="22"/>
                <w:szCs w:val="22"/>
              </w:rPr>
            </w:pPr>
            <w:r>
              <w:rPr>
                <w:rFonts w:ascii="Arial" w:hAnsi="Arial" w:cs="Arial"/>
                <w:sz w:val="22"/>
                <w:szCs w:val="22"/>
              </w:rPr>
              <w:t>Improved workplace health and safety – fumigation facilities.</w:t>
            </w:r>
          </w:p>
          <w:p w:rsidR="00E378B5" w:rsidRPr="002202C5" w:rsidRDefault="00E378B5" w:rsidP="000F22FE">
            <w:pPr>
              <w:pStyle w:val="ListParagraph"/>
              <w:numPr>
                <w:ilvl w:val="0"/>
                <w:numId w:val="11"/>
              </w:numPr>
              <w:suppressAutoHyphens/>
              <w:contextualSpacing w:val="0"/>
              <w:rPr>
                <w:rFonts w:ascii="Arial" w:hAnsi="Arial" w:cs="Arial"/>
                <w:sz w:val="22"/>
                <w:szCs w:val="22"/>
              </w:rPr>
            </w:pPr>
            <w:r w:rsidRPr="002202C5">
              <w:rPr>
                <w:rFonts w:ascii="Arial" w:hAnsi="Arial" w:cs="Arial"/>
                <w:sz w:val="22"/>
                <w:szCs w:val="22"/>
              </w:rPr>
              <w:t xml:space="preserve">Increased </w:t>
            </w:r>
            <w:r>
              <w:rPr>
                <w:rFonts w:ascii="Arial" w:hAnsi="Arial" w:cs="Arial"/>
                <w:sz w:val="22"/>
                <w:szCs w:val="22"/>
              </w:rPr>
              <w:t xml:space="preserve">research </w:t>
            </w:r>
            <w:r w:rsidRPr="002202C5">
              <w:rPr>
                <w:rFonts w:ascii="Arial" w:hAnsi="Arial" w:cs="Arial"/>
                <w:sz w:val="22"/>
                <w:szCs w:val="22"/>
              </w:rPr>
              <w:t>capacity</w:t>
            </w:r>
            <w:r>
              <w:rPr>
                <w:rFonts w:ascii="Arial" w:hAnsi="Arial" w:cs="Arial"/>
                <w:sz w:val="22"/>
                <w:szCs w:val="22"/>
              </w:rPr>
              <w:t>.</w:t>
            </w:r>
          </w:p>
          <w:p w:rsidR="00E378B5" w:rsidRPr="002202C5" w:rsidRDefault="00E378B5" w:rsidP="000F22FE">
            <w:pPr>
              <w:pStyle w:val="ListParagraph"/>
              <w:numPr>
                <w:ilvl w:val="0"/>
                <w:numId w:val="11"/>
              </w:numPr>
              <w:suppressAutoHyphens/>
              <w:contextualSpacing w:val="0"/>
              <w:rPr>
                <w:rFonts w:ascii="Arial" w:hAnsi="Arial" w:cs="Arial"/>
                <w:sz w:val="22"/>
                <w:szCs w:val="22"/>
              </w:rPr>
            </w:pPr>
            <w:r w:rsidRPr="002202C5">
              <w:rPr>
                <w:rFonts w:ascii="Arial" w:hAnsi="Arial" w:cs="Arial"/>
                <w:sz w:val="22"/>
                <w:szCs w:val="22"/>
              </w:rPr>
              <w:t xml:space="preserve">Increased regional incomes </w:t>
            </w:r>
            <w:r>
              <w:rPr>
                <w:rFonts w:ascii="Arial" w:hAnsi="Arial" w:cs="Arial"/>
                <w:sz w:val="22"/>
                <w:szCs w:val="22"/>
              </w:rPr>
              <w:t xml:space="preserve">resulting from the </w:t>
            </w:r>
            <w:r w:rsidRPr="002202C5">
              <w:rPr>
                <w:rFonts w:ascii="Arial" w:hAnsi="Arial" w:cs="Arial"/>
                <w:sz w:val="22"/>
                <w:szCs w:val="22"/>
              </w:rPr>
              <w:t>increased profitability of the Australian summerfruit industry.</w:t>
            </w:r>
          </w:p>
        </w:tc>
      </w:tr>
    </w:tbl>
    <w:p w:rsidR="00E378B5" w:rsidRPr="007D67C2" w:rsidRDefault="00E378B5" w:rsidP="00E378B5">
      <w:pPr>
        <w:widowControl w:val="0"/>
        <w:rPr>
          <w:rFonts w:ascii="Arial" w:hAnsi="Arial" w:cs="Arial"/>
          <w:b/>
          <w:color w:val="FF0000"/>
        </w:rPr>
      </w:pPr>
    </w:p>
    <w:p w:rsidR="00E378B5" w:rsidRPr="00D267A4" w:rsidRDefault="00E378B5" w:rsidP="00A0699E">
      <w:pPr>
        <w:widowControl w:val="0"/>
        <w:spacing w:after="240"/>
        <w:rPr>
          <w:rFonts w:ascii="Arial" w:hAnsi="Arial" w:cs="Arial"/>
          <w:b/>
        </w:rPr>
      </w:pPr>
      <w:r w:rsidRPr="00D267A4">
        <w:rPr>
          <w:rFonts w:ascii="Arial" w:hAnsi="Arial" w:cs="Arial"/>
          <w:b/>
        </w:rPr>
        <w:t xml:space="preserve">Public versus Private Impacts </w:t>
      </w:r>
    </w:p>
    <w:p w:rsidR="00E378B5" w:rsidRPr="00C10308" w:rsidRDefault="00E378B5" w:rsidP="00A0699E">
      <w:pPr>
        <w:spacing w:after="240"/>
        <w:rPr>
          <w:rFonts w:ascii="Arial" w:hAnsi="Arial" w:cs="Arial"/>
        </w:rPr>
      </w:pPr>
      <w:r w:rsidRPr="00C10308">
        <w:rPr>
          <w:rFonts w:ascii="Arial" w:hAnsi="Arial" w:cs="Arial"/>
        </w:rPr>
        <w:t xml:space="preserve">The majority of benefits identified in this evaluation are summerfruit industry related and therefore are considered private benefits. Public benefits </w:t>
      </w:r>
      <w:r>
        <w:rPr>
          <w:rFonts w:ascii="Arial" w:hAnsi="Arial" w:cs="Arial"/>
        </w:rPr>
        <w:t xml:space="preserve">also </w:t>
      </w:r>
      <w:r w:rsidRPr="00C10308">
        <w:rPr>
          <w:rFonts w:ascii="Arial" w:hAnsi="Arial" w:cs="Arial"/>
        </w:rPr>
        <w:t>have been delivered, including environmental benefits and social benefits.</w:t>
      </w:r>
    </w:p>
    <w:p w:rsidR="00E378B5" w:rsidRPr="00C10308" w:rsidRDefault="00E378B5" w:rsidP="00A0699E">
      <w:pPr>
        <w:spacing w:after="240"/>
        <w:rPr>
          <w:rFonts w:ascii="Arial" w:hAnsi="Arial" w:cs="Arial"/>
        </w:rPr>
      </w:pPr>
      <w:r w:rsidRPr="00C10308">
        <w:rPr>
          <w:rFonts w:ascii="Arial" w:hAnsi="Arial" w:cs="Arial"/>
        </w:rPr>
        <w:t xml:space="preserve">Some environmental and social impacts were reported in Table </w:t>
      </w:r>
      <w:r>
        <w:rPr>
          <w:rFonts w:ascii="Arial" w:hAnsi="Arial" w:cs="Arial"/>
        </w:rPr>
        <w:t>3</w:t>
      </w:r>
      <w:r w:rsidRPr="00C10308">
        <w:rPr>
          <w:rFonts w:ascii="Arial" w:hAnsi="Arial" w:cs="Arial"/>
        </w:rPr>
        <w:t xml:space="preserve"> </w:t>
      </w:r>
      <w:r>
        <w:rPr>
          <w:rFonts w:ascii="Arial" w:hAnsi="Arial" w:cs="Arial"/>
        </w:rPr>
        <w:t>e.g.</w:t>
      </w:r>
      <w:r w:rsidRPr="00C10308">
        <w:rPr>
          <w:rFonts w:ascii="Arial" w:hAnsi="Arial" w:cs="Arial"/>
        </w:rPr>
        <w:t xml:space="preserve"> decreased methyl bromide use with its known impact on the ozone layer. Some indirect social benefits were delivered also, including increased </w:t>
      </w:r>
      <w:r>
        <w:rPr>
          <w:rFonts w:ascii="Arial" w:hAnsi="Arial" w:cs="Arial"/>
        </w:rPr>
        <w:t xml:space="preserve">regional </w:t>
      </w:r>
      <w:r w:rsidRPr="00C10308">
        <w:rPr>
          <w:rFonts w:ascii="Arial" w:hAnsi="Arial" w:cs="Arial"/>
        </w:rPr>
        <w:t xml:space="preserve">incomes, the result of spillovers from increased summerfruit industry </w:t>
      </w:r>
      <w:r>
        <w:rPr>
          <w:rFonts w:ascii="Arial" w:hAnsi="Arial" w:cs="Arial"/>
        </w:rPr>
        <w:t>profit</w:t>
      </w:r>
      <w:r w:rsidRPr="00C10308">
        <w:rPr>
          <w:rFonts w:ascii="Arial" w:hAnsi="Arial" w:cs="Arial"/>
        </w:rPr>
        <w:t>.</w:t>
      </w:r>
    </w:p>
    <w:p w:rsidR="00E378B5" w:rsidRPr="00D267A4" w:rsidRDefault="00E378B5" w:rsidP="00A0699E">
      <w:pPr>
        <w:widowControl w:val="0"/>
        <w:spacing w:after="240"/>
        <w:rPr>
          <w:rFonts w:ascii="Arial" w:hAnsi="Arial" w:cs="Arial"/>
          <w:b/>
        </w:rPr>
      </w:pPr>
      <w:r w:rsidRPr="00D267A4">
        <w:rPr>
          <w:rFonts w:ascii="Arial" w:hAnsi="Arial" w:cs="Arial"/>
          <w:b/>
        </w:rPr>
        <w:t xml:space="preserve">Distribution of Private Impacts </w:t>
      </w:r>
    </w:p>
    <w:p w:rsidR="00E378B5" w:rsidRPr="00C10308" w:rsidRDefault="00E378B5" w:rsidP="00A0699E">
      <w:pPr>
        <w:spacing w:after="240"/>
        <w:rPr>
          <w:rFonts w:ascii="Arial" w:hAnsi="Arial" w:cs="Arial"/>
        </w:rPr>
      </w:pPr>
      <w:r w:rsidRPr="00C10308">
        <w:rPr>
          <w:rFonts w:ascii="Arial" w:hAnsi="Arial" w:cs="Arial"/>
        </w:rPr>
        <w:t xml:space="preserve">The benefits to the summerfruit industry from investment in this project will be shared along the supply chain with growers, packers and exporters all sharing impacts produced by the project. </w:t>
      </w:r>
    </w:p>
    <w:p w:rsidR="00E378B5" w:rsidRPr="00826F3B" w:rsidRDefault="00E378B5" w:rsidP="00A0699E">
      <w:pPr>
        <w:widowControl w:val="0"/>
        <w:spacing w:after="240"/>
        <w:rPr>
          <w:rFonts w:ascii="Arial" w:hAnsi="Arial" w:cs="Arial"/>
          <w:b/>
          <w:sz w:val="24"/>
        </w:rPr>
      </w:pPr>
      <w:r w:rsidRPr="00826F3B">
        <w:rPr>
          <w:rFonts w:ascii="Arial" w:hAnsi="Arial" w:cs="Arial"/>
          <w:b/>
          <w:sz w:val="24"/>
        </w:rPr>
        <w:t xml:space="preserve">Impacts on other </w:t>
      </w:r>
      <w:r>
        <w:rPr>
          <w:rFonts w:ascii="Arial" w:hAnsi="Arial" w:cs="Arial"/>
          <w:b/>
          <w:sz w:val="24"/>
        </w:rPr>
        <w:t xml:space="preserve">Australian </w:t>
      </w:r>
      <w:r w:rsidRPr="00826F3B">
        <w:rPr>
          <w:rFonts w:ascii="Arial" w:hAnsi="Arial" w:cs="Arial"/>
          <w:b/>
          <w:sz w:val="24"/>
        </w:rPr>
        <w:t>industries</w:t>
      </w:r>
    </w:p>
    <w:p w:rsidR="00E378B5" w:rsidRPr="00C10308" w:rsidRDefault="00E378B5" w:rsidP="00A0699E">
      <w:pPr>
        <w:spacing w:after="240"/>
        <w:rPr>
          <w:rFonts w:ascii="Arial" w:hAnsi="Arial" w:cs="Arial"/>
        </w:rPr>
      </w:pPr>
      <w:r w:rsidRPr="00C10308">
        <w:rPr>
          <w:rFonts w:ascii="Arial" w:hAnsi="Arial" w:cs="Arial"/>
        </w:rPr>
        <w:t xml:space="preserve">Benefits to other </w:t>
      </w:r>
      <w:r>
        <w:rPr>
          <w:rFonts w:ascii="Arial" w:hAnsi="Arial" w:cs="Arial"/>
        </w:rPr>
        <w:t xml:space="preserve">Australian </w:t>
      </w:r>
      <w:r w:rsidRPr="00C10308">
        <w:rPr>
          <w:rFonts w:ascii="Arial" w:hAnsi="Arial" w:cs="Arial"/>
        </w:rPr>
        <w:t xml:space="preserve">industries include </w:t>
      </w:r>
      <w:r>
        <w:rPr>
          <w:rFonts w:ascii="Arial" w:hAnsi="Arial" w:cs="Arial"/>
        </w:rPr>
        <w:t xml:space="preserve">an </w:t>
      </w:r>
      <w:r w:rsidRPr="00C10308">
        <w:rPr>
          <w:rFonts w:ascii="Arial" w:hAnsi="Arial" w:cs="Arial"/>
        </w:rPr>
        <w:t xml:space="preserve">additional phytosanitary treatment option for other horticultural crops that export and are susceptible to Qfly. These </w:t>
      </w:r>
      <w:r>
        <w:rPr>
          <w:rFonts w:ascii="Arial" w:hAnsi="Arial" w:cs="Arial"/>
        </w:rPr>
        <w:t xml:space="preserve">industries </w:t>
      </w:r>
      <w:r w:rsidRPr="00C10308">
        <w:rPr>
          <w:rFonts w:ascii="Arial" w:hAnsi="Arial" w:cs="Arial"/>
        </w:rPr>
        <w:t xml:space="preserve">include, but are not limited, to </w:t>
      </w:r>
      <w:r>
        <w:rPr>
          <w:rFonts w:ascii="Arial" w:hAnsi="Arial" w:cs="Arial"/>
        </w:rPr>
        <w:t xml:space="preserve">other summerfruit (apricots, plums and pluots), </w:t>
      </w:r>
      <w:r w:rsidRPr="00C10308">
        <w:rPr>
          <w:rFonts w:ascii="Arial" w:hAnsi="Arial" w:cs="Arial"/>
        </w:rPr>
        <w:t>apples, pears, citrus, mango, capsicum, cucumber</w:t>
      </w:r>
      <w:r>
        <w:rPr>
          <w:rFonts w:ascii="Arial" w:hAnsi="Arial" w:cs="Arial"/>
        </w:rPr>
        <w:t>,</w:t>
      </w:r>
      <w:r w:rsidRPr="00C10308">
        <w:rPr>
          <w:rFonts w:ascii="Arial" w:hAnsi="Arial" w:cs="Arial"/>
        </w:rPr>
        <w:t xml:space="preserve"> chillies and eggplant.</w:t>
      </w:r>
    </w:p>
    <w:p w:rsidR="00E378B5" w:rsidRPr="00826F3B" w:rsidRDefault="00E378B5" w:rsidP="00A0699E">
      <w:pPr>
        <w:widowControl w:val="0"/>
        <w:spacing w:after="240"/>
        <w:rPr>
          <w:rFonts w:ascii="Arial" w:hAnsi="Arial" w:cs="Arial"/>
          <w:b/>
          <w:sz w:val="24"/>
        </w:rPr>
      </w:pPr>
      <w:r w:rsidRPr="00826F3B">
        <w:rPr>
          <w:rFonts w:ascii="Arial" w:hAnsi="Arial" w:cs="Arial"/>
          <w:b/>
          <w:sz w:val="24"/>
        </w:rPr>
        <w:t xml:space="preserve">Impacts Overseas </w:t>
      </w:r>
    </w:p>
    <w:p w:rsidR="00E378B5" w:rsidRDefault="00E378B5" w:rsidP="00A0699E">
      <w:pPr>
        <w:widowControl w:val="0"/>
        <w:spacing w:after="240"/>
        <w:rPr>
          <w:rFonts w:ascii="Arial" w:hAnsi="Arial" w:cs="Arial"/>
          <w:b/>
        </w:rPr>
      </w:pPr>
      <w:r w:rsidRPr="00545127">
        <w:rPr>
          <w:rFonts w:ascii="Arial" w:hAnsi="Arial" w:cs="Arial"/>
        </w:rPr>
        <w:t>The scientific data produced by this project is only relevant to Qfly – an Australian native. Nevertheless</w:t>
      </w:r>
      <w:r>
        <w:rPr>
          <w:rFonts w:ascii="Arial" w:hAnsi="Arial" w:cs="Arial"/>
        </w:rPr>
        <w:t>,</w:t>
      </w:r>
      <w:r w:rsidRPr="00545127">
        <w:rPr>
          <w:rFonts w:ascii="Arial" w:hAnsi="Arial" w:cs="Arial"/>
        </w:rPr>
        <w:t xml:space="preserve"> the approach used (low dose methyl bromide) is understood to be a world first (Ekman</w:t>
      </w:r>
      <w:r>
        <w:rPr>
          <w:rFonts w:ascii="Arial" w:hAnsi="Arial" w:cs="Arial"/>
        </w:rPr>
        <w:t>,</w:t>
      </w:r>
      <w:r w:rsidRPr="00545127">
        <w:rPr>
          <w:rFonts w:ascii="Arial" w:hAnsi="Arial" w:cs="Arial"/>
        </w:rPr>
        <w:t xml:space="preserve"> 2016). Consequently</w:t>
      </w:r>
      <w:r>
        <w:rPr>
          <w:rFonts w:ascii="Arial" w:hAnsi="Arial" w:cs="Arial"/>
        </w:rPr>
        <w:t>,</w:t>
      </w:r>
      <w:r w:rsidRPr="00545127">
        <w:rPr>
          <w:rFonts w:ascii="Arial" w:hAnsi="Arial" w:cs="Arial"/>
        </w:rPr>
        <w:t xml:space="preserve"> the approach applied may be relevant and adapted to other fruit fly species found overseas as well as </w:t>
      </w:r>
      <w:r>
        <w:rPr>
          <w:rFonts w:ascii="Arial" w:hAnsi="Arial" w:cs="Arial"/>
        </w:rPr>
        <w:t xml:space="preserve">potentially </w:t>
      </w:r>
      <w:r w:rsidRPr="00545127">
        <w:rPr>
          <w:rFonts w:ascii="Arial" w:hAnsi="Arial" w:cs="Arial"/>
        </w:rPr>
        <w:t xml:space="preserve">other overseas pest species. The approach used could be adopted by researchers assisting overseas horticultural industries including </w:t>
      </w:r>
      <w:r>
        <w:rPr>
          <w:rFonts w:ascii="Arial" w:hAnsi="Arial" w:cs="Arial"/>
        </w:rPr>
        <w:t xml:space="preserve">US summerfruit producers and </w:t>
      </w:r>
      <w:r w:rsidRPr="00545127">
        <w:rPr>
          <w:rFonts w:ascii="Arial" w:hAnsi="Arial" w:cs="Arial"/>
        </w:rPr>
        <w:t>Chilean summerfruit and cherry producers.</w:t>
      </w:r>
    </w:p>
    <w:p w:rsidR="00E378B5" w:rsidRPr="00523208" w:rsidRDefault="00E378B5" w:rsidP="00A0699E">
      <w:pPr>
        <w:widowControl w:val="0"/>
        <w:spacing w:after="240"/>
        <w:rPr>
          <w:rFonts w:ascii="Arial" w:hAnsi="Arial" w:cs="Arial"/>
          <w:b/>
        </w:rPr>
      </w:pPr>
      <w:r w:rsidRPr="00523208">
        <w:rPr>
          <w:rFonts w:ascii="Arial" w:hAnsi="Arial" w:cs="Arial"/>
          <w:b/>
        </w:rPr>
        <w:t xml:space="preserve">Match with </w:t>
      </w:r>
      <w:r w:rsidRPr="00A0699E">
        <w:rPr>
          <w:rFonts w:ascii="Arial" w:hAnsi="Arial" w:cs="Arial"/>
          <w:b/>
          <w:sz w:val="24"/>
        </w:rPr>
        <w:t>National</w:t>
      </w:r>
      <w:r w:rsidRPr="00523208">
        <w:rPr>
          <w:rFonts w:ascii="Arial" w:hAnsi="Arial" w:cs="Arial"/>
          <w:b/>
        </w:rPr>
        <w:t xml:space="preserve"> and State Priorities</w:t>
      </w:r>
    </w:p>
    <w:p w:rsidR="00E378B5" w:rsidRDefault="00E378B5" w:rsidP="00A0699E">
      <w:pPr>
        <w:widowControl w:val="0"/>
        <w:spacing w:after="240"/>
        <w:rPr>
          <w:rFonts w:ascii="Arial" w:hAnsi="Arial" w:cs="Arial"/>
          <w:bCs/>
          <w:lang w:val="en-GB"/>
        </w:rPr>
      </w:pPr>
      <w:r w:rsidRPr="00523208">
        <w:rPr>
          <w:rFonts w:ascii="Arial" w:hAnsi="Arial" w:cs="Arial"/>
          <w:bCs/>
          <w:lang w:val="en-GB"/>
        </w:rPr>
        <w:t xml:space="preserve">The Australian Government’s Science and Research Priorities and Rural RD&amp;E priorities are </w:t>
      </w:r>
      <w:r w:rsidRPr="00A0699E">
        <w:rPr>
          <w:rFonts w:ascii="Arial" w:hAnsi="Arial" w:cs="Arial"/>
        </w:rPr>
        <w:t>reproduced</w:t>
      </w:r>
      <w:r w:rsidRPr="00523208">
        <w:rPr>
          <w:rFonts w:ascii="Arial" w:hAnsi="Arial" w:cs="Arial"/>
          <w:bCs/>
          <w:lang w:val="en-GB"/>
        </w:rPr>
        <w:t xml:space="preserve"> in Table 4. </w:t>
      </w:r>
      <w:r>
        <w:rPr>
          <w:rFonts w:ascii="Arial" w:hAnsi="Arial" w:cs="Arial"/>
          <w:bCs/>
          <w:lang w:val="en-GB"/>
        </w:rPr>
        <w:t>The low dose methyl bromide against Qfly to improve market access</w:t>
      </w:r>
      <w:r w:rsidRPr="00523208">
        <w:rPr>
          <w:rFonts w:ascii="Arial" w:hAnsi="Arial" w:cs="Arial"/>
          <w:bCs/>
          <w:lang w:val="en-GB"/>
        </w:rPr>
        <w:t xml:space="preserve"> </w:t>
      </w:r>
      <w:r>
        <w:rPr>
          <w:rFonts w:ascii="Arial" w:hAnsi="Arial" w:cs="Arial"/>
          <w:bCs/>
          <w:lang w:val="en-GB"/>
        </w:rPr>
        <w:t xml:space="preserve">project </w:t>
      </w:r>
      <w:r w:rsidRPr="00523208">
        <w:rPr>
          <w:rFonts w:ascii="Arial" w:hAnsi="Arial" w:cs="Arial"/>
          <w:bCs/>
          <w:lang w:val="en-GB"/>
        </w:rPr>
        <w:t xml:space="preserve">primarily contributes to Rural RD&amp;E </w:t>
      </w:r>
      <w:r>
        <w:rPr>
          <w:rFonts w:ascii="Arial" w:hAnsi="Arial" w:cs="Arial"/>
          <w:bCs/>
          <w:lang w:val="en-GB"/>
        </w:rPr>
        <w:t>P</w:t>
      </w:r>
      <w:r w:rsidRPr="00523208">
        <w:rPr>
          <w:rFonts w:ascii="Arial" w:hAnsi="Arial" w:cs="Arial"/>
          <w:bCs/>
          <w:lang w:val="en-GB"/>
        </w:rPr>
        <w:t>riorit</w:t>
      </w:r>
      <w:r>
        <w:rPr>
          <w:rFonts w:ascii="Arial" w:hAnsi="Arial" w:cs="Arial"/>
          <w:bCs/>
          <w:lang w:val="en-GB"/>
        </w:rPr>
        <w:t>y</w:t>
      </w:r>
      <w:r w:rsidRPr="00523208">
        <w:rPr>
          <w:rFonts w:ascii="Arial" w:hAnsi="Arial" w:cs="Arial"/>
          <w:bCs/>
          <w:lang w:val="en-GB"/>
        </w:rPr>
        <w:t xml:space="preserve"> </w:t>
      </w:r>
      <w:r>
        <w:rPr>
          <w:rFonts w:ascii="Arial" w:hAnsi="Arial" w:cs="Arial"/>
          <w:bCs/>
          <w:lang w:val="en-GB"/>
        </w:rPr>
        <w:t>1 and 2</w:t>
      </w:r>
      <w:r w:rsidRPr="00523208">
        <w:rPr>
          <w:rFonts w:ascii="Arial" w:hAnsi="Arial" w:cs="Arial"/>
          <w:bCs/>
          <w:lang w:val="en-GB"/>
        </w:rPr>
        <w:t xml:space="preserve"> and to Science and Research </w:t>
      </w:r>
      <w:r>
        <w:rPr>
          <w:rFonts w:ascii="Arial" w:hAnsi="Arial" w:cs="Arial"/>
          <w:bCs/>
          <w:lang w:val="en-GB"/>
        </w:rPr>
        <w:t>P</w:t>
      </w:r>
      <w:r w:rsidRPr="00523208">
        <w:rPr>
          <w:rFonts w:ascii="Arial" w:hAnsi="Arial" w:cs="Arial"/>
          <w:bCs/>
          <w:lang w:val="en-GB"/>
        </w:rPr>
        <w:t>riority</w:t>
      </w:r>
      <w:r w:rsidR="00C66231">
        <w:rPr>
          <w:rFonts w:ascii="Arial" w:hAnsi="Arial" w:cs="Arial"/>
          <w:bCs/>
          <w:lang w:val="en-GB"/>
        </w:rPr>
        <w:t xml:space="preserve"> </w:t>
      </w:r>
      <w:r w:rsidRPr="00523208">
        <w:rPr>
          <w:rFonts w:ascii="Arial" w:hAnsi="Arial" w:cs="Arial"/>
          <w:bCs/>
          <w:lang w:val="en-GB"/>
        </w:rPr>
        <w:t>1.</w:t>
      </w:r>
    </w:p>
    <w:p w:rsidR="00E378B5" w:rsidRPr="00C66231" w:rsidRDefault="00E378B5" w:rsidP="00C66231">
      <w:pPr>
        <w:pStyle w:val="Caption"/>
        <w:spacing w:after="240"/>
        <w:jc w:val="center"/>
        <w:rPr>
          <w:rFonts w:ascii="Arial" w:hAnsi="Arial"/>
          <w:b w:val="0"/>
          <w:color w:val="000000" w:themeColor="text1"/>
          <w:sz w:val="22"/>
          <w:szCs w:val="22"/>
        </w:rPr>
      </w:pPr>
      <w:bookmarkStart w:id="184" w:name="_Toc476632577"/>
      <w:r w:rsidRPr="00C66231">
        <w:rPr>
          <w:rFonts w:ascii="Arial" w:hAnsi="Arial"/>
          <w:b w:val="0"/>
          <w:color w:val="000000" w:themeColor="text1"/>
          <w:sz w:val="22"/>
          <w:szCs w:val="22"/>
        </w:rPr>
        <w:t xml:space="preserve">Table </w:t>
      </w:r>
      <w:r w:rsidR="003147F5">
        <w:rPr>
          <w:rFonts w:ascii="Arial" w:hAnsi="Arial"/>
          <w:b w:val="0"/>
          <w:color w:val="000000" w:themeColor="text1"/>
          <w:sz w:val="22"/>
          <w:szCs w:val="22"/>
        </w:rPr>
        <w:t>4</w:t>
      </w:r>
      <w:r w:rsidRPr="00C66231">
        <w:rPr>
          <w:rFonts w:ascii="Arial" w:hAnsi="Arial"/>
          <w:b w:val="0"/>
          <w:color w:val="000000" w:themeColor="text1"/>
          <w:sz w:val="22"/>
          <w:szCs w:val="22"/>
        </w:rPr>
        <w:t>: Australian Government Research Priorities</w:t>
      </w:r>
      <w:bookmarkEnd w:id="184"/>
    </w:p>
    <w:tbl>
      <w:tblPr>
        <w:tblStyle w:val="TableGrid"/>
        <w:tblW w:w="0" w:type="auto"/>
        <w:tblInd w:w="988" w:type="dxa"/>
        <w:tblLook w:val="04A0" w:firstRow="1" w:lastRow="0" w:firstColumn="1" w:lastColumn="0" w:noHBand="0" w:noVBand="1"/>
      </w:tblPr>
      <w:tblGrid>
        <w:gridCol w:w="3520"/>
        <w:gridCol w:w="3425"/>
      </w:tblGrid>
      <w:tr w:rsidR="00E378B5" w:rsidRPr="00523208" w:rsidTr="00E378B5">
        <w:tc>
          <w:tcPr>
            <w:tcW w:w="6945" w:type="dxa"/>
            <w:gridSpan w:val="2"/>
          </w:tcPr>
          <w:p w:rsidR="00E378B5" w:rsidRPr="00523208" w:rsidRDefault="00E378B5" w:rsidP="00E378B5">
            <w:pPr>
              <w:jc w:val="center"/>
              <w:rPr>
                <w:rFonts w:ascii="Arial" w:hAnsi="Arial" w:cs="Arial"/>
                <w:b/>
                <w:sz w:val="22"/>
                <w:szCs w:val="22"/>
              </w:rPr>
            </w:pPr>
            <w:r w:rsidRPr="00523208">
              <w:rPr>
                <w:rFonts w:ascii="Arial" w:hAnsi="Arial" w:cs="Arial"/>
                <w:b/>
                <w:sz w:val="22"/>
                <w:szCs w:val="22"/>
              </w:rPr>
              <w:t>Australian Government</w:t>
            </w:r>
          </w:p>
        </w:tc>
      </w:tr>
      <w:tr w:rsidR="00E378B5" w:rsidRPr="00523208" w:rsidTr="00E378B5">
        <w:tc>
          <w:tcPr>
            <w:tcW w:w="3520" w:type="dxa"/>
          </w:tcPr>
          <w:p w:rsidR="00E378B5" w:rsidRPr="00523208" w:rsidRDefault="00E378B5" w:rsidP="00E378B5">
            <w:pPr>
              <w:jc w:val="center"/>
              <w:rPr>
                <w:rFonts w:ascii="Arial" w:hAnsi="Arial" w:cs="Arial"/>
                <w:b/>
                <w:sz w:val="22"/>
                <w:szCs w:val="22"/>
              </w:rPr>
            </w:pPr>
            <w:r w:rsidRPr="00523208">
              <w:rPr>
                <w:rFonts w:ascii="Arial" w:hAnsi="Arial" w:cs="Arial"/>
                <w:b/>
                <w:sz w:val="22"/>
                <w:szCs w:val="22"/>
              </w:rPr>
              <w:t>Rural RD&amp;E Priorities (est. 2015)</w:t>
            </w:r>
          </w:p>
        </w:tc>
        <w:tc>
          <w:tcPr>
            <w:tcW w:w="3425" w:type="dxa"/>
          </w:tcPr>
          <w:p w:rsidR="00E378B5" w:rsidRPr="00523208" w:rsidRDefault="00E378B5" w:rsidP="00E378B5">
            <w:pPr>
              <w:jc w:val="center"/>
              <w:rPr>
                <w:rFonts w:ascii="Arial" w:hAnsi="Arial" w:cs="Arial"/>
                <w:b/>
                <w:sz w:val="22"/>
                <w:szCs w:val="22"/>
              </w:rPr>
            </w:pPr>
            <w:r w:rsidRPr="00523208">
              <w:rPr>
                <w:rFonts w:ascii="Arial" w:hAnsi="Arial" w:cs="Arial"/>
                <w:b/>
                <w:sz w:val="22"/>
                <w:szCs w:val="22"/>
              </w:rPr>
              <w:t>Science and Research Priorities (est. 2015)</w:t>
            </w:r>
          </w:p>
        </w:tc>
      </w:tr>
      <w:tr w:rsidR="00E378B5" w:rsidRPr="00523208" w:rsidTr="00E378B5">
        <w:tc>
          <w:tcPr>
            <w:tcW w:w="3520" w:type="dxa"/>
          </w:tcPr>
          <w:p w:rsidR="00E378B5" w:rsidRPr="00523208" w:rsidRDefault="00E378B5" w:rsidP="000D5A34">
            <w:pPr>
              <w:pStyle w:val="ListParagraph"/>
              <w:numPr>
                <w:ilvl w:val="0"/>
                <w:numId w:val="77"/>
              </w:numPr>
              <w:ind w:left="454"/>
              <w:rPr>
                <w:rFonts w:ascii="Arial" w:hAnsi="Arial" w:cs="Arial"/>
                <w:sz w:val="22"/>
                <w:szCs w:val="22"/>
              </w:rPr>
            </w:pPr>
            <w:r w:rsidRPr="00523208">
              <w:rPr>
                <w:rFonts w:ascii="Arial" w:hAnsi="Arial" w:cs="Arial"/>
                <w:sz w:val="22"/>
                <w:szCs w:val="22"/>
              </w:rPr>
              <w:t xml:space="preserve">Advanced technology </w:t>
            </w:r>
          </w:p>
          <w:p w:rsidR="00E378B5" w:rsidRPr="00523208" w:rsidRDefault="00E378B5" w:rsidP="000D5A34">
            <w:pPr>
              <w:pStyle w:val="ListParagraph"/>
              <w:numPr>
                <w:ilvl w:val="0"/>
                <w:numId w:val="77"/>
              </w:numPr>
              <w:ind w:left="459"/>
              <w:rPr>
                <w:rFonts w:ascii="Arial" w:hAnsi="Arial" w:cs="Arial"/>
                <w:sz w:val="22"/>
                <w:szCs w:val="22"/>
              </w:rPr>
            </w:pPr>
            <w:r w:rsidRPr="00523208">
              <w:rPr>
                <w:rFonts w:ascii="Arial" w:hAnsi="Arial" w:cs="Arial"/>
                <w:sz w:val="22"/>
                <w:szCs w:val="22"/>
              </w:rPr>
              <w:t>Biosecurity</w:t>
            </w:r>
          </w:p>
          <w:p w:rsidR="00E378B5" w:rsidRPr="00523208" w:rsidRDefault="00E378B5" w:rsidP="000D5A34">
            <w:pPr>
              <w:pStyle w:val="ListParagraph"/>
              <w:numPr>
                <w:ilvl w:val="0"/>
                <w:numId w:val="77"/>
              </w:numPr>
              <w:ind w:left="459"/>
              <w:rPr>
                <w:rFonts w:ascii="Arial" w:hAnsi="Arial" w:cs="Arial"/>
                <w:sz w:val="22"/>
                <w:szCs w:val="22"/>
              </w:rPr>
            </w:pPr>
            <w:r w:rsidRPr="00523208">
              <w:rPr>
                <w:rFonts w:ascii="Arial" w:hAnsi="Arial" w:cs="Arial"/>
                <w:sz w:val="22"/>
                <w:szCs w:val="22"/>
              </w:rPr>
              <w:t>Soil, water and managing natural resources</w:t>
            </w:r>
          </w:p>
          <w:p w:rsidR="00E378B5" w:rsidRPr="00523208" w:rsidRDefault="00E378B5" w:rsidP="000D5A34">
            <w:pPr>
              <w:pStyle w:val="ListParagraph"/>
              <w:numPr>
                <w:ilvl w:val="0"/>
                <w:numId w:val="77"/>
              </w:numPr>
              <w:ind w:left="459"/>
              <w:rPr>
                <w:rFonts w:ascii="Arial" w:hAnsi="Arial" w:cs="Arial"/>
                <w:sz w:val="22"/>
                <w:szCs w:val="22"/>
              </w:rPr>
            </w:pPr>
            <w:r w:rsidRPr="00523208">
              <w:rPr>
                <w:rFonts w:ascii="Arial" w:hAnsi="Arial" w:cs="Arial"/>
                <w:sz w:val="22"/>
                <w:szCs w:val="22"/>
              </w:rPr>
              <w:t>Adoption of R&amp;D</w:t>
            </w:r>
          </w:p>
        </w:tc>
        <w:tc>
          <w:tcPr>
            <w:tcW w:w="3425" w:type="dxa"/>
          </w:tcPr>
          <w:p w:rsidR="00E378B5" w:rsidRPr="00523208" w:rsidRDefault="00E378B5" w:rsidP="000D5A34">
            <w:pPr>
              <w:pStyle w:val="ListParagraph"/>
              <w:numPr>
                <w:ilvl w:val="0"/>
                <w:numId w:val="78"/>
              </w:numPr>
              <w:ind w:left="483"/>
              <w:rPr>
                <w:rFonts w:ascii="Arial" w:hAnsi="Arial" w:cs="Arial"/>
                <w:sz w:val="22"/>
                <w:szCs w:val="22"/>
              </w:rPr>
            </w:pPr>
            <w:r w:rsidRPr="00523208">
              <w:rPr>
                <w:rFonts w:ascii="Arial" w:hAnsi="Arial" w:cs="Arial"/>
                <w:sz w:val="22"/>
                <w:szCs w:val="22"/>
              </w:rPr>
              <w:t>Food</w:t>
            </w:r>
          </w:p>
          <w:p w:rsidR="00E378B5" w:rsidRPr="00523208" w:rsidRDefault="00E378B5" w:rsidP="000D5A34">
            <w:pPr>
              <w:pStyle w:val="ListParagraph"/>
              <w:numPr>
                <w:ilvl w:val="0"/>
                <w:numId w:val="78"/>
              </w:numPr>
              <w:ind w:left="482"/>
              <w:rPr>
                <w:rFonts w:ascii="Arial" w:hAnsi="Arial" w:cs="Arial"/>
                <w:sz w:val="22"/>
                <w:szCs w:val="22"/>
              </w:rPr>
            </w:pPr>
            <w:r w:rsidRPr="00523208">
              <w:rPr>
                <w:rFonts w:ascii="Arial" w:hAnsi="Arial" w:cs="Arial"/>
                <w:sz w:val="22"/>
                <w:szCs w:val="22"/>
              </w:rPr>
              <w:t xml:space="preserve">Soil and Water </w:t>
            </w:r>
          </w:p>
          <w:p w:rsidR="00E378B5" w:rsidRPr="00523208" w:rsidRDefault="00E378B5" w:rsidP="000D5A34">
            <w:pPr>
              <w:pStyle w:val="ListParagraph"/>
              <w:numPr>
                <w:ilvl w:val="0"/>
                <w:numId w:val="78"/>
              </w:numPr>
              <w:ind w:left="482"/>
              <w:rPr>
                <w:rFonts w:ascii="Arial" w:hAnsi="Arial" w:cs="Arial"/>
                <w:sz w:val="22"/>
                <w:szCs w:val="22"/>
              </w:rPr>
            </w:pPr>
            <w:r w:rsidRPr="00523208">
              <w:rPr>
                <w:rFonts w:ascii="Arial" w:hAnsi="Arial" w:cs="Arial"/>
                <w:sz w:val="22"/>
                <w:szCs w:val="22"/>
              </w:rPr>
              <w:t>Transport</w:t>
            </w:r>
          </w:p>
          <w:p w:rsidR="00E378B5" w:rsidRPr="00523208" w:rsidRDefault="00E378B5" w:rsidP="000D5A34">
            <w:pPr>
              <w:pStyle w:val="ListParagraph"/>
              <w:numPr>
                <w:ilvl w:val="0"/>
                <w:numId w:val="78"/>
              </w:numPr>
              <w:ind w:left="482"/>
              <w:rPr>
                <w:rFonts w:ascii="Arial" w:hAnsi="Arial" w:cs="Arial"/>
                <w:sz w:val="22"/>
                <w:szCs w:val="22"/>
              </w:rPr>
            </w:pPr>
            <w:r w:rsidRPr="00523208">
              <w:rPr>
                <w:rFonts w:ascii="Arial" w:hAnsi="Arial" w:cs="Arial"/>
                <w:sz w:val="22"/>
                <w:szCs w:val="22"/>
              </w:rPr>
              <w:t xml:space="preserve">Cybersecurity </w:t>
            </w:r>
          </w:p>
          <w:p w:rsidR="00E378B5" w:rsidRPr="00523208" w:rsidRDefault="00E378B5" w:rsidP="000D5A34">
            <w:pPr>
              <w:pStyle w:val="ListParagraph"/>
              <w:numPr>
                <w:ilvl w:val="0"/>
                <w:numId w:val="78"/>
              </w:numPr>
              <w:ind w:left="482"/>
              <w:rPr>
                <w:rFonts w:ascii="Arial" w:hAnsi="Arial" w:cs="Arial"/>
                <w:sz w:val="22"/>
                <w:szCs w:val="22"/>
              </w:rPr>
            </w:pPr>
            <w:r w:rsidRPr="00523208">
              <w:rPr>
                <w:rFonts w:ascii="Arial" w:hAnsi="Arial" w:cs="Arial"/>
                <w:sz w:val="22"/>
                <w:szCs w:val="22"/>
              </w:rPr>
              <w:t xml:space="preserve">Energy and Resources </w:t>
            </w:r>
          </w:p>
          <w:p w:rsidR="00E378B5" w:rsidRPr="00523208" w:rsidRDefault="00E378B5" w:rsidP="000D5A34">
            <w:pPr>
              <w:pStyle w:val="ListParagraph"/>
              <w:numPr>
                <w:ilvl w:val="0"/>
                <w:numId w:val="78"/>
              </w:numPr>
              <w:ind w:left="482"/>
              <w:rPr>
                <w:rFonts w:ascii="Arial" w:hAnsi="Arial" w:cs="Arial"/>
                <w:sz w:val="22"/>
                <w:szCs w:val="22"/>
              </w:rPr>
            </w:pPr>
            <w:r w:rsidRPr="00523208">
              <w:rPr>
                <w:rFonts w:ascii="Arial" w:hAnsi="Arial" w:cs="Arial"/>
                <w:sz w:val="22"/>
                <w:szCs w:val="22"/>
              </w:rPr>
              <w:t xml:space="preserve">Manufacturing </w:t>
            </w:r>
          </w:p>
          <w:p w:rsidR="00E378B5" w:rsidRPr="00523208" w:rsidRDefault="00E378B5" w:rsidP="000D5A34">
            <w:pPr>
              <w:pStyle w:val="ListParagraph"/>
              <w:numPr>
                <w:ilvl w:val="0"/>
                <w:numId w:val="78"/>
              </w:numPr>
              <w:ind w:left="482"/>
              <w:rPr>
                <w:rFonts w:ascii="Arial" w:hAnsi="Arial" w:cs="Arial"/>
                <w:sz w:val="22"/>
                <w:szCs w:val="22"/>
              </w:rPr>
            </w:pPr>
            <w:r w:rsidRPr="00523208">
              <w:rPr>
                <w:rFonts w:ascii="Arial" w:hAnsi="Arial" w:cs="Arial"/>
                <w:sz w:val="22"/>
                <w:szCs w:val="22"/>
              </w:rPr>
              <w:t>Environmental Change</w:t>
            </w:r>
          </w:p>
          <w:p w:rsidR="00E378B5" w:rsidRPr="00523208" w:rsidRDefault="00E378B5" w:rsidP="000D5A34">
            <w:pPr>
              <w:pStyle w:val="ListParagraph"/>
              <w:keepNext/>
              <w:numPr>
                <w:ilvl w:val="0"/>
                <w:numId w:val="78"/>
              </w:numPr>
              <w:ind w:left="482"/>
              <w:rPr>
                <w:rFonts w:ascii="Arial" w:hAnsi="Arial" w:cs="Arial"/>
                <w:sz w:val="22"/>
                <w:szCs w:val="22"/>
              </w:rPr>
            </w:pPr>
            <w:r w:rsidRPr="00523208">
              <w:rPr>
                <w:rFonts w:ascii="Arial" w:hAnsi="Arial" w:cs="Arial"/>
                <w:sz w:val="22"/>
                <w:szCs w:val="22"/>
              </w:rPr>
              <w:t>Health</w:t>
            </w:r>
          </w:p>
        </w:tc>
      </w:tr>
    </w:tbl>
    <w:p w:rsidR="00E378B5" w:rsidRDefault="00E378B5" w:rsidP="00E378B5">
      <w:pPr>
        <w:pStyle w:val="Table"/>
        <w:rPr>
          <w:rFonts w:ascii="Arial" w:hAnsi="Arial"/>
          <w:szCs w:val="22"/>
          <w:lang w:val="en-GB"/>
        </w:rPr>
      </w:pPr>
      <w:r w:rsidRPr="00523208">
        <w:rPr>
          <w:rFonts w:ascii="Arial" w:hAnsi="Arial"/>
          <w:szCs w:val="22"/>
          <w:lang w:val="en-GB"/>
        </w:rPr>
        <w:t>Sources: DAWR (2015) and OCS (2016)</w:t>
      </w:r>
    </w:p>
    <w:p w:rsidR="00E378B5" w:rsidRDefault="00E378B5" w:rsidP="00F712CF">
      <w:pPr>
        <w:spacing w:before="240"/>
        <w:rPr>
          <w:rFonts w:ascii="Arial" w:hAnsi="Arial" w:cs="Arial"/>
          <w:bCs/>
          <w:lang w:val="en-GB"/>
        </w:rPr>
      </w:pPr>
      <w:r w:rsidRPr="00523208">
        <w:rPr>
          <w:rFonts w:ascii="Arial" w:hAnsi="Arial" w:cs="Arial"/>
          <w:bCs/>
          <w:lang w:val="en-GB"/>
        </w:rPr>
        <w:t>The Queensland Government’s Science and Research Priorities, together with the four decision rules for investment that guide evaluation, prioritisation and decision making around future investment</w:t>
      </w:r>
      <w:r>
        <w:rPr>
          <w:rFonts w:ascii="Arial" w:hAnsi="Arial" w:cs="Arial"/>
          <w:bCs/>
          <w:lang w:val="en-GB"/>
        </w:rPr>
        <w:t>, are reproduced in Table 5</w:t>
      </w:r>
      <w:r w:rsidRPr="00523208">
        <w:rPr>
          <w:rFonts w:ascii="Arial" w:hAnsi="Arial" w:cs="Arial"/>
          <w:bCs/>
          <w:lang w:val="en-GB"/>
        </w:rPr>
        <w:t xml:space="preserve">. </w:t>
      </w:r>
      <w:r>
        <w:rPr>
          <w:rFonts w:ascii="Arial" w:hAnsi="Arial" w:cs="Arial"/>
          <w:bCs/>
          <w:lang w:val="en-GB"/>
        </w:rPr>
        <w:t xml:space="preserve">The methyl bromide project addressed Science and Research Priorities 1 and potentially 6. In terms of the guides to investment, the project will have a real future impact through additional profitable sales of summerfruit, was supported and funded by others external to Queensland, had a distinctive angle with world first use of low dose methyl bromide and further developed Australian scientific expertise in fumigation.   </w:t>
      </w:r>
    </w:p>
    <w:p w:rsidR="00E378B5" w:rsidRPr="00C66231" w:rsidRDefault="00E378B5" w:rsidP="00C66231">
      <w:pPr>
        <w:pStyle w:val="Caption"/>
        <w:spacing w:after="240"/>
        <w:jc w:val="center"/>
        <w:rPr>
          <w:rFonts w:ascii="Arial" w:hAnsi="Arial"/>
          <w:b w:val="0"/>
          <w:color w:val="000000" w:themeColor="text1"/>
          <w:sz w:val="22"/>
          <w:szCs w:val="22"/>
        </w:rPr>
      </w:pPr>
      <w:bookmarkStart w:id="185" w:name="_Toc476632578"/>
      <w:r w:rsidRPr="00C66231">
        <w:rPr>
          <w:rFonts w:ascii="Arial" w:hAnsi="Arial"/>
          <w:b w:val="0"/>
          <w:color w:val="000000" w:themeColor="text1"/>
          <w:sz w:val="22"/>
          <w:szCs w:val="22"/>
        </w:rPr>
        <w:t xml:space="preserve">Table </w:t>
      </w:r>
      <w:r w:rsidR="003147F5">
        <w:rPr>
          <w:rFonts w:ascii="Arial" w:hAnsi="Arial"/>
          <w:b w:val="0"/>
          <w:color w:val="000000" w:themeColor="text1"/>
          <w:sz w:val="22"/>
          <w:szCs w:val="22"/>
        </w:rPr>
        <w:t>5</w:t>
      </w:r>
      <w:r w:rsidRPr="00C66231">
        <w:rPr>
          <w:rFonts w:ascii="Arial" w:hAnsi="Arial"/>
          <w:b w:val="0"/>
          <w:color w:val="000000" w:themeColor="text1"/>
          <w:sz w:val="22"/>
          <w:szCs w:val="22"/>
        </w:rPr>
        <w:t>: Queensland Government Research Priorities</w:t>
      </w:r>
      <w:bookmarkEnd w:id="185"/>
    </w:p>
    <w:tbl>
      <w:tblPr>
        <w:tblStyle w:val="TableGrid"/>
        <w:tblW w:w="0" w:type="auto"/>
        <w:tblInd w:w="-147" w:type="dxa"/>
        <w:tblLook w:val="04A0" w:firstRow="1" w:lastRow="0" w:firstColumn="1" w:lastColumn="0" w:noHBand="0" w:noVBand="1"/>
      </w:tblPr>
      <w:tblGrid>
        <w:gridCol w:w="6238"/>
        <w:gridCol w:w="2925"/>
      </w:tblGrid>
      <w:tr w:rsidR="00E378B5" w:rsidRPr="00C66231" w:rsidTr="0042513E">
        <w:tc>
          <w:tcPr>
            <w:tcW w:w="9163" w:type="dxa"/>
            <w:gridSpan w:val="2"/>
          </w:tcPr>
          <w:p w:rsidR="00E378B5" w:rsidRPr="00C66231" w:rsidRDefault="00E378B5" w:rsidP="00E378B5">
            <w:pPr>
              <w:jc w:val="center"/>
              <w:rPr>
                <w:rFonts w:ascii="Arial" w:hAnsi="Arial" w:cs="Arial"/>
                <w:b/>
                <w:sz w:val="22"/>
                <w:szCs w:val="22"/>
              </w:rPr>
            </w:pPr>
            <w:r w:rsidRPr="00C66231">
              <w:rPr>
                <w:rFonts w:ascii="Arial" w:hAnsi="Arial" w:cs="Arial"/>
                <w:b/>
                <w:sz w:val="22"/>
                <w:szCs w:val="22"/>
              </w:rPr>
              <w:t>Queensland Government</w:t>
            </w:r>
          </w:p>
        </w:tc>
      </w:tr>
      <w:tr w:rsidR="00E378B5" w:rsidRPr="00C66231" w:rsidTr="0042513E">
        <w:tc>
          <w:tcPr>
            <w:tcW w:w="6238" w:type="dxa"/>
          </w:tcPr>
          <w:p w:rsidR="00E378B5" w:rsidRPr="00C66231" w:rsidRDefault="00E378B5" w:rsidP="00E378B5">
            <w:pPr>
              <w:jc w:val="center"/>
              <w:rPr>
                <w:rFonts w:ascii="Arial" w:hAnsi="Arial" w:cs="Arial"/>
                <w:b/>
                <w:sz w:val="22"/>
                <w:szCs w:val="22"/>
              </w:rPr>
            </w:pPr>
            <w:r w:rsidRPr="00C66231">
              <w:rPr>
                <w:rFonts w:ascii="Arial" w:hAnsi="Arial" w:cs="Arial"/>
                <w:b/>
                <w:sz w:val="22"/>
                <w:szCs w:val="22"/>
              </w:rPr>
              <w:t>Science and Research Priorities (est. 2015)</w:t>
            </w:r>
          </w:p>
        </w:tc>
        <w:tc>
          <w:tcPr>
            <w:tcW w:w="2925" w:type="dxa"/>
          </w:tcPr>
          <w:p w:rsidR="00E378B5" w:rsidRPr="00C66231" w:rsidRDefault="00E378B5" w:rsidP="0042513E">
            <w:pPr>
              <w:jc w:val="center"/>
              <w:rPr>
                <w:rFonts w:ascii="Arial" w:hAnsi="Arial" w:cs="Arial"/>
                <w:b/>
                <w:sz w:val="22"/>
                <w:szCs w:val="22"/>
              </w:rPr>
            </w:pPr>
            <w:r w:rsidRPr="00C66231">
              <w:rPr>
                <w:rFonts w:ascii="Arial" w:hAnsi="Arial" w:cs="Arial"/>
                <w:b/>
                <w:sz w:val="22"/>
                <w:szCs w:val="22"/>
              </w:rPr>
              <w:t>Investment Decision Rule Guides</w:t>
            </w:r>
            <w:r w:rsidR="0042513E">
              <w:rPr>
                <w:rFonts w:ascii="Arial" w:hAnsi="Arial" w:cs="Arial"/>
                <w:b/>
                <w:sz w:val="22"/>
                <w:szCs w:val="22"/>
              </w:rPr>
              <w:t xml:space="preserve"> </w:t>
            </w:r>
            <w:r w:rsidRPr="00C66231">
              <w:rPr>
                <w:rFonts w:ascii="Arial" w:hAnsi="Arial" w:cs="Arial"/>
                <w:b/>
                <w:sz w:val="22"/>
                <w:szCs w:val="22"/>
              </w:rPr>
              <w:t>(est. 2015)</w:t>
            </w:r>
          </w:p>
        </w:tc>
      </w:tr>
      <w:tr w:rsidR="00E378B5" w:rsidRPr="00C66231" w:rsidTr="0042513E">
        <w:tc>
          <w:tcPr>
            <w:tcW w:w="6238" w:type="dxa"/>
          </w:tcPr>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 xml:space="preserve">Delivering productivity growth </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Growing knowledge intensive services</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Protecting biodiversity and heritage, both marine and terrestrial</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Cleaner and renewable energy technologies</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Ensuring sustainability of physical and especially digital infrastructure critical for research</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Building resilience and managing climate risk</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Supporting the translation of health and biotechnology research</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Improving health data management and services delivery</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Ensuring sustainable water use and delivering quality water and water security</w:t>
            </w:r>
          </w:p>
          <w:p w:rsidR="00E378B5" w:rsidRPr="00C66231" w:rsidRDefault="00E378B5" w:rsidP="000F22FE">
            <w:pPr>
              <w:pStyle w:val="ListParagraph"/>
              <w:numPr>
                <w:ilvl w:val="0"/>
                <w:numId w:val="23"/>
              </w:numPr>
              <w:suppressAutoHyphens/>
              <w:contextualSpacing w:val="0"/>
              <w:rPr>
                <w:rFonts w:ascii="Arial" w:hAnsi="Arial" w:cs="Arial"/>
                <w:sz w:val="22"/>
                <w:szCs w:val="22"/>
              </w:rPr>
            </w:pPr>
            <w:r w:rsidRPr="00C66231">
              <w:rPr>
                <w:rFonts w:ascii="Arial" w:hAnsi="Arial" w:cs="Arial"/>
                <w:sz w:val="22"/>
                <w:szCs w:val="22"/>
              </w:rPr>
              <w:t xml:space="preserve">The development and application of digitally-enabled technologies </w:t>
            </w:r>
          </w:p>
        </w:tc>
        <w:tc>
          <w:tcPr>
            <w:tcW w:w="2925" w:type="dxa"/>
          </w:tcPr>
          <w:p w:rsidR="00E378B5" w:rsidRPr="00C66231" w:rsidRDefault="00E378B5" w:rsidP="000F22FE">
            <w:pPr>
              <w:pStyle w:val="ListParagraph"/>
              <w:numPr>
                <w:ilvl w:val="0"/>
                <w:numId w:val="24"/>
              </w:numPr>
              <w:suppressAutoHyphens/>
              <w:contextualSpacing w:val="0"/>
              <w:rPr>
                <w:rFonts w:ascii="Arial" w:hAnsi="Arial" w:cs="Arial"/>
                <w:sz w:val="22"/>
                <w:szCs w:val="22"/>
              </w:rPr>
            </w:pPr>
            <w:r w:rsidRPr="00C66231">
              <w:rPr>
                <w:rFonts w:ascii="Arial" w:hAnsi="Arial" w:cs="Arial"/>
                <w:sz w:val="22"/>
                <w:szCs w:val="22"/>
              </w:rPr>
              <w:t>Real Future Impact</w:t>
            </w:r>
          </w:p>
          <w:p w:rsidR="00E378B5" w:rsidRPr="00C66231" w:rsidRDefault="00E378B5" w:rsidP="000F22FE">
            <w:pPr>
              <w:pStyle w:val="ListParagraph"/>
              <w:numPr>
                <w:ilvl w:val="0"/>
                <w:numId w:val="24"/>
              </w:numPr>
              <w:suppressAutoHyphens/>
              <w:contextualSpacing w:val="0"/>
              <w:rPr>
                <w:rFonts w:ascii="Arial" w:hAnsi="Arial" w:cs="Arial"/>
                <w:sz w:val="22"/>
                <w:szCs w:val="22"/>
              </w:rPr>
            </w:pPr>
            <w:r w:rsidRPr="00C66231">
              <w:rPr>
                <w:rFonts w:ascii="Arial" w:hAnsi="Arial" w:cs="Arial"/>
                <w:sz w:val="22"/>
                <w:szCs w:val="22"/>
              </w:rPr>
              <w:t>External Commitment</w:t>
            </w:r>
          </w:p>
          <w:p w:rsidR="00E378B5" w:rsidRPr="00C66231" w:rsidRDefault="00E378B5" w:rsidP="000F22FE">
            <w:pPr>
              <w:pStyle w:val="ListParagraph"/>
              <w:numPr>
                <w:ilvl w:val="0"/>
                <w:numId w:val="24"/>
              </w:numPr>
              <w:suppressAutoHyphens/>
              <w:contextualSpacing w:val="0"/>
              <w:rPr>
                <w:rFonts w:ascii="Arial" w:hAnsi="Arial" w:cs="Arial"/>
                <w:sz w:val="22"/>
                <w:szCs w:val="22"/>
              </w:rPr>
            </w:pPr>
            <w:r w:rsidRPr="00C66231">
              <w:rPr>
                <w:rFonts w:ascii="Arial" w:hAnsi="Arial" w:cs="Arial"/>
                <w:sz w:val="22"/>
                <w:szCs w:val="22"/>
              </w:rPr>
              <w:t>Distinctive Angle</w:t>
            </w:r>
          </w:p>
          <w:p w:rsidR="00E378B5" w:rsidRPr="0042513E" w:rsidRDefault="00E378B5" w:rsidP="00E378B5">
            <w:pPr>
              <w:pStyle w:val="ListParagraph"/>
              <w:numPr>
                <w:ilvl w:val="0"/>
                <w:numId w:val="24"/>
              </w:numPr>
              <w:suppressAutoHyphens/>
              <w:contextualSpacing w:val="0"/>
              <w:rPr>
                <w:rFonts w:ascii="Arial" w:hAnsi="Arial" w:cs="Arial"/>
                <w:sz w:val="22"/>
                <w:szCs w:val="22"/>
              </w:rPr>
            </w:pPr>
            <w:r w:rsidRPr="00C66231">
              <w:rPr>
                <w:rFonts w:ascii="Arial" w:hAnsi="Arial" w:cs="Arial"/>
                <w:sz w:val="22"/>
                <w:szCs w:val="22"/>
              </w:rPr>
              <w:t xml:space="preserve">Scaling towards Critical Mass  </w:t>
            </w:r>
          </w:p>
        </w:tc>
      </w:tr>
    </w:tbl>
    <w:p w:rsidR="00E378B5" w:rsidRDefault="00E378B5" w:rsidP="00E378B5">
      <w:pPr>
        <w:jc w:val="center"/>
        <w:rPr>
          <w:bCs/>
          <w:sz w:val="18"/>
          <w:szCs w:val="18"/>
          <w:lang w:val="en-GB"/>
        </w:rPr>
      </w:pPr>
      <w:r w:rsidRPr="00523208">
        <w:rPr>
          <w:rFonts w:ascii="Arial" w:hAnsi="Arial"/>
          <w:lang w:val="en-GB"/>
        </w:rPr>
        <w:t xml:space="preserve">Source: </w:t>
      </w:r>
      <w:r>
        <w:rPr>
          <w:rFonts w:ascii="Arial" w:hAnsi="Arial"/>
          <w:lang w:val="en-GB"/>
        </w:rPr>
        <w:t>Office of the Chief Scientist Queensland (2015)</w:t>
      </w:r>
    </w:p>
    <w:p w:rsidR="00E378B5" w:rsidRPr="00C66231" w:rsidRDefault="00E378B5" w:rsidP="00C66231">
      <w:pPr>
        <w:spacing w:after="240"/>
        <w:rPr>
          <w:rFonts w:ascii="Arial" w:hAnsi="Arial" w:cs="Arial"/>
          <w:b/>
          <w:sz w:val="40"/>
          <w:szCs w:val="40"/>
        </w:rPr>
      </w:pPr>
      <w:bookmarkStart w:id="186" w:name="_Toc476387740"/>
      <w:bookmarkStart w:id="187" w:name="_Toc486145232"/>
      <w:bookmarkStart w:id="188" w:name="_Toc486145341"/>
      <w:bookmarkStart w:id="189" w:name="_Toc486146257"/>
      <w:r w:rsidRPr="00C66231">
        <w:rPr>
          <w:rFonts w:ascii="Arial" w:hAnsi="Arial" w:cs="Arial"/>
          <w:b/>
          <w:sz w:val="40"/>
          <w:szCs w:val="40"/>
        </w:rPr>
        <w:t>6. Valuation of Impacts</w:t>
      </w:r>
      <w:bookmarkEnd w:id="186"/>
      <w:bookmarkEnd w:id="187"/>
      <w:bookmarkEnd w:id="188"/>
      <w:bookmarkEnd w:id="189"/>
      <w:r w:rsidRPr="00C66231">
        <w:rPr>
          <w:rFonts w:ascii="Arial" w:hAnsi="Arial" w:cs="Arial"/>
          <w:b/>
          <w:sz w:val="40"/>
          <w:szCs w:val="40"/>
        </w:rPr>
        <w:t xml:space="preserve"> </w:t>
      </w:r>
    </w:p>
    <w:p w:rsidR="00E378B5" w:rsidRPr="007013B8" w:rsidRDefault="00E378B5" w:rsidP="00F712CF">
      <w:pPr>
        <w:spacing w:after="240"/>
        <w:rPr>
          <w:rFonts w:ascii="Arial" w:hAnsi="Arial" w:cs="Arial"/>
          <w:b/>
          <w:sz w:val="24"/>
        </w:rPr>
      </w:pPr>
      <w:r w:rsidRPr="007013B8">
        <w:rPr>
          <w:rFonts w:ascii="Arial" w:hAnsi="Arial" w:cs="Arial"/>
          <w:b/>
          <w:sz w:val="24"/>
        </w:rPr>
        <w:t xml:space="preserve">Impacts Valued </w:t>
      </w:r>
    </w:p>
    <w:p w:rsidR="00E378B5" w:rsidRPr="001B23EE" w:rsidRDefault="00E378B5" w:rsidP="00F712CF">
      <w:pPr>
        <w:spacing w:after="240"/>
        <w:rPr>
          <w:rFonts w:ascii="Arial" w:hAnsi="Arial" w:cs="Arial"/>
        </w:rPr>
      </w:pPr>
      <w:r w:rsidRPr="001B23EE">
        <w:rPr>
          <w:rFonts w:ascii="Arial" w:hAnsi="Arial" w:cs="Arial"/>
        </w:rPr>
        <w:t xml:space="preserve">Analyses were undertaken for total benefits that included future expected benefits. A degree of conservatism was used when finalising assumptions, particularly when </w:t>
      </w:r>
      <w:r>
        <w:rPr>
          <w:rFonts w:ascii="Arial" w:hAnsi="Arial" w:cs="Arial"/>
        </w:rPr>
        <w:t xml:space="preserve">some </w:t>
      </w:r>
      <w:r w:rsidRPr="001B23EE">
        <w:rPr>
          <w:rFonts w:ascii="Arial" w:hAnsi="Arial" w:cs="Arial"/>
        </w:rPr>
        <w:t xml:space="preserve">uncertainty was involved. Sensitivity analyses were undertaken </w:t>
      </w:r>
      <w:r>
        <w:rPr>
          <w:rFonts w:ascii="Arial" w:hAnsi="Arial" w:cs="Arial"/>
        </w:rPr>
        <w:t xml:space="preserve">on the discount rate </w:t>
      </w:r>
      <w:r w:rsidRPr="0040310D">
        <w:rPr>
          <w:rFonts w:ascii="Arial" w:hAnsi="Arial" w:cs="Arial"/>
        </w:rPr>
        <w:t>and the probability of</w:t>
      </w:r>
      <w:r>
        <w:rPr>
          <w:rFonts w:ascii="Arial" w:hAnsi="Arial" w:cs="Arial"/>
        </w:rPr>
        <w:t xml:space="preserve"> </w:t>
      </w:r>
      <w:r w:rsidRPr="0040310D">
        <w:rPr>
          <w:rFonts w:ascii="Arial" w:hAnsi="Arial" w:cs="Arial"/>
        </w:rPr>
        <w:t xml:space="preserve">access </w:t>
      </w:r>
      <w:r>
        <w:rPr>
          <w:rFonts w:ascii="Arial" w:hAnsi="Arial" w:cs="Arial"/>
        </w:rPr>
        <w:t>to new markets as well as for an alternative counterfactual</w:t>
      </w:r>
      <w:r w:rsidRPr="001B23EE">
        <w:rPr>
          <w:rFonts w:ascii="Arial" w:hAnsi="Arial" w:cs="Arial"/>
        </w:rPr>
        <w:t>.</w:t>
      </w:r>
    </w:p>
    <w:p w:rsidR="00E378B5" w:rsidRPr="007A3D6C" w:rsidRDefault="00E378B5" w:rsidP="00F712CF">
      <w:pPr>
        <w:spacing w:after="240"/>
        <w:rPr>
          <w:rFonts w:ascii="Arial" w:hAnsi="Arial" w:cs="Arial"/>
          <w:color w:val="000000" w:themeColor="text1"/>
        </w:rPr>
      </w:pPr>
      <w:r>
        <w:rPr>
          <w:rFonts w:ascii="Arial" w:hAnsi="Arial" w:cs="Arial"/>
          <w:color w:val="000000" w:themeColor="text1"/>
        </w:rPr>
        <w:t xml:space="preserve">The single major benefit of the research project has been valued – </w:t>
      </w:r>
      <w:r w:rsidRPr="007A3D6C">
        <w:rPr>
          <w:rFonts w:ascii="Arial" w:hAnsi="Arial" w:cs="Arial"/>
          <w:color w:val="000000" w:themeColor="text1"/>
        </w:rPr>
        <w:t xml:space="preserve">growth in summerfruit export sales resulting in increased grower profit from sale of better quality fruit into Asian airfreight markets. </w:t>
      </w:r>
    </w:p>
    <w:p w:rsidR="00E378B5" w:rsidRPr="007013B8" w:rsidRDefault="00E378B5" w:rsidP="00F712CF">
      <w:pPr>
        <w:spacing w:after="240"/>
        <w:rPr>
          <w:rFonts w:ascii="Arial" w:hAnsi="Arial" w:cs="Arial"/>
          <w:b/>
          <w:sz w:val="24"/>
        </w:rPr>
      </w:pPr>
      <w:r w:rsidRPr="007013B8">
        <w:rPr>
          <w:rFonts w:ascii="Arial" w:hAnsi="Arial" w:cs="Arial"/>
          <w:b/>
          <w:sz w:val="24"/>
        </w:rPr>
        <w:t xml:space="preserve">Impacts </w:t>
      </w:r>
      <w:r>
        <w:rPr>
          <w:rFonts w:ascii="Arial" w:hAnsi="Arial" w:cs="Arial"/>
          <w:b/>
          <w:sz w:val="24"/>
        </w:rPr>
        <w:t>Not</w:t>
      </w:r>
      <w:r w:rsidRPr="007013B8">
        <w:rPr>
          <w:rFonts w:ascii="Arial" w:hAnsi="Arial" w:cs="Arial"/>
          <w:b/>
          <w:sz w:val="24"/>
        </w:rPr>
        <w:t xml:space="preserve"> Valued</w:t>
      </w:r>
    </w:p>
    <w:p w:rsidR="00E378B5" w:rsidRPr="00CD02AA" w:rsidRDefault="00E378B5" w:rsidP="00F712CF">
      <w:pPr>
        <w:spacing w:after="240"/>
        <w:rPr>
          <w:rFonts w:ascii="Arial" w:hAnsi="Arial" w:cs="Arial"/>
        </w:rPr>
      </w:pPr>
      <w:r w:rsidRPr="00CD02AA">
        <w:rPr>
          <w:rFonts w:ascii="Arial" w:hAnsi="Arial" w:cs="Arial"/>
        </w:rPr>
        <w:t xml:space="preserve">Not all impacts identified in Table 3 could be valued in the assessment. This was for various reasons </w:t>
      </w:r>
      <w:r w:rsidRPr="00F712CF">
        <w:rPr>
          <w:rFonts w:ascii="Arial" w:hAnsi="Arial" w:cs="Arial"/>
          <w:color w:val="000000" w:themeColor="text1"/>
        </w:rPr>
        <w:t>including</w:t>
      </w:r>
      <w:r w:rsidRPr="00CD02AA">
        <w:rPr>
          <w:rFonts w:ascii="Arial" w:hAnsi="Arial" w:cs="Arial"/>
        </w:rPr>
        <w:t xml:space="preserve"> time and resources, availability of baseline data, difficulty in quantifying the causal relationships between the research outputs and the specific impact, and the difficulty of placing credible monetary values on some of the environmental and social benefits.</w:t>
      </w:r>
    </w:p>
    <w:p w:rsidR="00E378B5" w:rsidRDefault="00E378B5" w:rsidP="00E378B5">
      <w:pPr>
        <w:rPr>
          <w:rFonts w:ascii="Arial" w:hAnsi="Arial" w:cs="Arial"/>
        </w:rPr>
      </w:pPr>
      <w:r w:rsidRPr="00CD02AA">
        <w:rPr>
          <w:rFonts w:ascii="Arial" w:hAnsi="Arial" w:cs="Arial"/>
        </w:rPr>
        <w:t>The economic impacts identified but not valued included:</w:t>
      </w:r>
    </w:p>
    <w:p w:rsidR="00F712CF" w:rsidRPr="00F712CF" w:rsidRDefault="00F712CF" w:rsidP="00F712CF">
      <w:pPr>
        <w:pStyle w:val="ListParagraph"/>
        <w:numPr>
          <w:ilvl w:val="0"/>
          <w:numId w:val="12"/>
        </w:numPr>
        <w:suppressAutoHyphens/>
        <w:spacing w:after="240"/>
        <w:contextualSpacing w:val="0"/>
        <w:rPr>
          <w:rFonts w:ascii="Arial" w:hAnsi="Arial" w:cs="Arial"/>
        </w:rPr>
      </w:pPr>
      <w:r>
        <w:rPr>
          <w:rFonts w:ascii="Arial" w:hAnsi="Arial" w:cs="Arial"/>
        </w:rPr>
        <w:t>Potential additional phytosanitary treatment options for other horticultural crops.</w:t>
      </w:r>
    </w:p>
    <w:p w:rsidR="00F712CF" w:rsidRDefault="00E378B5" w:rsidP="00F712CF">
      <w:pPr>
        <w:rPr>
          <w:rFonts w:ascii="Arial" w:hAnsi="Arial" w:cs="Arial"/>
        </w:rPr>
      </w:pPr>
      <w:r w:rsidRPr="00CD02AA">
        <w:rPr>
          <w:rFonts w:ascii="Arial" w:hAnsi="Arial" w:cs="Arial"/>
        </w:rPr>
        <w:t>The environmental impact identified but not valued was</w:t>
      </w:r>
      <w:r w:rsidR="00F712CF">
        <w:rPr>
          <w:rFonts w:ascii="Arial" w:hAnsi="Arial" w:cs="Arial"/>
        </w:rPr>
        <w:t>:</w:t>
      </w:r>
    </w:p>
    <w:p w:rsidR="00E378B5" w:rsidRPr="00F712CF" w:rsidRDefault="00F712CF" w:rsidP="00F712CF">
      <w:pPr>
        <w:pStyle w:val="ListParagraph"/>
        <w:numPr>
          <w:ilvl w:val="0"/>
          <w:numId w:val="12"/>
        </w:numPr>
        <w:spacing w:after="240"/>
        <w:rPr>
          <w:rFonts w:ascii="Arial" w:hAnsi="Arial" w:cs="Arial"/>
        </w:rPr>
      </w:pPr>
      <w:r>
        <w:rPr>
          <w:rFonts w:ascii="Arial" w:hAnsi="Arial" w:cs="Arial"/>
        </w:rPr>
        <w:t>T</w:t>
      </w:r>
      <w:r w:rsidR="00E378B5" w:rsidRPr="00F712CF">
        <w:rPr>
          <w:rFonts w:ascii="Arial" w:hAnsi="Arial" w:cs="Arial"/>
        </w:rPr>
        <w:t xml:space="preserve">he reduction in volume of ozone depleting substances used in phytosanitary treatments. </w:t>
      </w:r>
    </w:p>
    <w:p w:rsidR="00E378B5" w:rsidRPr="002202C5" w:rsidRDefault="00E378B5" w:rsidP="00E378B5">
      <w:pPr>
        <w:rPr>
          <w:rFonts w:ascii="Arial" w:hAnsi="Arial" w:cs="Arial"/>
        </w:rPr>
      </w:pPr>
      <w:r w:rsidRPr="002202C5">
        <w:rPr>
          <w:rFonts w:ascii="Arial" w:hAnsi="Arial" w:cs="Arial"/>
        </w:rPr>
        <w:t>The social impacts identified but not valued included:</w:t>
      </w:r>
    </w:p>
    <w:p w:rsidR="00E378B5" w:rsidRPr="00BC60A5" w:rsidRDefault="00E378B5" w:rsidP="000F22FE">
      <w:pPr>
        <w:pStyle w:val="ListParagraph"/>
        <w:numPr>
          <w:ilvl w:val="0"/>
          <w:numId w:val="12"/>
        </w:numPr>
        <w:suppressAutoHyphens/>
        <w:contextualSpacing w:val="0"/>
        <w:rPr>
          <w:rFonts w:ascii="Arial" w:hAnsi="Arial" w:cs="Arial"/>
          <w:szCs w:val="22"/>
        </w:rPr>
      </w:pPr>
      <w:r>
        <w:rPr>
          <w:rFonts w:ascii="Arial" w:hAnsi="Arial" w:cs="Arial"/>
          <w:szCs w:val="22"/>
        </w:rPr>
        <w:t>Improved workplace health and safety</w:t>
      </w:r>
    </w:p>
    <w:p w:rsidR="00E378B5" w:rsidRPr="002202C5" w:rsidRDefault="00E378B5" w:rsidP="000F22FE">
      <w:pPr>
        <w:pStyle w:val="ListParagraph"/>
        <w:numPr>
          <w:ilvl w:val="0"/>
          <w:numId w:val="12"/>
        </w:numPr>
        <w:suppressAutoHyphens/>
        <w:contextualSpacing w:val="0"/>
        <w:rPr>
          <w:rFonts w:ascii="Arial" w:hAnsi="Arial" w:cs="Arial"/>
          <w:szCs w:val="22"/>
        </w:rPr>
      </w:pPr>
      <w:r w:rsidRPr="002202C5">
        <w:rPr>
          <w:rFonts w:ascii="Arial" w:hAnsi="Arial" w:cs="Arial"/>
          <w:szCs w:val="22"/>
        </w:rPr>
        <w:t xml:space="preserve">Increased </w:t>
      </w:r>
      <w:r>
        <w:rPr>
          <w:rFonts w:ascii="Arial" w:hAnsi="Arial" w:cs="Arial"/>
          <w:szCs w:val="22"/>
        </w:rPr>
        <w:t xml:space="preserve">research </w:t>
      </w:r>
      <w:r w:rsidRPr="002202C5">
        <w:rPr>
          <w:rFonts w:ascii="Arial" w:hAnsi="Arial" w:cs="Arial"/>
          <w:szCs w:val="22"/>
        </w:rPr>
        <w:t>capacity</w:t>
      </w:r>
    </w:p>
    <w:p w:rsidR="00E378B5" w:rsidRPr="002202C5" w:rsidRDefault="00E378B5" w:rsidP="00F712CF">
      <w:pPr>
        <w:pStyle w:val="ListParagraph"/>
        <w:numPr>
          <w:ilvl w:val="0"/>
          <w:numId w:val="12"/>
        </w:numPr>
        <w:suppressAutoHyphens/>
        <w:spacing w:after="240"/>
        <w:contextualSpacing w:val="0"/>
        <w:rPr>
          <w:rFonts w:ascii="Arial" w:hAnsi="Arial" w:cs="Arial"/>
        </w:rPr>
      </w:pPr>
      <w:r w:rsidRPr="002202C5">
        <w:rPr>
          <w:rFonts w:ascii="Arial" w:hAnsi="Arial" w:cs="Arial"/>
          <w:szCs w:val="22"/>
        </w:rPr>
        <w:t>Increased regional incomes because of increased profitability of the Australian summerfruit industry</w:t>
      </w:r>
      <w:r w:rsidRPr="002202C5">
        <w:rPr>
          <w:rFonts w:ascii="Arial" w:hAnsi="Arial" w:cs="Arial"/>
        </w:rPr>
        <w:t>.</w:t>
      </w:r>
    </w:p>
    <w:p w:rsidR="00E378B5" w:rsidRPr="005415D5" w:rsidRDefault="00E378B5" w:rsidP="00F712CF">
      <w:pPr>
        <w:spacing w:after="240"/>
        <w:rPr>
          <w:rFonts w:ascii="Arial" w:hAnsi="Arial" w:cs="Arial"/>
          <w:b/>
          <w:sz w:val="24"/>
        </w:rPr>
      </w:pPr>
      <w:r w:rsidRPr="005415D5">
        <w:rPr>
          <w:rFonts w:ascii="Arial" w:hAnsi="Arial" w:cs="Arial"/>
          <w:b/>
          <w:sz w:val="24"/>
        </w:rPr>
        <w:t>Valuation of Benefit: Summerfruit Export</w:t>
      </w:r>
      <w:r>
        <w:rPr>
          <w:rFonts w:ascii="Arial" w:hAnsi="Arial" w:cs="Arial"/>
          <w:b/>
          <w:sz w:val="24"/>
        </w:rPr>
        <w:t xml:space="preserve"> Sales in Asian Airfreight Markets</w:t>
      </w:r>
    </w:p>
    <w:p w:rsidR="00E378B5" w:rsidRDefault="00E378B5" w:rsidP="00F712CF">
      <w:pPr>
        <w:spacing w:after="240"/>
        <w:rPr>
          <w:rFonts w:ascii="Arial" w:hAnsi="Arial" w:cs="Arial"/>
        </w:rPr>
      </w:pPr>
      <w:r w:rsidRPr="00BA5C5A">
        <w:rPr>
          <w:rFonts w:ascii="Arial" w:hAnsi="Arial" w:cs="Arial"/>
        </w:rPr>
        <w:t>The quantified benefit is export sales in Asian airfreight markets. Airfreight is one high priced component of total export sales into these markets with most fruit being delivered by seafreight. Seafreight fruit, with longer transit times necessitated by protocol fumigation requirements, may not have the shelf life and consumer attributes that command the same high price in Asia as niche airfreight sales.</w:t>
      </w:r>
    </w:p>
    <w:p w:rsidR="00E378B5" w:rsidRPr="005415D5" w:rsidRDefault="00E378B5" w:rsidP="00F712CF">
      <w:pPr>
        <w:spacing w:after="240"/>
        <w:rPr>
          <w:rFonts w:ascii="Arial" w:hAnsi="Arial" w:cs="Arial"/>
        </w:rPr>
      </w:pPr>
      <w:r>
        <w:rPr>
          <w:rFonts w:ascii="Arial" w:hAnsi="Arial" w:cs="Arial"/>
        </w:rPr>
        <w:t>N</w:t>
      </w:r>
      <w:r w:rsidRPr="005415D5">
        <w:rPr>
          <w:rFonts w:ascii="Arial" w:hAnsi="Arial" w:cs="Arial"/>
        </w:rPr>
        <w:t xml:space="preserve">ectarines </w:t>
      </w:r>
      <w:r>
        <w:rPr>
          <w:rFonts w:ascii="Arial" w:hAnsi="Arial" w:cs="Arial"/>
        </w:rPr>
        <w:t xml:space="preserve">and peaches </w:t>
      </w:r>
      <w:r w:rsidRPr="005415D5">
        <w:rPr>
          <w:rFonts w:ascii="Arial" w:hAnsi="Arial" w:cs="Arial"/>
        </w:rPr>
        <w:t xml:space="preserve">airfreighted to </w:t>
      </w:r>
      <w:r>
        <w:rPr>
          <w:rFonts w:ascii="Arial" w:hAnsi="Arial" w:cs="Arial"/>
        </w:rPr>
        <w:t xml:space="preserve">Asia are assumed to </w:t>
      </w:r>
      <w:r w:rsidRPr="005415D5">
        <w:rPr>
          <w:rFonts w:ascii="Arial" w:hAnsi="Arial" w:cs="Arial"/>
        </w:rPr>
        <w:t>achieve a</w:t>
      </w:r>
      <w:r>
        <w:rPr>
          <w:rFonts w:ascii="Arial" w:hAnsi="Arial" w:cs="Arial"/>
        </w:rPr>
        <w:t>n average</w:t>
      </w:r>
      <w:r w:rsidRPr="005415D5">
        <w:rPr>
          <w:rFonts w:ascii="Arial" w:hAnsi="Arial" w:cs="Arial"/>
        </w:rPr>
        <w:t xml:space="preserve"> farm-gate price of $3.</w:t>
      </w:r>
      <w:r>
        <w:rPr>
          <w:rFonts w:ascii="Arial" w:hAnsi="Arial" w:cs="Arial"/>
        </w:rPr>
        <w:t>55</w:t>
      </w:r>
      <w:r w:rsidRPr="005415D5">
        <w:rPr>
          <w:rFonts w:ascii="Arial" w:hAnsi="Arial" w:cs="Arial"/>
        </w:rPr>
        <w:t>/kg</w:t>
      </w:r>
      <w:r>
        <w:rPr>
          <w:rFonts w:ascii="Arial" w:hAnsi="Arial" w:cs="Arial"/>
        </w:rPr>
        <w:t>. Phytosanitary treatment costs for export, including low dose methyl bromide, cost $0.05/kg. T</w:t>
      </w:r>
      <w:r w:rsidRPr="005415D5">
        <w:rPr>
          <w:rFonts w:ascii="Arial" w:hAnsi="Arial" w:cs="Arial"/>
        </w:rPr>
        <w:t xml:space="preserve">he next best alternative price for </w:t>
      </w:r>
      <w:r>
        <w:rPr>
          <w:rFonts w:ascii="Arial" w:hAnsi="Arial" w:cs="Arial"/>
        </w:rPr>
        <w:t xml:space="preserve">nectarines and peaches </w:t>
      </w:r>
      <w:r w:rsidRPr="005415D5">
        <w:rPr>
          <w:rFonts w:ascii="Arial" w:hAnsi="Arial" w:cs="Arial"/>
        </w:rPr>
        <w:t xml:space="preserve">is </w:t>
      </w:r>
      <w:r>
        <w:rPr>
          <w:rFonts w:ascii="Arial" w:hAnsi="Arial" w:cs="Arial"/>
        </w:rPr>
        <w:t xml:space="preserve">farm-gate </w:t>
      </w:r>
      <w:r w:rsidRPr="005415D5">
        <w:rPr>
          <w:rFonts w:ascii="Arial" w:hAnsi="Arial" w:cs="Arial"/>
        </w:rPr>
        <w:t xml:space="preserve">$2.00/kg </w:t>
      </w:r>
      <w:r>
        <w:rPr>
          <w:rFonts w:ascii="Arial" w:hAnsi="Arial" w:cs="Arial"/>
        </w:rPr>
        <w:t xml:space="preserve">when they are destined for either </w:t>
      </w:r>
      <w:r w:rsidRPr="005415D5">
        <w:rPr>
          <w:rFonts w:ascii="Arial" w:hAnsi="Arial" w:cs="Arial"/>
        </w:rPr>
        <w:t xml:space="preserve">the </w:t>
      </w:r>
      <w:r>
        <w:rPr>
          <w:rFonts w:ascii="Arial" w:hAnsi="Arial" w:cs="Arial"/>
        </w:rPr>
        <w:t xml:space="preserve">seafreight or </w:t>
      </w:r>
      <w:r w:rsidRPr="005415D5">
        <w:rPr>
          <w:rFonts w:ascii="Arial" w:hAnsi="Arial" w:cs="Arial"/>
        </w:rPr>
        <w:t>domestic market</w:t>
      </w:r>
      <w:r>
        <w:rPr>
          <w:rFonts w:ascii="Arial" w:hAnsi="Arial" w:cs="Arial"/>
        </w:rPr>
        <w:t>. Airfreight supply to Asia nets an additional $1.50/kg.</w:t>
      </w:r>
    </w:p>
    <w:p w:rsidR="00E378B5" w:rsidRPr="005415D5" w:rsidRDefault="00E378B5" w:rsidP="00F712CF">
      <w:pPr>
        <w:spacing w:after="240"/>
        <w:rPr>
          <w:rFonts w:ascii="Arial" w:hAnsi="Arial" w:cs="Arial"/>
        </w:rPr>
      </w:pPr>
      <w:r>
        <w:rPr>
          <w:rFonts w:ascii="Arial" w:hAnsi="Arial" w:cs="Arial"/>
        </w:rPr>
        <w:t>In 2016-17, the first year of the Australian trade with China, it is estimated that by season’s end, fifteen airfreight containers each carrying one hundred and forty 10kg trays of nectarines will be exported to China, a total of 21,000kg of nectarines. Peaches, it is anticipated, will be exported to China by airfreight in 2017-18.</w:t>
      </w:r>
    </w:p>
    <w:p w:rsidR="00E378B5" w:rsidRDefault="00E378B5" w:rsidP="00F712CF">
      <w:pPr>
        <w:spacing w:after="240"/>
        <w:rPr>
          <w:rFonts w:ascii="Arial" w:hAnsi="Arial" w:cs="Arial"/>
        </w:rPr>
      </w:pPr>
      <w:r>
        <w:rPr>
          <w:rFonts w:ascii="Arial" w:hAnsi="Arial" w:cs="Arial"/>
        </w:rPr>
        <w:t>Up to the time of writing in March 2017, 2016-17 had been was a difficult year for Australian summerfruit growers with a slow start to the spring and poor fruit quality. A major investment was made in promoting Australian nectarines in China and wholesale market launches were regarded as successful (</w:t>
      </w:r>
      <w:r w:rsidRPr="00E43E3C">
        <w:rPr>
          <w:rFonts w:ascii="Arial" w:hAnsi="Arial" w:cs="Arial"/>
        </w:rPr>
        <w:t>Moore</w:t>
      </w:r>
      <w:r>
        <w:rPr>
          <w:rFonts w:ascii="Arial" w:hAnsi="Arial" w:cs="Arial"/>
        </w:rPr>
        <w:t xml:space="preserve">, </w:t>
      </w:r>
      <w:r w:rsidRPr="00E43E3C">
        <w:rPr>
          <w:rFonts w:ascii="Arial" w:hAnsi="Arial" w:cs="Arial"/>
        </w:rPr>
        <w:t>2016)</w:t>
      </w:r>
      <w:r>
        <w:rPr>
          <w:rFonts w:ascii="Arial" w:hAnsi="Arial" w:cs="Arial"/>
        </w:rPr>
        <w:t>. In subsequent years, the volume of Australian nectarines airfreighted to China is expected to grow off the base established in 2016-17.</w:t>
      </w:r>
    </w:p>
    <w:p w:rsidR="00E378B5" w:rsidRDefault="00E378B5" w:rsidP="00F712CF">
      <w:pPr>
        <w:spacing w:after="240"/>
        <w:rPr>
          <w:rFonts w:ascii="Arial" w:hAnsi="Arial" w:cs="Arial"/>
        </w:rPr>
      </w:pPr>
      <w:r>
        <w:rPr>
          <w:rFonts w:ascii="Arial" w:hAnsi="Arial" w:cs="Arial"/>
        </w:rPr>
        <w:t xml:space="preserve">In addition to the fledgling trade in nectarines to China, protocols for airfreight of peaches to China and nectarines and peaches to other Asian destinations are anticipated. The year access is first achieved and estimated first year sales are shown in Table </w:t>
      </w:r>
      <w:r w:rsidRPr="00BA5C5A">
        <w:rPr>
          <w:rFonts w:ascii="Arial" w:hAnsi="Arial" w:cs="Arial"/>
        </w:rPr>
        <w:t xml:space="preserve">6. Table 6 also shows a </w:t>
      </w:r>
      <w:r>
        <w:rPr>
          <w:rFonts w:ascii="Arial" w:hAnsi="Arial" w:cs="Arial"/>
        </w:rPr>
        <w:t>‘</w:t>
      </w:r>
      <w:r w:rsidRPr="00BA5C5A">
        <w:rPr>
          <w:rFonts w:ascii="Arial" w:hAnsi="Arial" w:cs="Arial"/>
        </w:rPr>
        <w:t>likelihood of occurrence</w:t>
      </w:r>
      <w:r>
        <w:rPr>
          <w:rFonts w:ascii="Arial" w:hAnsi="Arial" w:cs="Arial"/>
        </w:rPr>
        <w:t>’</w:t>
      </w:r>
      <w:r w:rsidRPr="00BA5C5A">
        <w:rPr>
          <w:rFonts w:ascii="Arial" w:hAnsi="Arial" w:cs="Arial"/>
        </w:rPr>
        <w:t xml:space="preserve"> factor given that access is not assured.</w:t>
      </w:r>
    </w:p>
    <w:p w:rsidR="00E378B5" w:rsidRPr="006B0F06" w:rsidRDefault="00E378B5" w:rsidP="00F712CF">
      <w:pPr>
        <w:spacing w:after="240"/>
        <w:rPr>
          <w:rFonts w:ascii="Arial" w:hAnsi="Arial" w:cs="Arial"/>
          <w:b/>
          <w:color w:val="000000" w:themeColor="text1"/>
          <w:sz w:val="24"/>
        </w:rPr>
      </w:pPr>
      <w:r w:rsidRPr="006B0F06">
        <w:rPr>
          <w:rFonts w:ascii="Arial" w:hAnsi="Arial" w:cs="Arial"/>
          <w:b/>
          <w:color w:val="000000" w:themeColor="text1"/>
          <w:sz w:val="24"/>
        </w:rPr>
        <w:t xml:space="preserve">Counterfactual </w:t>
      </w:r>
    </w:p>
    <w:p w:rsidR="00E378B5" w:rsidRPr="006B0F06" w:rsidRDefault="00E378B5" w:rsidP="00F712CF">
      <w:pPr>
        <w:spacing w:after="240"/>
        <w:rPr>
          <w:rFonts w:ascii="Arial" w:hAnsi="Arial" w:cs="Arial"/>
        </w:rPr>
      </w:pPr>
      <w:r w:rsidRPr="006B0F06">
        <w:rPr>
          <w:rFonts w:ascii="Arial" w:hAnsi="Arial" w:cs="Arial"/>
        </w:rPr>
        <w:t>If this project had not been funded, it is assumed that no airfreight protocol for export of nectarines and peaches into Asia would have been developed</w:t>
      </w:r>
      <w:r>
        <w:rPr>
          <w:rFonts w:ascii="Arial" w:hAnsi="Arial" w:cs="Arial"/>
        </w:rPr>
        <w:t xml:space="preserve"> during the analysis period</w:t>
      </w:r>
      <w:r w:rsidRPr="006B0F06">
        <w:rPr>
          <w:rFonts w:ascii="Arial" w:hAnsi="Arial" w:cs="Arial"/>
        </w:rPr>
        <w:t xml:space="preserve">. </w:t>
      </w:r>
      <w:r>
        <w:rPr>
          <w:rFonts w:ascii="Arial" w:hAnsi="Arial" w:cs="Arial"/>
        </w:rPr>
        <w:t xml:space="preserve">Industry would have relied on seafreight. </w:t>
      </w:r>
      <w:r w:rsidRPr="006B0F06">
        <w:rPr>
          <w:rFonts w:ascii="Arial" w:hAnsi="Arial" w:cs="Arial"/>
        </w:rPr>
        <w:t>An alternative counterfactual is that an irradiation plant is built at the Melbourne wholesale markets</w:t>
      </w:r>
      <w:r>
        <w:rPr>
          <w:rFonts w:ascii="Arial" w:hAnsi="Arial" w:cs="Arial"/>
        </w:rPr>
        <w:t>. In this scenario</w:t>
      </w:r>
      <w:r w:rsidRPr="006B0F06">
        <w:rPr>
          <w:rFonts w:ascii="Arial" w:hAnsi="Arial" w:cs="Arial"/>
        </w:rPr>
        <w:t>, the W</w:t>
      </w:r>
      <w:r>
        <w:rPr>
          <w:rFonts w:ascii="Arial" w:hAnsi="Arial" w:cs="Arial"/>
        </w:rPr>
        <w:t xml:space="preserve">orld </w:t>
      </w:r>
      <w:r w:rsidRPr="006B0F06">
        <w:rPr>
          <w:rFonts w:ascii="Arial" w:hAnsi="Arial" w:cs="Arial"/>
        </w:rPr>
        <w:t>T</w:t>
      </w:r>
      <w:r>
        <w:rPr>
          <w:rFonts w:ascii="Arial" w:hAnsi="Arial" w:cs="Arial"/>
        </w:rPr>
        <w:t xml:space="preserve">rade </w:t>
      </w:r>
      <w:r w:rsidRPr="006B0F06">
        <w:rPr>
          <w:rFonts w:ascii="Arial" w:hAnsi="Arial" w:cs="Arial"/>
        </w:rPr>
        <w:t>O</w:t>
      </w:r>
      <w:r>
        <w:rPr>
          <w:rFonts w:ascii="Arial" w:hAnsi="Arial" w:cs="Arial"/>
        </w:rPr>
        <w:t>rganisation</w:t>
      </w:r>
      <w:r w:rsidRPr="006B0F06">
        <w:rPr>
          <w:rFonts w:ascii="Arial" w:hAnsi="Arial" w:cs="Arial"/>
        </w:rPr>
        <w:t xml:space="preserve">’s preference for non-methyl bromide fumigation prevails and Asian countries accept irradiated nectarines and peaches in their markets. Assumptions for both the base and alternative counterfactual are provided in Table 6. </w:t>
      </w:r>
    </w:p>
    <w:p w:rsidR="00E378B5" w:rsidRPr="00741F23" w:rsidRDefault="00E378B5" w:rsidP="00F712CF">
      <w:pPr>
        <w:spacing w:after="240"/>
        <w:rPr>
          <w:rFonts w:ascii="Arial" w:hAnsi="Arial" w:cs="Arial"/>
          <w:b/>
          <w:color w:val="000000" w:themeColor="text1"/>
          <w:sz w:val="24"/>
        </w:rPr>
      </w:pPr>
      <w:r w:rsidRPr="00741F23">
        <w:rPr>
          <w:rFonts w:ascii="Arial" w:hAnsi="Arial" w:cs="Arial"/>
          <w:b/>
          <w:color w:val="000000" w:themeColor="text1"/>
          <w:sz w:val="24"/>
        </w:rPr>
        <w:t xml:space="preserve">Attribution  </w:t>
      </w:r>
    </w:p>
    <w:p w:rsidR="00E378B5" w:rsidRPr="00741F23" w:rsidRDefault="00E378B5" w:rsidP="00F712CF">
      <w:pPr>
        <w:spacing w:after="240"/>
        <w:rPr>
          <w:rFonts w:ascii="Arial" w:hAnsi="Arial" w:cs="Arial"/>
          <w:color w:val="000000" w:themeColor="text1"/>
        </w:rPr>
      </w:pPr>
      <w:r w:rsidRPr="00741F23">
        <w:rPr>
          <w:rFonts w:ascii="Arial" w:hAnsi="Arial" w:cs="Arial"/>
          <w:color w:val="000000" w:themeColor="text1"/>
        </w:rPr>
        <w:t xml:space="preserve">There is no other research contributing to anticipated impacts and a high attribution to the DAF project has </w:t>
      </w:r>
      <w:r w:rsidRPr="00F712CF">
        <w:rPr>
          <w:rFonts w:ascii="Arial" w:hAnsi="Arial" w:cs="Arial"/>
        </w:rPr>
        <w:t>been</w:t>
      </w:r>
      <w:r w:rsidRPr="00741F23">
        <w:rPr>
          <w:rFonts w:ascii="Arial" w:hAnsi="Arial" w:cs="Arial"/>
          <w:color w:val="000000" w:themeColor="text1"/>
        </w:rPr>
        <w:t xml:space="preserve"> assumed.</w:t>
      </w:r>
    </w:p>
    <w:p w:rsidR="00E378B5" w:rsidRPr="00741F23" w:rsidRDefault="00E378B5" w:rsidP="00F712CF">
      <w:pPr>
        <w:spacing w:after="240"/>
        <w:rPr>
          <w:rFonts w:ascii="Arial" w:hAnsi="Arial" w:cs="Arial"/>
          <w:b/>
          <w:color w:val="000000" w:themeColor="text1"/>
          <w:sz w:val="24"/>
        </w:rPr>
      </w:pPr>
      <w:r w:rsidRPr="00741F23">
        <w:rPr>
          <w:rFonts w:ascii="Arial" w:hAnsi="Arial" w:cs="Arial"/>
          <w:b/>
          <w:color w:val="000000" w:themeColor="text1"/>
          <w:sz w:val="24"/>
        </w:rPr>
        <w:t xml:space="preserve">Extension </w:t>
      </w:r>
    </w:p>
    <w:p w:rsidR="00E378B5" w:rsidRPr="00741F23" w:rsidRDefault="00E378B5" w:rsidP="00F712CF">
      <w:pPr>
        <w:spacing w:after="240"/>
        <w:rPr>
          <w:rFonts w:ascii="Arial" w:hAnsi="Arial" w:cs="Arial"/>
          <w:color w:val="FF0000"/>
        </w:rPr>
      </w:pPr>
      <w:r w:rsidRPr="00741F23">
        <w:rPr>
          <w:rFonts w:ascii="Arial" w:hAnsi="Arial" w:cs="Arial"/>
          <w:color w:val="000000" w:themeColor="text1"/>
        </w:rPr>
        <w:t xml:space="preserve">An allowance has been made in the analysis for communicating relevant research packages to quarantine </w:t>
      </w:r>
      <w:r w:rsidRPr="00741F23">
        <w:rPr>
          <w:rFonts w:ascii="Arial" w:hAnsi="Arial" w:cs="Arial"/>
        </w:rPr>
        <w:t>authorities in Asia</w:t>
      </w:r>
      <w:r w:rsidRPr="00741F23">
        <w:rPr>
          <w:rFonts w:ascii="Arial" w:hAnsi="Arial" w:cs="Arial"/>
          <w:color w:val="000000" w:themeColor="text1"/>
        </w:rPr>
        <w:t xml:space="preserve">. Australian summerfruit exporters, and growers, are well aware of the opportunity presented and numerous press releases have been made by DAWR. </w:t>
      </w:r>
      <w:r>
        <w:rPr>
          <w:rFonts w:ascii="Arial" w:hAnsi="Arial" w:cs="Arial"/>
          <w:color w:val="000000" w:themeColor="text1"/>
        </w:rPr>
        <w:t xml:space="preserve">An estimate of </w:t>
      </w:r>
      <w:r w:rsidRPr="00741F23">
        <w:rPr>
          <w:rFonts w:ascii="Arial" w:hAnsi="Arial" w:cs="Arial"/>
          <w:color w:val="000000" w:themeColor="text1"/>
        </w:rPr>
        <w:t xml:space="preserve">the cost of these press releases has been included in </w:t>
      </w:r>
      <w:r>
        <w:rPr>
          <w:rFonts w:ascii="Arial" w:hAnsi="Arial" w:cs="Arial"/>
          <w:color w:val="000000" w:themeColor="text1"/>
        </w:rPr>
        <w:t>‘</w:t>
      </w:r>
      <w:r w:rsidRPr="00741F23">
        <w:rPr>
          <w:rFonts w:ascii="Arial" w:hAnsi="Arial" w:cs="Arial"/>
          <w:color w:val="000000" w:themeColor="text1"/>
        </w:rPr>
        <w:t>extension</w:t>
      </w:r>
      <w:r>
        <w:rPr>
          <w:rFonts w:ascii="Arial" w:hAnsi="Arial" w:cs="Arial"/>
          <w:color w:val="000000" w:themeColor="text1"/>
        </w:rPr>
        <w:t>’</w:t>
      </w:r>
      <w:r w:rsidRPr="00741F23">
        <w:rPr>
          <w:rFonts w:ascii="Arial" w:hAnsi="Arial" w:cs="Arial"/>
          <w:color w:val="000000" w:themeColor="text1"/>
        </w:rPr>
        <w:t xml:space="preserve"> costs.</w:t>
      </w:r>
    </w:p>
    <w:p w:rsidR="00E378B5" w:rsidRPr="000F4ABC" w:rsidRDefault="00E378B5" w:rsidP="00F712CF">
      <w:pPr>
        <w:spacing w:after="240"/>
        <w:rPr>
          <w:rFonts w:ascii="Arial" w:hAnsi="Arial" w:cs="Arial"/>
          <w:b/>
          <w:color w:val="000000" w:themeColor="text1"/>
          <w:sz w:val="24"/>
        </w:rPr>
      </w:pPr>
      <w:r w:rsidRPr="000F4ABC">
        <w:rPr>
          <w:rFonts w:ascii="Arial" w:hAnsi="Arial" w:cs="Arial"/>
          <w:b/>
          <w:color w:val="000000" w:themeColor="text1"/>
          <w:sz w:val="24"/>
        </w:rPr>
        <w:t>Summary of Assumptions</w:t>
      </w:r>
    </w:p>
    <w:p w:rsidR="00C66231" w:rsidRDefault="00E378B5" w:rsidP="00F712CF">
      <w:pPr>
        <w:spacing w:after="240"/>
        <w:rPr>
          <w:rFonts w:ascii="Arial" w:hAnsi="Arial" w:cs="Arial"/>
          <w:color w:val="000000" w:themeColor="text1"/>
        </w:rPr>
      </w:pPr>
      <w:r w:rsidRPr="000F4ABC">
        <w:rPr>
          <w:rFonts w:ascii="Arial" w:hAnsi="Arial" w:cs="Arial"/>
          <w:color w:val="000000" w:themeColor="text1"/>
        </w:rPr>
        <w:t xml:space="preserve">A summary of the key assumptions made for valuation of the impacts is shown in </w:t>
      </w:r>
      <w:r w:rsidRPr="000F4ABC">
        <w:rPr>
          <w:rFonts w:ascii="Arial" w:hAnsi="Arial" w:cs="Arial"/>
        </w:rPr>
        <w:t>Table 6.</w:t>
      </w:r>
      <w:r w:rsidRPr="000F4ABC">
        <w:rPr>
          <w:rFonts w:ascii="Arial" w:hAnsi="Arial" w:cs="Arial"/>
          <w:color w:val="000000" w:themeColor="text1"/>
        </w:rPr>
        <w:t xml:space="preserve"> </w:t>
      </w:r>
    </w:p>
    <w:p w:rsidR="00E378B5" w:rsidRPr="00C66231" w:rsidRDefault="00E378B5" w:rsidP="00C66231">
      <w:pPr>
        <w:pStyle w:val="Caption"/>
        <w:spacing w:after="240"/>
        <w:jc w:val="center"/>
        <w:rPr>
          <w:rFonts w:ascii="Arial" w:hAnsi="Arial"/>
          <w:b w:val="0"/>
          <w:i/>
          <w:color w:val="000000" w:themeColor="text1"/>
          <w:sz w:val="22"/>
          <w:szCs w:val="22"/>
        </w:rPr>
      </w:pPr>
      <w:bookmarkStart w:id="190" w:name="_Toc476632579"/>
      <w:r w:rsidRPr="00C66231">
        <w:rPr>
          <w:rFonts w:ascii="Arial" w:hAnsi="Arial"/>
          <w:b w:val="0"/>
          <w:color w:val="000000" w:themeColor="text1"/>
          <w:sz w:val="22"/>
          <w:szCs w:val="22"/>
        </w:rPr>
        <w:t xml:space="preserve">Table </w:t>
      </w:r>
      <w:r w:rsidR="003147F5" w:rsidRPr="003147F5">
        <w:rPr>
          <w:rFonts w:ascii="Arial" w:hAnsi="Arial"/>
          <w:b w:val="0"/>
          <w:color w:val="000000" w:themeColor="text1"/>
          <w:sz w:val="22"/>
          <w:szCs w:val="22"/>
        </w:rPr>
        <w:t>6</w:t>
      </w:r>
      <w:r w:rsidRPr="00C66231">
        <w:rPr>
          <w:rFonts w:ascii="Arial" w:hAnsi="Arial"/>
          <w:b w:val="0"/>
          <w:color w:val="000000" w:themeColor="text1"/>
          <w:sz w:val="22"/>
          <w:szCs w:val="22"/>
        </w:rPr>
        <w:t>: Summary of Assumptions</w:t>
      </w:r>
      <w:bookmarkEnd w:id="190"/>
    </w:p>
    <w:tbl>
      <w:tblPr>
        <w:tblStyle w:val="TableGrid"/>
        <w:tblW w:w="9586" w:type="dxa"/>
        <w:jc w:val="center"/>
        <w:tblLook w:val="04A0" w:firstRow="1" w:lastRow="0" w:firstColumn="1" w:lastColumn="0" w:noHBand="0" w:noVBand="1"/>
      </w:tblPr>
      <w:tblGrid>
        <w:gridCol w:w="1865"/>
        <w:gridCol w:w="828"/>
        <w:gridCol w:w="991"/>
        <w:gridCol w:w="253"/>
        <w:gridCol w:w="739"/>
        <w:gridCol w:w="992"/>
        <w:gridCol w:w="334"/>
        <w:gridCol w:w="657"/>
        <w:gridCol w:w="992"/>
        <w:gridCol w:w="993"/>
        <w:gridCol w:w="942"/>
      </w:tblGrid>
      <w:tr w:rsidR="00E378B5" w:rsidRPr="001D6660" w:rsidTr="00E378B5">
        <w:trPr>
          <w:jc w:val="center"/>
        </w:trPr>
        <w:tc>
          <w:tcPr>
            <w:tcW w:w="3937" w:type="dxa"/>
            <w:gridSpan w:val="4"/>
          </w:tcPr>
          <w:p w:rsidR="00E378B5" w:rsidRPr="001D6660" w:rsidRDefault="00E378B5" w:rsidP="00E378B5">
            <w:pPr>
              <w:rPr>
                <w:rFonts w:ascii="Arial" w:hAnsi="Arial" w:cs="Arial"/>
                <w:b/>
                <w:color w:val="000000" w:themeColor="text1"/>
                <w:sz w:val="22"/>
                <w:szCs w:val="22"/>
              </w:rPr>
            </w:pPr>
            <w:r w:rsidRPr="001D6660">
              <w:rPr>
                <w:rFonts w:ascii="Arial" w:hAnsi="Arial" w:cs="Arial"/>
                <w:b/>
                <w:color w:val="000000" w:themeColor="text1"/>
                <w:sz w:val="22"/>
                <w:szCs w:val="22"/>
              </w:rPr>
              <w:t xml:space="preserve">Variable </w:t>
            </w:r>
          </w:p>
        </w:tc>
        <w:tc>
          <w:tcPr>
            <w:tcW w:w="2065" w:type="dxa"/>
            <w:gridSpan w:val="3"/>
          </w:tcPr>
          <w:p w:rsidR="00E378B5" w:rsidRPr="001D6660" w:rsidRDefault="00E378B5" w:rsidP="00E378B5">
            <w:pPr>
              <w:jc w:val="center"/>
              <w:rPr>
                <w:rFonts w:ascii="Arial" w:hAnsi="Arial" w:cs="Arial"/>
                <w:b/>
                <w:color w:val="000000" w:themeColor="text1"/>
                <w:sz w:val="22"/>
                <w:szCs w:val="22"/>
              </w:rPr>
            </w:pPr>
            <w:r w:rsidRPr="001D6660">
              <w:rPr>
                <w:rFonts w:ascii="Arial" w:hAnsi="Arial" w:cs="Arial"/>
                <w:b/>
                <w:color w:val="000000" w:themeColor="text1"/>
                <w:sz w:val="22"/>
                <w:szCs w:val="22"/>
              </w:rPr>
              <w:t>Assumption</w:t>
            </w:r>
          </w:p>
        </w:tc>
        <w:tc>
          <w:tcPr>
            <w:tcW w:w="3584" w:type="dxa"/>
            <w:gridSpan w:val="4"/>
          </w:tcPr>
          <w:p w:rsidR="00E378B5" w:rsidRPr="001D6660" w:rsidRDefault="00E378B5" w:rsidP="00E378B5">
            <w:pPr>
              <w:jc w:val="center"/>
              <w:rPr>
                <w:rFonts w:ascii="Arial" w:hAnsi="Arial" w:cs="Arial"/>
                <w:b/>
                <w:color w:val="000000" w:themeColor="text1"/>
                <w:sz w:val="22"/>
                <w:szCs w:val="22"/>
              </w:rPr>
            </w:pPr>
            <w:r w:rsidRPr="001D6660">
              <w:rPr>
                <w:rFonts w:ascii="Arial" w:hAnsi="Arial" w:cs="Arial"/>
                <w:b/>
                <w:color w:val="000000" w:themeColor="text1"/>
                <w:sz w:val="22"/>
                <w:szCs w:val="22"/>
              </w:rPr>
              <w:t>Source</w:t>
            </w:r>
          </w:p>
        </w:tc>
      </w:tr>
      <w:tr w:rsidR="00E378B5" w:rsidRPr="004A7CFA" w:rsidTr="00E378B5">
        <w:trPr>
          <w:jc w:val="center"/>
        </w:trPr>
        <w:tc>
          <w:tcPr>
            <w:tcW w:w="9586" w:type="dxa"/>
            <w:gridSpan w:val="11"/>
          </w:tcPr>
          <w:p w:rsidR="00E378B5" w:rsidRPr="001D6660" w:rsidRDefault="00E378B5" w:rsidP="00E378B5">
            <w:pPr>
              <w:rPr>
                <w:rFonts w:ascii="Arial" w:hAnsi="Arial" w:cs="Arial"/>
                <w:b/>
                <w:color w:val="000000" w:themeColor="text1"/>
                <w:sz w:val="22"/>
                <w:szCs w:val="22"/>
              </w:rPr>
            </w:pPr>
            <w:r w:rsidRPr="001D6660">
              <w:rPr>
                <w:rFonts w:ascii="Arial" w:hAnsi="Arial" w:cs="Arial"/>
                <w:b/>
                <w:color w:val="000000" w:themeColor="text1"/>
                <w:sz w:val="22"/>
                <w:szCs w:val="22"/>
              </w:rPr>
              <w:t xml:space="preserve">BASE COUNTERFACTUAL: </w:t>
            </w:r>
            <w:r>
              <w:rPr>
                <w:rFonts w:ascii="Arial" w:hAnsi="Arial" w:cs="Arial"/>
                <w:b/>
                <w:color w:val="000000" w:themeColor="text1"/>
                <w:sz w:val="22"/>
                <w:szCs w:val="22"/>
              </w:rPr>
              <w:t xml:space="preserve">Seafreight cold treatment for summerfruit exported to Asia would have continued as the appropriate disinfestation technology </w:t>
            </w:r>
            <w:r w:rsidRPr="001D6660">
              <w:rPr>
                <w:rFonts w:ascii="Arial" w:hAnsi="Arial" w:cs="Arial"/>
                <w:b/>
                <w:color w:val="000000" w:themeColor="text1"/>
                <w:sz w:val="22"/>
                <w:szCs w:val="22"/>
              </w:rPr>
              <w:t xml:space="preserve"> </w:t>
            </w:r>
          </w:p>
        </w:tc>
      </w:tr>
      <w:tr w:rsidR="00E378B5" w:rsidRPr="004A7CFA" w:rsidTr="00E378B5">
        <w:trPr>
          <w:jc w:val="center"/>
        </w:trPr>
        <w:tc>
          <w:tcPr>
            <w:tcW w:w="9586" w:type="dxa"/>
            <w:gridSpan w:val="11"/>
          </w:tcPr>
          <w:p w:rsidR="00E378B5" w:rsidRPr="004A7CFA" w:rsidRDefault="00E378B5" w:rsidP="00E378B5">
            <w:pPr>
              <w:rPr>
                <w:rFonts w:ascii="Arial" w:hAnsi="Arial" w:cs="Arial"/>
                <w:b/>
                <w:color w:val="000000" w:themeColor="text1"/>
                <w:sz w:val="22"/>
                <w:szCs w:val="22"/>
                <w:highlight w:val="yellow"/>
              </w:rPr>
            </w:pPr>
            <w:r w:rsidRPr="00584B05">
              <w:rPr>
                <w:rFonts w:ascii="Arial" w:hAnsi="Arial" w:cs="Arial"/>
                <w:b/>
                <w:color w:val="000000" w:themeColor="text1"/>
                <w:sz w:val="22"/>
                <w:szCs w:val="22"/>
              </w:rPr>
              <w:t>Benefit: Summerfruit Export</w:t>
            </w:r>
            <w:r>
              <w:rPr>
                <w:rFonts w:ascii="Arial" w:hAnsi="Arial" w:cs="Arial"/>
                <w:b/>
                <w:color w:val="000000" w:themeColor="text1"/>
                <w:sz w:val="22"/>
                <w:szCs w:val="22"/>
              </w:rPr>
              <w:t xml:space="preserve"> Sales in Asian Airfreight Markets </w:t>
            </w:r>
          </w:p>
        </w:tc>
      </w:tr>
      <w:tr w:rsidR="00E378B5" w:rsidRPr="004A7CFA" w:rsidTr="00E378B5">
        <w:trPr>
          <w:jc w:val="center"/>
        </w:trPr>
        <w:tc>
          <w:tcPr>
            <w:tcW w:w="3937" w:type="dxa"/>
            <w:gridSpan w:val="4"/>
          </w:tcPr>
          <w:p w:rsidR="00E378B5" w:rsidRPr="005271FD" w:rsidRDefault="00E378B5" w:rsidP="00E378B5">
            <w:pPr>
              <w:rPr>
                <w:rFonts w:ascii="Arial" w:hAnsi="Arial" w:cs="Arial"/>
                <w:color w:val="000000" w:themeColor="text1"/>
                <w:sz w:val="22"/>
                <w:szCs w:val="22"/>
              </w:rPr>
            </w:pPr>
            <w:r w:rsidRPr="005271FD">
              <w:rPr>
                <w:rFonts w:ascii="Arial" w:hAnsi="Arial" w:cs="Arial"/>
                <w:color w:val="000000" w:themeColor="text1"/>
                <w:sz w:val="22"/>
                <w:szCs w:val="22"/>
              </w:rPr>
              <w:t xml:space="preserve">Average </w:t>
            </w:r>
            <w:r>
              <w:rPr>
                <w:rFonts w:ascii="Arial" w:hAnsi="Arial" w:cs="Arial"/>
                <w:color w:val="000000" w:themeColor="text1"/>
                <w:sz w:val="22"/>
                <w:szCs w:val="22"/>
              </w:rPr>
              <w:t>farm-</w:t>
            </w:r>
            <w:r w:rsidRPr="005271FD">
              <w:rPr>
                <w:rFonts w:ascii="Arial" w:hAnsi="Arial" w:cs="Arial"/>
                <w:color w:val="000000" w:themeColor="text1"/>
                <w:sz w:val="22"/>
                <w:szCs w:val="22"/>
              </w:rPr>
              <w:t xml:space="preserve">gate price for nectarines </w:t>
            </w:r>
            <w:r>
              <w:rPr>
                <w:rFonts w:ascii="Arial" w:hAnsi="Arial" w:cs="Arial"/>
                <w:color w:val="000000" w:themeColor="text1"/>
                <w:sz w:val="22"/>
                <w:szCs w:val="22"/>
              </w:rPr>
              <w:t xml:space="preserve">and peaches </w:t>
            </w:r>
            <w:r w:rsidRPr="005271FD">
              <w:rPr>
                <w:rFonts w:ascii="Arial" w:hAnsi="Arial" w:cs="Arial"/>
                <w:color w:val="000000" w:themeColor="text1"/>
                <w:sz w:val="22"/>
                <w:szCs w:val="22"/>
              </w:rPr>
              <w:t xml:space="preserve">airfreighted to </w:t>
            </w:r>
            <w:r>
              <w:rPr>
                <w:rFonts w:ascii="Arial" w:hAnsi="Arial" w:cs="Arial"/>
                <w:color w:val="000000" w:themeColor="text1"/>
                <w:sz w:val="22"/>
                <w:szCs w:val="22"/>
              </w:rPr>
              <w:t>Asia</w:t>
            </w:r>
            <w:r w:rsidRPr="005271FD">
              <w:rPr>
                <w:rFonts w:ascii="Arial" w:hAnsi="Arial" w:cs="Arial"/>
                <w:color w:val="000000" w:themeColor="text1"/>
                <w:sz w:val="22"/>
                <w:szCs w:val="22"/>
              </w:rPr>
              <w:t xml:space="preserve"> </w:t>
            </w:r>
          </w:p>
        </w:tc>
        <w:tc>
          <w:tcPr>
            <w:tcW w:w="2065" w:type="dxa"/>
            <w:gridSpan w:val="3"/>
          </w:tcPr>
          <w:p w:rsidR="00E378B5" w:rsidRPr="005271FD" w:rsidRDefault="00E378B5" w:rsidP="00E378B5">
            <w:pPr>
              <w:jc w:val="center"/>
              <w:rPr>
                <w:rFonts w:ascii="Arial" w:hAnsi="Arial" w:cs="Arial"/>
                <w:color w:val="000000" w:themeColor="text1"/>
                <w:sz w:val="22"/>
                <w:szCs w:val="22"/>
              </w:rPr>
            </w:pPr>
            <w:r w:rsidRPr="005271FD">
              <w:rPr>
                <w:rFonts w:ascii="Arial" w:hAnsi="Arial" w:cs="Arial"/>
                <w:color w:val="000000" w:themeColor="text1"/>
                <w:sz w:val="22"/>
                <w:szCs w:val="22"/>
              </w:rPr>
              <w:t>$3.</w:t>
            </w:r>
            <w:r>
              <w:rPr>
                <w:rFonts w:ascii="Arial" w:hAnsi="Arial" w:cs="Arial"/>
                <w:color w:val="000000" w:themeColor="text1"/>
                <w:sz w:val="22"/>
                <w:szCs w:val="22"/>
              </w:rPr>
              <w:t>55</w:t>
            </w:r>
            <w:r w:rsidRPr="005271FD">
              <w:rPr>
                <w:rFonts w:ascii="Arial" w:hAnsi="Arial" w:cs="Arial"/>
                <w:color w:val="000000" w:themeColor="text1"/>
                <w:sz w:val="22"/>
                <w:szCs w:val="22"/>
              </w:rPr>
              <w:t xml:space="preserve"> per kg </w:t>
            </w:r>
          </w:p>
        </w:tc>
        <w:tc>
          <w:tcPr>
            <w:tcW w:w="3584" w:type="dxa"/>
            <w:gridSpan w:val="4"/>
          </w:tcPr>
          <w:p w:rsidR="00E378B5" w:rsidRPr="005271FD" w:rsidRDefault="00E378B5" w:rsidP="00E378B5">
            <w:pPr>
              <w:rPr>
                <w:rFonts w:ascii="Arial" w:hAnsi="Arial" w:cs="Arial"/>
                <w:color w:val="000000" w:themeColor="text1"/>
                <w:sz w:val="22"/>
                <w:szCs w:val="22"/>
              </w:rPr>
            </w:pPr>
            <w:r>
              <w:rPr>
                <w:rFonts w:ascii="Arial" w:hAnsi="Arial" w:cs="Arial"/>
                <w:color w:val="000000" w:themeColor="text1"/>
                <w:sz w:val="22"/>
                <w:szCs w:val="22"/>
              </w:rPr>
              <w:t>Average farm-gate price realised for nectarines sent to China in 2016-17 was between $3.20 and $3.90/kg (</w:t>
            </w:r>
            <w:r w:rsidRPr="005271FD">
              <w:rPr>
                <w:rFonts w:ascii="Arial" w:hAnsi="Arial" w:cs="Arial"/>
                <w:color w:val="000000" w:themeColor="text1"/>
                <w:sz w:val="22"/>
                <w:szCs w:val="22"/>
              </w:rPr>
              <w:t xml:space="preserve">John Moore, pers. </w:t>
            </w:r>
            <w:r>
              <w:rPr>
                <w:rFonts w:ascii="Arial" w:hAnsi="Arial" w:cs="Arial"/>
                <w:color w:val="000000" w:themeColor="text1"/>
                <w:sz w:val="22"/>
                <w:szCs w:val="22"/>
              </w:rPr>
              <w:t>c</w:t>
            </w:r>
            <w:r w:rsidRPr="005271FD">
              <w:rPr>
                <w:rFonts w:ascii="Arial" w:hAnsi="Arial" w:cs="Arial"/>
                <w:color w:val="000000" w:themeColor="text1"/>
                <w:sz w:val="22"/>
                <w:szCs w:val="22"/>
              </w:rPr>
              <w:t>omm</w:t>
            </w:r>
            <w:r>
              <w:rPr>
                <w:rFonts w:ascii="Arial" w:hAnsi="Arial" w:cs="Arial"/>
                <w:color w:val="000000" w:themeColor="text1"/>
                <w:sz w:val="22"/>
                <w:szCs w:val="22"/>
              </w:rPr>
              <w:t>.,</w:t>
            </w:r>
            <w:r w:rsidRPr="005271FD">
              <w:rPr>
                <w:rFonts w:ascii="Arial" w:hAnsi="Arial" w:cs="Arial"/>
                <w:color w:val="000000" w:themeColor="text1"/>
                <w:sz w:val="22"/>
                <w:szCs w:val="22"/>
              </w:rPr>
              <w:t xml:space="preserve"> March 2017</w:t>
            </w:r>
            <w:r>
              <w:rPr>
                <w:rFonts w:ascii="Arial" w:hAnsi="Arial" w:cs="Arial"/>
                <w:color w:val="000000" w:themeColor="text1"/>
                <w:sz w:val="22"/>
                <w:szCs w:val="22"/>
              </w:rPr>
              <w:t>)</w:t>
            </w:r>
          </w:p>
        </w:tc>
      </w:tr>
      <w:tr w:rsidR="00E378B5" w:rsidRPr="00FE214A" w:rsidTr="00E378B5">
        <w:trPr>
          <w:jc w:val="center"/>
        </w:trPr>
        <w:tc>
          <w:tcPr>
            <w:tcW w:w="3937" w:type="dxa"/>
            <w:gridSpan w:val="4"/>
          </w:tcPr>
          <w:p w:rsidR="00E378B5" w:rsidRPr="00FE214A" w:rsidRDefault="00E378B5" w:rsidP="00E378B5">
            <w:pPr>
              <w:rPr>
                <w:rFonts w:ascii="Arial" w:hAnsi="Arial" w:cs="Arial"/>
                <w:color w:val="000000" w:themeColor="text1"/>
                <w:sz w:val="22"/>
              </w:rPr>
            </w:pPr>
            <w:r w:rsidRPr="00FE214A">
              <w:rPr>
                <w:rFonts w:ascii="Arial" w:hAnsi="Arial" w:cs="Arial"/>
                <w:color w:val="000000" w:themeColor="text1"/>
                <w:sz w:val="22"/>
              </w:rPr>
              <w:t>Cost of phytosanitary treatment including low dose methyl bromide</w:t>
            </w:r>
            <w:r>
              <w:rPr>
                <w:rFonts w:ascii="Arial" w:hAnsi="Arial" w:cs="Arial"/>
                <w:color w:val="000000" w:themeColor="text1"/>
                <w:sz w:val="22"/>
              </w:rPr>
              <w:t xml:space="preserve"> (cost met by exporter)</w:t>
            </w:r>
          </w:p>
        </w:tc>
        <w:tc>
          <w:tcPr>
            <w:tcW w:w="2065" w:type="dxa"/>
            <w:gridSpan w:val="3"/>
          </w:tcPr>
          <w:p w:rsidR="00E378B5" w:rsidRPr="00FE214A" w:rsidRDefault="00E378B5" w:rsidP="00E378B5">
            <w:pPr>
              <w:jc w:val="center"/>
              <w:rPr>
                <w:rFonts w:ascii="Arial" w:hAnsi="Arial" w:cs="Arial"/>
                <w:color w:val="000000" w:themeColor="text1"/>
                <w:sz w:val="22"/>
              </w:rPr>
            </w:pPr>
            <w:r w:rsidRPr="00FE214A">
              <w:rPr>
                <w:rFonts w:ascii="Arial" w:hAnsi="Arial" w:cs="Arial"/>
                <w:color w:val="000000" w:themeColor="text1"/>
                <w:sz w:val="22"/>
              </w:rPr>
              <w:t>$0.05 per kg</w:t>
            </w:r>
          </w:p>
        </w:tc>
        <w:tc>
          <w:tcPr>
            <w:tcW w:w="3584" w:type="dxa"/>
            <w:gridSpan w:val="4"/>
          </w:tcPr>
          <w:p w:rsidR="00E378B5" w:rsidRPr="00FE214A" w:rsidRDefault="00E378B5" w:rsidP="00E378B5">
            <w:pPr>
              <w:rPr>
                <w:rFonts w:ascii="Arial" w:hAnsi="Arial" w:cs="Arial"/>
                <w:color w:val="000000" w:themeColor="text1"/>
                <w:sz w:val="22"/>
              </w:rPr>
            </w:pPr>
            <w:r w:rsidRPr="00FE214A">
              <w:rPr>
                <w:rFonts w:ascii="Arial" w:hAnsi="Arial" w:cs="Arial"/>
                <w:color w:val="000000" w:themeColor="text1"/>
                <w:sz w:val="22"/>
              </w:rPr>
              <w:t>Adapted from the Summerfruit Australia China Airfreight Calculator</w:t>
            </w:r>
            <w:r>
              <w:rPr>
                <w:rFonts w:ascii="Arial" w:hAnsi="Arial" w:cs="Arial"/>
                <w:color w:val="000000" w:themeColor="text1"/>
                <w:sz w:val="22"/>
              </w:rPr>
              <w:t xml:space="preserve"> February 2017</w:t>
            </w:r>
          </w:p>
        </w:tc>
      </w:tr>
      <w:tr w:rsidR="00E378B5" w:rsidRPr="004A7CFA" w:rsidTr="00E378B5">
        <w:trPr>
          <w:jc w:val="center"/>
        </w:trPr>
        <w:tc>
          <w:tcPr>
            <w:tcW w:w="3937" w:type="dxa"/>
            <w:gridSpan w:val="4"/>
          </w:tcPr>
          <w:p w:rsidR="00E378B5" w:rsidRPr="001930AB" w:rsidRDefault="00E378B5" w:rsidP="00E378B5">
            <w:pPr>
              <w:rPr>
                <w:rFonts w:ascii="Arial" w:hAnsi="Arial" w:cs="Arial"/>
                <w:color w:val="000000" w:themeColor="text1"/>
                <w:sz w:val="22"/>
                <w:szCs w:val="22"/>
              </w:rPr>
            </w:pPr>
            <w:r w:rsidRPr="001930AB">
              <w:rPr>
                <w:rFonts w:ascii="Arial" w:hAnsi="Arial" w:cs="Arial"/>
                <w:color w:val="000000" w:themeColor="text1"/>
                <w:sz w:val="22"/>
                <w:szCs w:val="22"/>
              </w:rPr>
              <w:t>Average farm-gate price</w:t>
            </w:r>
            <w:r>
              <w:rPr>
                <w:rFonts w:ascii="Arial" w:hAnsi="Arial" w:cs="Arial"/>
                <w:color w:val="000000" w:themeColor="text1"/>
                <w:sz w:val="22"/>
                <w:szCs w:val="22"/>
              </w:rPr>
              <w:t xml:space="preserve"> for nectarines and peaches in</w:t>
            </w:r>
            <w:r w:rsidRPr="001930AB">
              <w:rPr>
                <w:rFonts w:ascii="Arial" w:hAnsi="Arial" w:cs="Arial"/>
                <w:color w:val="000000" w:themeColor="text1"/>
                <w:sz w:val="22"/>
                <w:szCs w:val="22"/>
              </w:rPr>
              <w:t xml:space="preserve"> ‘next best’ market</w:t>
            </w:r>
            <w:r>
              <w:rPr>
                <w:rFonts w:ascii="Arial" w:hAnsi="Arial" w:cs="Arial"/>
                <w:color w:val="000000" w:themeColor="text1"/>
                <w:sz w:val="22"/>
                <w:szCs w:val="22"/>
              </w:rPr>
              <w:t xml:space="preserve"> – seafreight or domestic</w:t>
            </w:r>
            <w:r w:rsidRPr="001930AB">
              <w:rPr>
                <w:rFonts w:ascii="Arial" w:hAnsi="Arial" w:cs="Arial"/>
                <w:color w:val="000000" w:themeColor="text1"/>
                <w:sz w:val="22"/>
                <w:szCs w:val="22"/>
              </w:rPr>
              <w:t xml:space="preserve"> </w:t>
            </w:r>
          </w:p>
        </w:tc>
        <w:tc>
          <w:tcPr>
            <w:tcW w:w="2065" w:type="dxa"/>
            <w:gridSpan w:val="3"/>
          </w:tcPr>
          <w:p w:rsidR="00E378B5" w:rsidRPr="001930AB" w:rsidRDefault="00E378B5" w:rsidP="00E378B5">
            <w:pPr>
              <w:jc w:val="center"/>
              <w:rPr>
                <w:rFonts w:ascii="Arial" w:hAnsi="Arial" w:cs="Arial"/>
                <w:color w:val="000000" w:themeColor="text1"/>
                <w:sz w:val="22"/>
                <w:szCs w:val="22"/>
              </w:rPr>
            </w:pPr>
            <w:r w:rsidRPr="001930AB">
              <w:rPr>
                <w:rFonts w:ascii="Arial" w:hAnsi="Arial" w:cs="Arial"/>
                <w:color w:val="000000" w:themeColor="text1"/>
                <w:sz w:val="22"/>
                <w:szCs w:val="22"/>
              </w:rPr>
              <w:t xml:space="preserve">$2.00 per kg </w:t>
            </w:r>
          </w:p>
        </w:tc>
        <w:tc>
          <w:tcPr>
            <w:tcW w:w="3584" w:type="dxa"/>
            <w:gridSpan w:val="4"/>
          </w:tcPr>
          <w:p w:rsidR="00E378B5" w:rsidRPr="001930AB" w:rsidRDefault="00E378B5" w:rsidP="00E378B5">
            <w:pPr>
              <w:rPr>
                <w:rFonts w:ascii="Arial" w:hAnsi="Arial" w:cs="Arial"/>
                <w:color w:val="000000" w:themeColor="text1"/>
                <w:sz w:val="22"/>
                <w:szCs w:val="22"/>
              </w:rPr>
            </w:pPr>
            <w:r>
              <w:rPr>
                <w:rFonts w:ascii="Arial" w:hAnsi="Arial" w:cs="Arial"/>
                <w:color w:val="000000" w:themeColor="text1"/>
                <w:sz w:val="22"/>
                <w:szCs w:val="22"/>
              </w:rPr>
              <w:t>Consultant estimate after review of 2016-17 Melbourne wholesale market data and adjustment for post farm gate costs</w:t>
            </w:r>
          </w:p>
        </w:tc>
      </w:tr>
      <w:tr w:rsidR="00E378B5" w:rsidRPr="004A7CFA" w:rsidTr="00E378B5">
        <w:trPr>
          <w:jc w:val="center"/>
        </w:trPr>
        <w:tc>
          <w:tcPr>
            <w:tcW w:w="3937" w:type="dxa"/>
            <w:gridSpan w:val="4"/>
          </w:tcPr>
          <w:p w:rsidR="00E378B5" w:rsidRPr="001930AB" w:rsidRDefault="00E378B5" w:rsidP="00E378B5">
            <w:pPr>
              <w:rPr>
                <w:rFonts w:ascii="Arial" w:hAnsi="Arial" w:cs="Arial"/>
                <w:color w:val="000000" w:themeColor="text1"/>
                <w:sz w:val="22"/>
                <w:szCs w:val="22"/>
              </w:rPr>
            </w:pPr>
            <w:r w:rsidRPr="001930AB">
              <w:rPr>
                <w:rFonts w:ascii="Arial" w:hAnsi="Arial" w:cs="Arial"/>
                <w:color w:val="000000" w:themeColor="text1"/>
                <w:sz w:val="22"/>
                <w:szCs w:val="22"/>
              </w:rPr>
              <w:t xml:space="preserve">Average increase in </w:t>
            </w:r>
            <w:r>
              <w:rPr>
                <w:rFonts w:ascii="Arial" w:hAnsi="Arial" w:cs="Arial"/>
                <w:color w:val="000000" w:themeColor="text1"/>
                <w:sz w:val="22"/>
                <w:szCs w:val="22"/>
              </w:rPr>
              <w:t>economic value</w:t>
            </w:r>
            <w:r w:rsidRPr="001930AB">
              <w:rPr>
                <w:rFonts w:ascii="Arial" w:hAnsi="Arial" w:cs="Arial"/>
                <w:color w:val="000000" w:themeColor="text1"/>
                <w:sz w:val="22"/>
                <w:szCs w:val="22"/>
              </w:rPr>
              <w:t xml:space="preserve"> due to airfreight access using methyl bromide </w:t>
            </w:r>
          </w:p>
        </w:tc>
        <w:tc>
          <w:tcPr>
            <w:tcW w:w="2065" w:type="dxa"/>
            <w:gridSpan w:val="3"/>
          </w:tcPr>
          <w:p w:rsidR="00E378B5" w:rsidRPr="001930AB" w:rsidRDefault="00E378B5" w:rsidP="00E378B5">
            <w:pPr>
              <w:jc w:val="center"/>
              <w:rPr>
                <w:rFonts w:ascii="Arial" w:hAnsi="Arial" w:cs="Arial"/>
                <w:color w:val="000000" w:themeColor="text1"/>
                <w:sz w:val="22"/>
                <w:szCs w:val="22"/>
              </w:rPr>
            </w:pPr>
            <w:r w:rsidRPr="001930AB">
              <w:rPr>
                <w:rFonts w:ascii="Arial" w:hAnsi="Arial" w:cs="Arial"/>
                <w:color w:val="000000" w:themeColor="text1"/>
                <w:sz w:val="22"/>
                <w:szCs w:val="22"/>
              </w:rPr>
              <w:t>$1.</w:t>
            </w:r>
            <w:r>
              <w:rPr>
                <w:rFonts w:ascii="Arial" w:hAnsi="Arial" w:cs="Arial"/>
                <w:color w:val="000000" w:themeColor="text1"/>
                <w:sz w:val="22"/>
                <w:szCs w:val="22"/>
              </w:rPr>
              <w:t>50</w:t>
            </w:r>
            <w:r w:rsidRPr="001930AB">
              <w:rPr>
                <w:rFonts w:ascii="Arial" w:hAnsi="Arial" w:cs="Arial"/>
                <w:color w:val="000000" w:themeColor="text1"/>
                <w:sz w:val="22"/>
                <w:szCs w:val="22"/>
              </w:rPr>
              <w:t xml:space="preserve"> per kg</w:t>
            </w:r>
          </w:p>
        </w:tc>
        <w:tc>
          <w:tcPr>
            <w:tcW w:w="3584" w:type="dxa"/>
            <w:gridSpan w:val="4"/>
          </w:tcPr>
          <w:p w:rsidR="00E378B5" w:rsidRPr="001930AB" w:rsidRDefault="00E378B5" w:rsidP="00E378B5">
            <w:pPr>
              <w:rPr>
                <w:rFonts w:ascii="Arial" w:hAnsi="Arial" w:cs="Arial"/>
                <w:color w:val="000000" w:themeColor="text1"/>
                <w:sz w:val="22"/>
                <w:szCs w:val="22"/>
              </w:rPr>
            </w:pPr>
            <w:r w:rsidRPr="001930AB">
              <w:rPr>
                <w:rFonts w:ascii="Arial" w:hAnsi="Arial" w:cs="Arial"/>
                <w:color w:val="000000" w:themeColor="text1"/>
                <w:sz w:val="22"/>
                <w:szCs w:val="22"/>
              </w:rPr>
              <w:t>$3.</w:t>
            </w:r>
            <w:r>
              <w:rPr>
                <w:rFonts w:ascii="Arial" w:hAnsi="Arial" w:cs="Arial"/>
                <w:color w:val="000000" w:themeColor="text1"/>
                <w:sz w:val="22"/>
                <w:szCs w:val="22"/>
              </w:rPr>
              <w:t>55 - $0.05</w:t>
            </w:r>
            <w:r w:rsidRPr="001930AB">
              <w:rPr>
                <w:rFonts w:ascii="Arial" w:hAnsi="Arial" w:cs="Arial"/>
                <w:color w:val="000000" w:themeColor="text1"/>
                <w:sz w:val="22"/>
                <w:szCs w:val="22"/>
              </w:rPr>
              <w:t xml:space="preserve"> - $2.00 = $1.</w:t>
            </w:r>
            <w:r>
              <w:rPr>
                <w:rFonts w:ascii="Arial" w:hAnsi="Arial" w:cs="Arial"/>
                <w:color w:val="000000" w:themeColor="text1"/>
                <w:sz w:val="22"/>
                <w:szCs w:val="22"/>
              </w:rPr>
              <w:t>50</w:t>
            </w:r>
          </w:p>
        </w:tc>
      </w:tr>
      <w:tr w:rsidR="00E378B5" w:rsidRPr="004A7CFA" w:rsidTr="00E378B5">
        <w:trPr>
          <w:jc w:val="center"/>
        </w:trPr>
        <w:tc>
          <w:tcPr>
            <w:tcW w:w="3937" w:type="dxa"/>
            <w:gridSpan w:val="4"/>
          </w:tcPr>
          <w:p w:rsidR="00E378B5" w:rsidRPr="001930AB" w:rsidRDefault="00E378B5" w:rsidP="00E378B5">
            <w:pPr>
              <w:rPr>
                <w:rFonts w:ascii="Arial" w:hAnsi="Arial" w:cs="Arial"/>
                <w:color w:val="000000" w:themeColor="text1"/>
                <w:sz w:val="22"/>
                <w:szCs w:val="22"/>
              </w:rPr>
            </w:pPr>
            <w:r w:rsidRPr="001930AB">
              <w:rPr>
                <w:rFonts w:ascii="Arial" w:hAnsi="Arial" w:cs="Arial"/>
                <w:color w:val="000000" w:themeColor="text1"/>
                <w:sz w:val="22"/>
                <w:szCs w:val="22"/>
              </w:rPr>
              <w:t xml:space="preserve">Airfreight sales </w:t>
            </w:r>
            <w:r>
              <w:rPr>
                <w:rFonts w:ascii="Arial" w:hAnsi="Arial" w:cs="Arial"/>
                <w:color w:val="000000" w:themeColor="text1"/>
                <w:sz w:val="22"/>
                <w:szCs w:val="22"/>
              </w:rPr>
              <w:t xml:space="preserve">of Australian nectarines </w:t>
            </w:r>
            <w:r w:rsidRPr="001930AB">
              <w:rPr>
                <w:rFonts w:ascii="Arial" w:hAnsi="Arial" w:cs="Arial"/>
                <w:color w:val="000000" w:themeColor="text1"/>
                <w:sz w:val="22"/>
                <w:szCs w:val="22"/>
              </w:rPr>
              <w:t xml:space="preserve">to China 2016-17 </w:t>
            </w:r>
          </w:p>
        </w:tc>
        <w:tc>
          <w:tcPr>
            <w:tcW w:w="2065" w:type="dxa"/>
            <w:gridSpan w:val="3"/>
          </w:tcPr>
          <w:p w:rsidR="00E378B5" w:rsidRPr="001930AB" w:rsidRDefault="00E378B5" w:rsidP="00E378B5">
            <w:pPr>
              <w:jc w:val="center"/>
              <w:rPr>
                <w:rFonts w:ascii="Arial" w:hAnsi="Arial" w:cs="Arial"/>
                <w:color w:val="000000" w:themeColor="text1"/>
                <w:sz w:val="22"/>
                <w:szCs w:val="22"/>
              </w:rPr>
            </w:pPr>
            <w:r>
              <w:rPr>
                <w:rFonts w:ascii="Arial" w:hAnsi="Arial" w:cs="Arial"/>
                <w:color w:val="000000" w:themeColor="text1"/>
                <w:sz w:val="22"/>
                <w:szCs w:val="22"/>
              </w:rPr>
              <w:t>2</w:t>
            </w:r>
            <w:r w:rsidRPr="001930AB">
              <w:rPr>
                <w:rFonts w:ascii="Arial" w:hAnsi="Arial" w:cs="Arial"/>
                <w:color w:val="000000" w:themeColor="text1"/>
                <w:sz w:val="22"/>
                <w:szCs w:val="22"/>
              </w:rPr>
              <w:t>1,</w:t>
            </w:r>
            <w:r>
              <w:rPr>
                <w:rFonts w:ascii="Arial" w:hAnsi="Arial" w:cs="Arial"/>
                <w:color w:val="000000" w:themeColor="text1"/>
                <w:sz w:val="22"/>
                <w:szCs w:val="22"/>
              </w:rPr>
              <w:t>0</w:t>
            </w:r>
            <w:r w:rsidRPr="001930AB">
              <w:rPr>
                <w:rFonts w:ascii="Arial" w:hAnsi="Arial" w:cs="Arial"/>
                <w:color w:val="000000" w:themeColor="text1"/>
                <w:sz w:val="22"/>
                <w:szCs w:val="22"/>
              </w:rPr>
              <w:t xml:space="preserve">00 kg </w:t>
            </w:r>
          </w:p>
        </w:tc>
        <w:tc>
          <w:tcPr>
            <w:tcW w:w="3584" w:type="dxa"/>
            <w:gridSpan w:val="4"/>
          </w:tcPr>
          <w:p w:rsidR="00E378B5" w:rsidRPr="001930AB" w:rsidRDefault="00E378B5" w:rsidP="00E378B5">
            <w:pPr>
              <w:rPr>
                <w:rFonts w:ascii="Arial" w:hAnsi="Arial" w:cs="Arial"/>
                <w:color w:val="000000" w:themeColor="text1"/>
                <w:sz w:val="22"/>
                <w:szCs w:val="22"/>
              </w:rPr>
            </w:pPr>
            <w:r w:rsidRPr="001930AB">
              <w:rPr>
                <w:rFonts w:ascii="Arial" w:hAnsi="Arial" w:cs="Arial"/>
                <w:color w:val="000000" w:themeColor="text1"/>
                <w:sz w:val="22"/>
                <w:szCs w:val="22"/>
              </w:rPr>
              <w:t>John Moore, pers. comm</w:t>
            </w:r>
            <w:r>
              <w:rPr>
                <w:rFonts w:ascii="Arial" w:hAnsi="Arial" w:cs="Arial"/>
                <w:color w:val="000000" w:themeColor="text1"/>
                <w:sz w:val="22"/>
                <w:szCs w:val="22"/>
              </w:rPr>
              <w:t>.,</w:t>
            </w:r>
            <w:r w:rsidRPr="001930AB">
              <w:rPr>
                <w:rFonts w:ascii="Arial" w:hAnsi="Arial" w:cs="Arial"/>
                <w:color w:val="000000" w:themeColor="text1"/>
                <w:sz w:val="22"/>
                <w:szCs w:val="22"/>
              </w:rPr>
              <w:t xml:space="preserve"> March 2017</w:t>
            </w:r>
          </w:p>
        </w:tc>
      </w:tr>
      <w:tr w:rsidR="00E378B5" w:rsidRPr="004F4C28" w:rsidTr="00E378B5">
        <w:trPr>
          <w:jc w:val="center"/>
        </w:trPr>
        <w:tc>
          <w:tcPr>
            <w:tcW w:w="3937" w:type="dxa"/>
            <w:gridSpan w:val="4"/>
          </w:tcPr>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New market access - year access achieved and first year sales:</w:t>
            </w:r>
          </w:p>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 - </w:t>
            </w:r>
            <w:r w:rsidRPr="004F4C28">
              <w:rPr>
                <w:rFonts w:ascii="Arial" w:hAnsi="Arial" w:cs="Arial"/>
                <w:color w:val="000000" w:themeColor="text1"/>
                <w:sz w:val="22"/>
                <w:szCs w:val="22"/>
              </w:rPr>
              <w:t>China</w:t>
            </w:r>
            <w:r>
              <w:rPr>
                <w:rFonts w:ascii="Arial" w:hAnsi="Arial" w:cs="Arial"/>
                <w:color w:val="000000" w:themeColor="text1"/>
                <w:sz w:val="22"/>
                <w:szCs w:val="22"/>
              </w:rPr>
              <w:t xml:space="preserve"> – peaches</w:t>
            </w:r>
          </w:p>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 - Vietnam – nectarines and peaches</w:t>
            </w:r>
          </w:p>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 - Thailand – nectarines and peaches</w:t>
            </w:r>
          </w:p>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 - Philippines – nectarines, peaches</w:t>
            </w:r>
          </w:p>
          <w:p w:rsidR="00E378B5" w:rsidRPr="004F4C28" w:rsidRDefault="00E378B5" w:rsidP="00E378B5">
            <w:pPr>
              <w:rPr>
                <w:rFonts w:ascii="Arial" w:hAnsi="Arial" w:cs="Arial"/>
                <w:color w:val="000000" w:themeColor="text1"/>
                <w:sz w:val="22"/>
                <w:szCs w:val="22"/>
              </w:rPr>
            </w:pPr>
            <w:r>
              <w:rPr>
                <w:rFonts w:ascii="Arial" w:hAnsi="Arial" w:cs="Arial"/>
                <w:color w:val="000000" w:themeColor="text1"/>
                <w:sz w:val="22"/>
                <w:szCs w:val="22"/>
              </w:rPr>
              <w:t xml:space="preserve"> - Taiwan – nectarines and peaches</w:t>
            </w:r>
          </w:p>
        </w:tc>
        <w:tc>
          <w:tcPr>
            <w:tcW w:w="2065" w:type="dxa"/>
            <w:gridSpan w:val="3"/>
          </w:tcPr>
          <w:p w:rsidR="00E378B5" w:rsidRDefault="00E378B5" w:rsidP="00E378B5">
            <w:pPr>
              <w:rPr>
                <w:rFonts w:ascii="Arial" w:hAnsi="Arial" w:cs="Arial"/>
                <w:color w:val="000000" w:themeColor="text1"/>
                <w:sz w:val="22"/>
                <w:szCs w:val="22"/>
              </w:rPr>
            </w:pPr>
          </w:p>
          <w:p w:rsidR="00E378B5" w:rsidRDefault="00E378B5" w:rsidP="00E378B5">
            <w:pPr>
              <w:rPr>
                <w:rFonts w:ascii="Arial" w:hAnsi="Arial" w:cs="Arial"/>
                <w:color w:val="000000" w:themeColor="text1"/>
                <w:sz w:val="22"/>
                <w:szCs w:val="22"/>
              </w:rPr>
            </w:pPr>
          </w:p>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2017-18: 21,000kg</w:t>
            </w:r>
          </w:p>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2017-18:   2,500kg</w:t>
            </w:r>
          </w:p>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2018-19:   3,000kg</w:t>
            </w:r>
          </w:p>
          <w:p w:rsidR="00E378B5" w:rsidRDefault="00E378B5" w:rsidP="00E378B5">
            <w:pPr>
              <w:rPr>
                <w:rFonts w:ascii="Arial" w:hAnsi="Arial" w:cs="Arial"/>
                <w:color w:val="000000" w:themeColor="text1"/>
                <w:sz w:val="22"/>
                <w:szCs w:val="22"/>
              </w:rPr>
            </w:pPr>
            <w:r>
              <w:rPr>
                <w:rFonts w:ascii="Arial" w:hAnsi="Arial" w:cs="Arial"/>
                <w:color w:val="000000" w:themeColor="text1"/>
                <w:sz w:val="22"/>
                <w:szCs w:val="22"/>
              </w:rPr>
              <w:t>2018-19:   2,500kg</w:t>
            </w:r>
          </w:p>
          <w:p w:rsidR="00E378B5" w:rsidRPr="004F4C28" w:rsidRDefault="00E378B5" w:rsidP="00E378B5">
            <w:pPr>
              <w:rPr>
                <w:rFonts w:ascii="Arial" w:hAnsi="Arial" w:cs="Arial"/>
                <w:color w:val="000000" w:themeColor="text1"/>
                <w:sz w:val="22"/>
                <w:szCs w:val="22"/>
              </w:rPr>
            </w:pPr>
            <w:r>
              <w:rPr>
                <w:rFonts w:ascii="Arial" w:hAnsi="Arial" w:cs="Arial"/>
                <w:color w:val="000000" w:themeColor="text1"/>
                <w:sz w:val="22"/>
                <w:szCs w:val="22"/>
              </w:rPr>
              <w:t>2019-20:   2,500kg</w:t>
            </w:r>
          </w:p>
        </w:tc>
        <w:tc>
          <w:tcPr>
            <w:tcW w:w="3584" w:type="dxa"/>
            <w:gridSpan w:val="4"/>
          </w:tcPr>
          <w:p w:rsidR="00E378B5" w:rsidRDefault="00E378B5" w:rsidP="00E378B5">
            <w:pPr>
              <w:rPr>
                <w:rFonts w:ascii="Arial" w:hAnsi="Arial" w:cs="Arial"/>
                <w:color w:val="000000" w:themeColor="text1"/>
                <w:sz w:val="22"/>
                <w:szCs w:val="22"/>
              </w:rPr>
            </w:pPr>
          </w:p>
          <w:p w:rsidR="00E378B5" w:rsidRDefault="00E378B5" w:rsidP="00E378B5">
            <w:pPr>
              <w:rPr>
                <w:rFonts w:ascii="Arial" w:hAnsi="Arial" w:cs="Arial"/>
                <w:color w:val="000000" w:themeColor="text1"/>
                <w:sz w:val="22"/>
                <w:szCs w:val="22"/>
              </w:rPr>
            </w:pPr>
          </w:p>
          <w:p w:rsidR="00E378B5" w:rsidRPr="004F4C28" w:rsidRDefault="00E378B5" w:rsidP="00E378B5">
            <w:pPr>
              <w:rPr>
                <w:rFonts w:ascii="Arial" w:hAnsi="Arial" w:cs="Arial"/>
                <w:color w:val="000000" w:themeColor="text1"/>
                <w:sz w:val="22"/>
                <w:szCs w:val="22"/>
              </w:rPr>
            </w:pPr>
            <w:r>
              <w:rPr>
                <w:rFonts w:ascii="Arial" w:hAnsi="Arial" w:cs="Arial"/>
                <w:color w:val="000000" w:themeColor="text1"/>
                <w:sz w:val="22"/>
                <w:szCs w:val="22"/>
              </w:rPr>
              <w:t>Consultant assumptions following discussions with John Moore, Summerfruit Australia March 2017</w:t>
            </w:r>
          </w:p>
        </w:tc>
      </w:tr>
      <w:tr w:rsidR="00E378B5" w:rsidRPr="00E97ACE" w:rsidTr="00E378B5">
        <w:trPr>
          <w:trHeight w:val="33"/>
          <w:jc w:val="center"/>
        </w:trPr>
        <w:tc>
          <w:tcPr>
            <w:tcW w:w="9586" w:type="dxa"/>
            <w:gridSpan w:val="11"/>
          </w:tcPr>
          <w:p w:rsidR="00E378B5" w:rsidRPr="00BA5C5A" w:rsidRDefault="00E378B5" w:rsidP="00E378B5">
            <w:pPr>
              <w:rPr>
                <w:rFonts w:ascii="Arial" w:hAnsi="Arial" w:cs="Arial"/>
              </w:rPr>
            </w:pPr>
            <w:r w:rsidRPr="00DF313B">
              <w:rPr>
                <w:rFonts w:ascii="Arial" w:hAnsi="Arial" w:cs="Arial"/>
                <w:sz w:val="22"/>
              </w:rPr>
              <w:t>Forecast growth in new market sales (kg)</w:t>
            </w:r>
          </w:p>
        </w:tc>
      </w:tr>
      <w:tr w:rsidR="00E378B5" w:rsidRPr="00E97ACE" w:rsidTr="00E378B5">
        <w:trPr>
          <w:trHeight w:val="32"/>
          <w:jc w:val="center"/>
        </w:trPr>
        <w:tc>
          <w:tcPr>
            <w:tcW w:w="1865" w:type="dxa"/>
          </w:tcPr>
          <w:p w:rsidR="00E378B5" w:rsidRPr="0042513E" w:rsidRDefault="00E378B5" w:rsidP="00E378B5">
            <w:pPr>
              <w:rPr>
                <w:rFonts w:ascii="Arial" w:hAnsi="Arial" w:cs="Arial"/>
              </w:rPr>
            </w:pPr>
            <w:r w:rsidRPr="0042513E">
              <w:rPr>
                <w:rFonts w:ascii="Arial" w:hAnsi="Arial" w:cs="Arial"/>
              </w:rPr>
              <w:t>Country</w:t>
            </w:r>
          </w:p>
        </w:tc>
        <w:tc>
          <w:tcPr>
            <w:tcW w:w="828" w:type="dxa"/>
          </w:tcPr>
          <w:p w:rsidR="00E378B5" w:rsidRPr="0042513E" w:rsidRDefault="00E378B5" w:rsidP="00E378B5">
            <w:pPr>
              <w:jc w:val="right"/>
              <w:rPr>
                <w:rFonts w:ascii="Arial" w:hAnsi="Arial" w:cs="Arial"/>
                <w:sz w:val="16"/>
              </w:rPr>
            </w:pPr>
            <w:r w:rsidRPr="0042513E">
              <w:rPr>
                <w:rFonts w:ascii="Arial" w:hAnsi="Arial" w:cs="Arial"/>
                <w:sz w:val="16"/>
              </w:rPr>
              <w:t>2017-18</w:t>
            </w:r>
          </w:p>
        </w:tc>
        <w:tc>
          <w:tcPr>
            <w:tcW w:w="991" w:type="dxa"/>
          </w:tcPr>
          <w:p w:rsidR="00E378B5" w:rsidRPr="0042513E" w:rsidRDefault="00E378B5" w:rsidP="00E378B5">
            <w:pPr>
              <w:jc w:val="right"/>
              <w:rPr>
                <w:rFonts w:ascii="Arial" w:hAnsi="Arial" w:cs="Arial"/>
                <w:sz w:val="16"/>
              </w:rPr>
            </w:pPr>
            <w:r w:rsidRPr="0042513E">
              <w:rPr>
                <w:rFonts w:ascii="Arial" w:hAnsi="Arial" w:cs="Arial"/>
                <w:sz w:val="16"/>
              </w:rPr>
              <w:t>2018-19</w:t>
            </w:r>
          </w:p>
        </w:tc>
        <w:tc>
          <w:tcPr>
            <w:tcW w:w="992" w:type="dxa"/>
            <w:gridSpan w:val="2"/>
          </w:tcPr>
          <w:p w:rsidR="00E378B5" w:rsidRPr="0042513E" w:rsidRDefault="00E378B5" w:rsidP="00E378B5">
            <w:pPr>
              <w:jc w:val="right"/>
              <w:rPr>
                <w:rFonts w:ascii="Arial" w:hAnsi="Arial" w:cs="Arial"/>
                <w:sz w:val="16"/>
              </w:rPr>
            </w:pPr>
            <w:r w:rsidRPr="0042513E">
              <w:rPr>
                <w:rFonts w:ascii="Arial" w:hAnsi="Arial" w:cs="Arial"/>
                <w:sz w:val="16"/>
              </w:rPr>
              <w:t>2019-20</w:t>
            </w:r>
          </w:p>
        </w:tc>
        <w:tc>
          <w:tcPr>
            <w:tcW w:w="992" w:type="dxa"/>
          </w:tcPr>
          <w:p w:rsidR="00E378B5" w:rsidRPr="0042513E" w:rsidRDefault="00E378B5" w:rsidP="00E378B5">
            <w:pPr>
              <w:jc w:val="right"/>
              <w:rPr>
                <w:rFonts w:ascii="Arial" w:hAnsi="Arial" w:cs="Arial"/>
                <w:sz w:val="16"/>
              </w:rPr>
            </w:pPr>
            <w:r w:rsidRPr="0042513E">
              <w:rPr>
                <w:rFonts w:ascii="Arial" w:hAnsi="Arial" w:cs="Arial"/>
                <w:sz w:val="16"/>
              </w:rPr>
              <w:t>2020-21</w:t>
            </w:r>
          </w:p>
        </w:tc>
        <w:tc>
          <w:tcPr>
            <w:tcW w:w="991" w:type="dxa"/>
            <w:gridSpan w:val="2"/>
          </w:tcPr>
          <w:p w:rsidR="00E378B5" w:rsidRPr="0042513E" w:rsidRDefault="00E378B5" w:rsidP="00E378B5">
            <w:pPr>
              <w:jc w:val="right"/>
              <w:rPr>
                <w:rFonts w:ascii="Arial" w:hAnsi="Arial" w:cs="Arial"/>
                <w:sz w:val="16"/>
              </w:rPr>
            </w:pPr>
            <w:r w:rsidRPr="0042513E">
              <w:rPr>
                <w:rFonts w:ascii="Arial" w:hAnsi="Arial" w:cs="Arial"/>
                <w:sz w:val="16"/>
              </w:rPr>
              <w:t>2021-22</w:t>
            </w:r>
          </w:p>
        </w:tc>
        <w:tc>
          <w:tcPr>
            <w:tcW w:w="992" w:type="dxa"/>
          </w:tcPr>
          <w:p w:rsidR="00E378B5" w:rsidRPr="0042513E" w:rsidRDefault="00E378B5" w:rsidP="00E378B5">
            <w:pPr>
              <w:jc w:val="right"/>
              <w:rPr>
                <w:rFonts w:ascii="Arial" w:hAnsi="Arial" w:cs="Arial"/>
                <w:sz w:val="16"/>
              </w:rPr>
            </w:pPr>
            <w:r w:rsidRPr="0042513E">
              <w:rPr>
                <w:rFonts w:ascii="Arial" w:hAnsi="Arial" w:cs="Arial"/>
                <w:sz w:val="16"/>
              </w:rPr>
              <w:t>2022-23</w:t>
            </w:r>
          </w:p>
        </w:tc>
        <w:tc>
          <w:tcPr>
            <w:tcW w:w="993" w:type="dxa"/>
          </w:tcPr>
          <w:p w:rsidR="00E378B5" w:rsidRPr="0042513E" w:rsidRDefault="00E378B5" w:rsidP="00E378B5">
            <w:pPr>
              <w:jc w:val="right"/>
              <w:rPr>
                <w:rFonts w:ascii="Arial" w:hAnsi="Arial" w:cs="Arial"/>
                <w:sz w:val="16"/>
              </w:rPr>
            </w:pPr>
            <w:r w:rsidRPr="0042513E">
              <w:rPr>
                <w:rFonts w:ascii="Arial" w:hAnsi="Arial" w:cs="Arial"/>
                <w:sz w:val="16"/>
              </w:rPr>
              <w:t>2023-24</w:t>
            </w:r>
          </w:p>
        </w:tc>
        <w:tc>
          <w:tcPr>
            <w:tcW w:w="942" w:type="dxa"/>
          </w:tcPr>
          <w:p w:rsidR="00E378B5" w:rsidRPr="0042513E" w:rsidRDefault="00E378B5" w:rsidP="00E378B5">
            <w:pPr>
              <w:jc w:val="right"/>
              <w:rPr>
                <w:rFonts w:ascii="Arial" w:hAnsi="Arial" w:cs="Arial"/>
                <w:sz w:val="16"/>
              </w:rPr>
            </w:pPr>
            <w:r w:rsidRPr="0042513E">
              <w:rPr>
                <w:rFonts w:ascii="Arial" w:hAnsi="Arial" w:cs="Arial"/>
                <w:sz w:val="16"/>
              </w:rPr>
              <w:t>2024-25</w:t>
            </w:r>
          </w:p>
        </w:tc>
      </w:tr>
      <w:tr w:rsidR="00E378B5" w:rsidRPr="00E97ACE" w:rsidTr="00E378B5">
        <w:trPr>
          <w:trHeight w:val="32"/>
          <w:jc w:val="center"/>
        </w:trPr>
        <w:tc>
          <w:tcPr>
            <w:tcW w:w="1865" w:type="dxa"/>
          </w:tcPr>
          <w:p w:rsidR="00E378B5" w:rsidRPr="0042513E" w:rsidRDefault="00E378B5" w:rsidP="00E378B5">
            <w:pPr>
              <w:rPr>
                <w:rFonts w:ascii="Arial" w:hAnsi="Arial" w:cs="Arial"/>
              </w:rPr>
            </w:pPr>
            <w:r w:rsidRPr="0042513E">
              <w:rPr>
                <w:rFonts w:ascii="Arial" w:hAnsi="Arial" w:cs="Arial"/>
              </w:rPr>
              <w:t>China - nectarine</w:t>
            </w:r>
          </w:p>
        </w:tc>
        <w:tc>
          <w:tcPr>
            <w:tcW w:w="828" w:type="dxa"/>
          </w:tcPr>
          <w:p w:rsidR="00E378B5" w:rsidRPr="0042513E" w:rsidRDefault="00E378B5" w:rsidP="00E378B5">
            <w:pPr>
              <w:jc w:val="right"/>
              <w:rPr>
                <w:rFonts w:ascii="Arial" w:hAnsi="Arial" w:cs="Arial"/>
              </w:rPr>
            </w:pPr>
            <w:r w:rsidRPr="0042513E">
              <w:rPr>
                <w:rFonts w:ascii="Arial" w:hAnsi="Arial" w:cs="Arial"/>
              </w:rPr>
              <w:t>21,000</w:t>
            </w:r>
          </w:p>
        </w:tc>
        <w:tc>
          <w:tcPr>
            <w:tcW w:w="991" w:type="dxa"/>
          </w:tcPr>
          <w:p w:rsidR="00E378B5" w:rsidRPr="0042513E" w:rsidRDefault="00E378B5" w:rsidP="00E378B5">
            <w:pPr>
              <w:jc w:val="right"/>
              <w:rPr>
                <w:rFonts w:ascii="Arial" w:hAnsi="Arial" w:cs="Arial"/>
              </w:rPr>
            </w:pPr>
            <w:r w:rsidRPr="0042513E">
              <w:rPr>
                <w:rFonts w:ascii="Arial" w:hAnsi="Arial" w:cs="Arial"/>
              </w:rPr>
              <w:t>25,000</w:t>
            </w:r>
          </w:p>
        </w:tc>
        <w:tc>
          <w:tcPr>
            <w:tcW w:w="992" w:type="dxa"/>
            <w:gridSpan w:val="2"/>
          </w:tcPr>
          <w:p w:rsidR="00E378B5" w:rsidRPr="0042513E" w:rsidRDefault="00E378B5" w:rsidP="00E378B5">
            <w:pPr>
              <w:jc w:val="right"/>
              <w:rPr>
                <w:rFonts w:ascii="Arial" w:hAnsi="Arial" w:cs="Arial"/>
              </w:rPr>
            </w:pPr>
            <w:r w:rsidRPr="0042513E">
              <w:rPr>
                <w:rFonts w:ascii="Arial" w:hAnsi="Arial" w:cs="Arial"/>
              </w:rPr>
              <w:t>50,000</w:t>
            </w:r>
          </w:p>
        </w:tc>
        <w:tc>
          <w:tcPr>
            <w:tcW w:w="992" w:type="dxa"/>
          </w:tcPr>
          <w:p w:rsidR="00E378B5" w:rsidRPr="0042513E" w:rsidRDefault="00E378B5" w:rsidP="00E378B5">
            <w:pPr>
              <w:jc w:val="right"/>
              <w:rPr>
                <w:rFonts w:ascii="Arial" w:hAnsi="Arial" w:cs="Arial"/>
              </w:rPr>
            </w:pPr>
            <w:r w:rsidRPr="0042513E">
              <w:rPr>
                <w:rFonts w:ascii="Arial" w:hAnsi="Arial" w:cs="Arial"/>
              </w:rPr>
              <w:t>60,000</w:t>
            </w:r>
          </w:p>
        </w:tc>
        <w:tc>
          <w:tcPr>
            <w:tcW w:w="991" w:type="dxa"/>
            <w:gridSpan w:val="2"/>
          </w:tcPr>
          <w:p w:rsidR="00E378B5" w:rsidRPr="0042513E" w:rsidRDefault="00E378B5" w:rsidP="00E378B5">
            <w:pPr>
              <w:jc w:val="right"/>
              <w:rPr>
                <w:rFonts w:ascii="Arial" w:hAnsi="Arial" w:cs="Arial"/>
              </w:rPr>
            </w:pPr>
            <w:r w:rsidRPr="0042513E">
              <w:rPr>
                <w:rFonts w:ascii="Arial" w:hAnsi="Arial" w:cs="Arial"/>
              </w:rPr>
              <w:t>80,000</w:t>
            </w:r>
          </w:p>
        </w:tc>
        <w:tc>
          <w:tcPr>
            <w:tcW w:w="992" w:type="dxa"/>
          </w:tcPr>
          <w:p w:rsidR="00E378B5" w:rsidRPr="0042513E" w:rsidRDefault="00E378B5" w:rsidP="00E378B5">
            <w:pPr>
              <w:jc w:val="right"/>
              <w:rPr>
                <w:rFonts w:ascii="Arial" w:hAnsi="Arial" w:cs="Arial"/>
              </w:rPr>
            </w:pPr>
            <w:r w:rsidRPr="0042513E">
              <w:rPr>
                <w:rFonts w:ascii="Arial" w:hAnsi="Arial" w:cs="Arial"/>
              </w:rPr>
              <w:t>100,000</w:t>
            </w:r>
          </w:p>
        </w:tc>
        <w:tc>
          <w:tcPr>
            <w:tcW w:w="993" w:type="dxa"/>
          </w:tcPr>
          <w:p w:rsidR="00E378B5" w:rsidRPr="0042513E" w:rsidRDefault="00E378B5" w:rsidP="00E378B5">
            <w:pPr>
              <w:jc w:val="right"/>
              <w:rPr>
                <w:rFonts w:ascii="Arial" w:hAnsi="Arial" w:cs="Arial"/>
              </w:rPr>
            </w:pPr>
            <w:r w:rsidRPr="0042513E">
              <w:rPr>
                <w:rFonts w:ascii="Arial" w:hAnsi="Arial" w:cs="Arial"/>
              </w:rPr>
              <w:t>100,000</w:t>
            </w:r>
          </w:p>
        </w:tc>
        <w:tc>
          <w:tcPr>
            <w:tcW w:w="942" w:type="dxa"/>
          </w:tcPr>
          <w:p w:rsidR="00E378B5" w:rsidRPr="0042513E" w:rsidRDefault="00E378B5" w:rsidP="00E378B5">
            <w:pPr>
              <w:jc w:val="right"/>
              <w:rPr>
                <w:rFonts w:ascii="Arial" w:hAnsi="Arial" w:cs="Arial"/>
              </w:rPr>
            </w:pPr>
            <w:r w:rsidRPr="0042513E">
              <w:rPr>
                <w:rFonts w:ascii="Arial" w:hAnsi="Arial" w:cs="Arial"/>
              </w:rPr>
              <w:t>100,000</w:t>
            </w:r>
          </w:p>
        </w:tc>
      </w:tr>
      <w:tr w:rsidR="00E378B5" w:rsidRPr="00E97ACE" w:rsidTr="00E378B5">
        <w:trPr>
          <w:trHeight w:val="32"/>
          <w:jc w:val="center"/>
        </w:trPr>
        <w:tc>
          <w:tcPr>
            <w:tcW w:w="1865" w:type="dxa"/>
          </w:tcPr>
          <w:p w:rsidR="00E378B5" w:rsidRPr="0042513E" w:rsidRDefault="00E378B5" w:rsidP="00E378B5">
            <w:pPr>
              <w:rPr>
                <w:rFonts w:ascii="Arial" w:hAnsi="Arial" w:cs="Arial"/>
              </w:rPr>
            </w:pPr>
            <w:r w:rsidRPr="0042513E">
              <w:rPr>
                <w:rFonts w:ascii="Arial" w:hAnsi="Arial" w:cs="Arial"/>
              </w:rPr>
              <w:t>China – peach</w:t>
            </w:r>
          </w:p>
        </w:tc>
        <w:tc>
          <w:tcPr>
            <w:tcW w:w="828" w:type="dxa"/>
          </w:tcPr>
          <w:p w:rsidR="00E378B5" w:rsidRPr="0042513E" w:rsidRDefault="00E378B5" w:rsidP="00E378B5">
            <w:pPr>
              <w:jc w:val="right"/>
              <w:rPr>
                <w:rFonts w:ascii="Arial" w:hAnsi="Arial" w:cs="Arial"/>
              </w:rPr>
            </w:pPr>
          </w:p>
        </w:tc>
        <w:tc>
          <w:tcPr>
            <w:tcW w:w="991" w:type="dxa"/>
          </w:tcPr>
          <w:p w:rsidR="00E378B5" w:rsidRPr="0042513E" w:rsidRDefault="00E378B5" w:rsidP="00E378B5">
            <w:pPr>
              <w:jc w:val="right"/>
              <w:rPr>
                <w:rFonts w:ascii="Arial" w:hAnsi="Arial" w:cs="Arial"/>
              </w:rPr>
            </w:pPr>
            <w:r w:rsidRPr="0042513E">
              <w:rPr>
                <w:rFonts w:ascii="Arial" w:hAnsi="Arial" w:cs="Arial"/>
              </w:rPr>
              <w:t>21,000</w:t>
            </w:r>
          </w:p>
        </w:tc>
        <w:tc>
          <w:tcPr>
            <w:tcW w:w="992" w:type="dxa"/>
            <w:gridSpan w:val="2"/>
          </w:tcPr>
          <w:p w:rsidR="00E378B5" w:rsidRPr="0042513E" w:rsidRDefault="00E378B5" w:rsidP="00E378B5">
            <w:pPr>
              <w:jc w:val="right"/>
              <w:rPr>
                <w:rFonts w:ascii="Arial" w:hAnsi="Arial" w:cs="Arial"/>
              </w:rPr>
            </w:pPr>
            <w:r w:rsidRPr="0042513E">
              <w:rPr>
                <w:rFonts w:ascii="Arial" w:hAnsi="Arial" w:cs="Arial"/>
              </w:rPr>
              <w:t>25,000</w:t>
            </w:r>
          </w:p>
        </w:tc>
        <w:tc>
          <w:tcPr>
            <w:tcW w:w="992" w:type="dxa"/>
          </w:tcPr>
          <w:p w:rsidR="00E378B5" w:rsidRPr="0042513E" w:rsidRDefault="00E378B5" w:rsidP="00E378B5">
            <w:pPr>
              <w:jc w:val="right"/>
              <w:rPr>
                <w:rFonts w:ascii="Arial" w:hAnsi="Arial" w:cs="Arial"/>
              </w:rPr>
            </w:pPr>
            <w:r w:rsidRPr="0042513E">
              <w:rPr>
                <w:rFonts w:ascii="Arial" w:hAnsi="Arial" w:cs="Arial"/>
              </w:rPr>
              <w:t>50,000</w:t>
            </w:r>
          </w:p>
        </w:tc>
        <w:tc>
          <w:tcPr>
            <w:tcW w:w="991" w:type="dxa"/>
            <w:gridSpan w:val="2"/>
          </w:tcPr>
          <w:p w:rsidR="00E378B5" w:rsidRPr="0042513E" w:rsidRDefault="00E378B5" w:rsidP="00E378B5">
            <w:pPr>
              <w:jc w:val="right"/>
              <w:rPr>
                <w:rFonts w:ascii="Arial" w:hAnsi="Arial" w:cs="Arial"/>
              </w:rPr>
            </w:pPr>
            <w:r w:rsidRPr="0042513E">
              <w:rPr>
                <w:rFonts w:ascii="Arial" w:hAnsi="Arial" w:cs="Arial"/>
              </w:rPr>
              <w:t>60,000</w:t>
            </w:r>
          </w:p>
        </w:tc>
        <w:tc>
          <w:tcPr>
            <w:tcW w:w="992" w:type="dxa"/>
          </w:tcPr>
          <w:p w:rsidR="00E378B5" w:rsidRPr="0042513E" w:rsidRDefault="00E378B5" w:rsidP="00E378B5">
            <w:pPr>
              <w:jc w:val="right"/>
              <w:rPr>
                <w:rFonts w:ascii="Arial" w:hAnsi="Arial" w:cs="Arial"/>
              </w:rPr>
            </w:pPr>
            <w:r w:rsidRPr="0042513E">
              <w:rPr>
                <w:rFonts w:ascii="Arial" w:hAnsi="Arial" w:cs="Arial"/>
              </w:rPr>
              <w:t>80,000</w:t>
            </w:r>
          </w:p>
        </w:tc>
        <w:tc>
          <w:tcPr>
            <w:tcW w:w="993" w:type="dxa"/>
          </w:tcPr>
          <w:p w:rsidR="00E378B5" w:rsidRPr="0042513E" w:rsidRDefault="00E378B5" w:rsidP="00E378B5">
            <w:pPr>
              <w:jc w:val="right"/>
              <w:rPr>
                <w:rFonts w:ascii="Arial" w:hAnsi="Arial" w:cs="Arial"/>
              </w:rPr>
            </w:pPr>
            <w:r w:rsidRPr="0042513E">
              <w:rPr>
                <w:rFonts w:ascii="Arial" w:hAnsi="Arial" w:cs="Arial"/>
              </w:rPr>
              <w:t>100,000</w:t>
            </w:r>
          </w:p>
        </w:tc>
        <w:tc>
          <w:tcPr>
            <w:tcW w:w="942" w:type="dxa"/>
          </w:tcPr>
          <w:p w:rsidR="00E378B5" w:rsidRPr="0042513E" w:rsidRDefault="00E378B5" w:rsidP="00E378B5">
            <w:pPr>
              <w:jc w:val="right"/>
              <w:rPr>
                <w:rFonts w:ascii="Arial" w:hAnsi="Arial" w:cs="Arial"/>
              </w:rPr>
            </w:pPr>
            <w:r w:rsidRPr="0042513E">
              <w:rPr>
                <w:rFonts w:ascii="Arial" w:hAnsi="Arial" w:cs="Arial"/>
              </w:rPr>
              <w:t>100,000</w:t>
            </w:r>
          </w:p>
        </w:tc>
      </w:tr>
      <w:tr w:rsidR="00E378B5" w:rsidRPr="00E97ACE" w:rsidTr="00E378B5">
        <w:trPr>
          <w:trHeight w:val="32"/>
          <w:jc w:val="center"/>
        </w:trPr>
        <w:tc>
          <w:tcPr>
            <w:tcW w:w="1865" w:type="dxa"/>
          </w:tcPr>
          <w:p w:rsidR="00E378B5" w:rsidRPr="0042513E" w:rsidRDefault="00E378B5" w:rsidP="00E378B5">
            <w:pPr>
              <w:rPr>
                <w:rFonts w:ascii="Arial" w:hAnsi="Arial" w:cs="Arial"/>
              </w:rPr>
            </w:pPr>
            <w:r w:rsidRPr="0042513E">
              <w:rPr>
                <w:rFonts w:ascii="Arial" w:hAnsi="Arial" w:cs="Arial"/>
              </w:rPr>
              <w:t>Vietnam - peach and nectarine</w:t>
            </w:r>
          </w:p>
        </w:tc>
        <w:tc>
          <w:tcPr>
            <w:tcW w:w="828" w:type="dxa"/>
          </w:tcPr>
          <w:p w:rsidR="00E378B5" w:rsidRPr="0042513E" w:rsidRDefault="00E378B5" w:rsidP="00E378B5">
            <w:pPr>
              <w:jc w:val="right"/>
              <w:rPr>
                <w:rFonts w:ascii="Arial" w:hAnsi="Arial" w:cs="Arial"/>
              </w:rPr>
            </w:pPr>
          </w:p>
        </w:tc>
        <w:tc>
          <w:tcPr>
            <w:tcW w:w="991" w:type="dxa"/>
          </w:tcPr>
          <w:p w:rsidR="00E378B5" w:rsidRPr="0042513E" w:rsidRDefault="00E378B5" w:rsidP="00E378B5">
            <w:pPr>
              <w:jc w:val="right"/>
              <w:rPr>
                <w:rFonts w:ascii="Arial" w:hAnsi="Arial" w:cs="Arial"/>
              </w:rPr>
            </w:pPr>
            <w:r w:rsidRPr="0042513E">
              <w:rPr>
                <w:rFonts w:ascii="Arial" w:hAnsi="Arial" w:cs="Arial"/>
              </w:rPr>
              <w:t>2,500</w:t>
            </w:r>
          </w:p>
        </w:tc>
        <w:tc>
          <w:tcPr>
            <w:tcW w:w="992" w:type="dxa"/>
            <w:gridSpan w:val="2"/>
          </w:tcPr>
          <w:p w:rsidR="00E378B5" w:rsidRPr="0042513E" w:rsidRDefault="00E378B5" w:rsidP="00E378B5">
            <w:pPr>
              <w:jc w:val="right"/>
              <w:rPr>
                <w:rFonts w:ascii="Arial" w:hAnsi="Arial" w:cs="Arial"/>
              </w:rPr>
            </w:pPr>
            <w:r w:rsidRPr="0042513E">
              <w:rPr>
                <w:rFonts w:ascii="Arial" w:hAnsi="Arial" w:cs="Arial"/>
              </w:rPr>
              <w:t>2,750</w:t>
            </w:r>
          </w:p>
        </w:tc>
        <w:tc>
          <w:tcPr>
            <w:tcW w:w="992" w:type="dxa"/>
          </w:tcPr>
          <w:p w:rsidR="00E378B5" w:rsidRPr="0042513E" w:rsidRDefault="00E378B5" w:rsidP="00E378B5">
            <w:pPr>
              <w:jc w:val="right"/>
              <w:rPr>
                <w:rFonts w:ascii="Arial" w:hAnsi="Arial" w:cs="Arial"/>
              </w:rPr>
            </w:pPr>
            <w:r w:rsidRPr="0042513E">
              <w:rPr>
                <w:rFonts w:ascii="Arial" w:hAnsi="Arial" w:cs="Arial"/>
              </w:rPr>
              <w:t>5,000</w:t>
            </w:r>
          </w:p>
        </w:tc>
        <w:tc>
          <w:tcPr>
            <w:tcW w:w="991" w:type="dxa"/>
            <w:gridSpan w:val="2"/>
          </w:tcPr>
          <w:p w:rsidR="00E378B5" w:rsidRPr="0042513E" w:rsidRDefault="00E378B5" w:rsidP="00E378B5">
            <w:pPr>
              <w:jc w:val="right"/>
              <w:rPr>
                <w:rFonts w:ascii="Arial" w:hAnsi="Arial" w:cs="Arial"/>
              </w:rPr>
            </w:pPr>
            <w:r w:rsidRPr="0042513E">
              <w:rPr>
                <w:rFonts w:ascii="Arial" w:hAnsi="Arial" w:cs="Arial"/>
              </w:rPr>
              <w:t>7,500</w:t>
            </w:r>
          </w:p>
        </w:tc>
        <w:tc>
          <w:tcPr>
            <w:tcW w:w="992" w:type="dxa"/>
          </w:tcPr>
          <w:p w:rsidR="00E378B5" w:rsidRPr="0042513E" w:rsidRDefault="00E378B5" w:rsidP="00E378B5">
            <w:pPr>
              <w:jc w:val="right"/>
              <w:rPr>
                <w:rFonts w:ascii="Arial" w:hAnsi="Arial" w:cs="Arial"/>
              </w:rPr>
            </w:pPr>
            <w:r w:rsidRPr="0042513E">
              <w:rPr>
                <w:rFonts w:ascii="Arial" w:hAnsi="Arial" w:cs="Arial"/>
              </w:rPr>
              <w:t>10,000</w:t>
            </w:r>
          </w:p>
        </w:tc>
        <w:tc>
          <w:tcPr>
            <w:tcW w:w="993" w:type="dxa"/>
          </w:tcPr>
          <w:p w:rsidR="00E378B5" w:rsidRPr="0042513E" w:rsidRDefault="00E378B5" w:rsidP="00E378B5">
            <w:pPr>
              <w:jc w:val="right"/>
              <w:rPr>
                <w:rFonts w:ascii="Arial" w:hAnsi="Arial" w:cs="Arial"/>
              </w:rPr>
            </w:pPr>
            <w:r w:rsidRPr="0042513E">
              <w:rPr>
                <w:rFonts w:ascii="Arial" w:hAnsi="Arial" w:cs="Arial"/>
              </w:rPr>
              <w:t>10,000</w:t>
            </w:r>
          </w:p>
        </w:tc>
        <w:tc>
          <w:tcPr>
            <w:tcW w:w="942" w:type="dxa"/>
          </w:tcPr>
          <w:p w:rsidR="00E378B5" w:rsidRPr="0042513E" w:rsidRDefault="00E378B5" w:rsidP="00E378B5">
            <w:pPr>
              <w:jc w:val="right"/>
              <w:rPr>
                <w:rFonts w:ascii="Arial" w:hAnsi="Arial" w:cs="Arial"/>
              </w:rPr>
            </w:pPr>
            <w:r w:rsidRPr="0042513E">
              <w:rPr>
                <w:rFonts w:ascii="Arial" w:hAnsi="Arial" w:cs="Arial"/>
              </w:rPr>
              <w:t>10,000</w:t>
            </w:r>
          </w:p>
        </w:tc>
      </w:tr>
      <w:tr w:rsidR="00E378B5" w:rsidRPr="00E97ACE" w:rsidTr="00E378B5">
        <w:trPr>
          <w:trHeight w:val="32"/>
          <w:jc w:val="center"/>
        </w:trPr>
        <w:tc>
          <w:tcPr>
            <w:tcW w:w="1865" w:type="dxa"/>
          </w:tcPr>
          <w:p w:rsidR="00E378B5" w:rsidRPr="0042513E" w:rsidRDefault="00E378B5" w:rsidP="00E378B5">
            <w:pPr>
              <w:rPr>
                <w:rFonts w:ascii="Arial" w:hAnsi="Arial" w:cs="Arial"/>
              </w:rPr>
            </w:pPr>
            <w:r w:rsidRPr="0042513E">
              <w:rPr>
                <w:rFonts w:ascii="Arial" w:hAnsi="Arial" w:cs="Arial"/>
              </w:rPr>
              <w:t>Thailand - peach and nectarine</w:t>
            </w:r>
          </w:p>
        </w:tc>
        <w:tc>
          <w:tcPr>
            <w:tcW w:w="828" w:type="dxa"/>
          </w:tcPr>
          <w:p w:rsidR="00E378B5" w:rsidRPr="0042513E" w:rsidRDefault="00E378B5" w:rsidP="00E378B5">
            <w:pPr>
              <w:jc w:val="right"/>
              <w:rPr>
                <w:rFonts w:ascii="Arial" w:hAnsi="Arial" w:cs="Arial"/>
              </w:rPr>
            </w:pPr>
          </w:p>
        </w:tc>
        <w:tc>
          <w:tcPr>
            <w:tcW w:w="991" w:type="dxa"/>
          </w:tcPr>
          <w:p w:rsidR="00E378B5" w:rsidRPr="0042513E" w:rsidRDefault="00E378B5" w:rsidP="00E378B5">
            <w:pPr>
              <w:jc w:val="right"/>
              <w:rPr>
                <w:rFonts w:ascii="Arial" w:hAnsi="Arial" w:cs="Arial"/>
              </w:rPr>
            </w:pPr>
          </w:p>
        </w:tc>
        <w:tc>
          <w:tcPr>
            <w:tcW w:w="992" w:type="dxa"/>
            <w:gridSpan w:val="2"/>
          </w:tcPr>
          <w:p w:rsidR="00E378B5" w:rsidRPr="0042513E" w:rsidRDefault="00E378B5" w:rsidP="00E378B5">
            <w:pPr>
              <w:jc w:val="right"/>
              <w:rPr>
                <w:rFonts w:ascii="Arial" w:hAnsi="Arial" w:cs="Arial"/>
              </w:rPr>
            </w:pPr>
            <w:r w:rsidRPr="0042513E">
              <w:rPr>
                <w:rFonts w:ascii="Arial" w:hAnsi="Arial" w:cs="Arial"/>
              </w:rPr>
              <w:t>3,000</w:t>
            </w:r>
          </w:p>
        </w:tc>
        <w:tc>
          <w:tcPr>
            <w:tcW w:w="992" w:type="dxa"/>
          </w:tcPr>
          <w:p w:rsidR="00E378B5" w:rsidRPr="0042513E" w:rsidRDefault="00E378B5" w:rsidP="00E378B5">
            <w:pPr>
              <w:jc w:val="right"/>
              <w:rPr>
                <w:rFonts w:ascii="Arial" w:hAnsi="Arial" w:cs="Arial"/>
              </w:rPr>
            </w:pPr>
            <w:r w:rsidRPr="0042513E">
              <w:rPr>
                <w:rFonts w:ascii="Arial" w:hAnsi="Arial" w:cs="Arial"/>
              </w:rPr>
              <w:t>3,250</w:t>
            </w:r>
          </w:p>
        </w:tc>
        <w:tc>
          <w:tcPr>
            <w:tcW w:w="991" w:type="dxa"/>
            <w:gridSpan w:val="2"/>
          </w:tcPr>
          <w:p w:rsidR="00E378B5" w:rsidRPr="0042513E" w:rsidRDefault="00E378B5" w:rsidP="00E378B5">
            <w:pPr>
              <w:jc w:val="right"/>
              <w:rPr>
                <w:rFonts w:ascii="Arial" w:hAnsi="Arial" w:cs="Arial"/>
              </w:rPr>
            </w:pPr>
            <w:r w:rsidRPr="0042513E">
              <w:rPr>
                <w:rFonts w:ascii="Arial" w:hAnsi="Arial" w:cs="Arial"/>
              </w:rPr>
              <w:t>6,000</w:t>
            </w:r>
          </w:p>
        </w:tc>
        <w:tc>
          <w:tcPr>
            <w:tcW w:w="992" w:type="dxa"/>
          </w:tcPr>
          <w:p w:rsidR="00E378B5" w:rsidRPr="0042513E" w:rsidRDefault="00E378B5" w:rsidP="00E378B5">
            <w:pPr>
              <w:jc w:val="right"/>
              <w:rPr>
                <w:rFonts w:ascii="Arial" w:hAnsi="Arial" w:cs="Arial"/>
              </w:rPr>
            </w:pPr>
            <w:r w:rsidRPr="0042513E">
              <w:rPr>
                <w:rFonts w:ascii="Arial" w:hAnsi="Arial" w:cs="Arial"/>
              </w:rPr>
              <w:t>7,000</w:t>
            </w:r>
          </w:p>
        </w:tc>
        <w:tc>
          <w:tcPr>
            <w:tcW w:w="993" w:type="dxa"/>
          </w:tcPr>
          <w:p w:rsidR="00E378B5" w:rsidRPr="0042513E" w:rsidRDefault="00E378B5" w:rsidP="00E378B5">
            <w:pPr>
              <w:jc w:val="right"/>
              <w:rPr>
                <w:rFonts w:ascii="Arial" w:hAnsi="Arial" w:cs="Arial"/>
              </w:rPr>
            </w:pPr>
            <w:r w:rsidRPr="0042513E">
              <w:rPr>
                <w:rFonts w:ascii="Arial" w:hAnsi="Arial" w:cs="Arial"/>
              </w:rPr>
              <w:t>8,000</w:t>
            </w:r>
          </w:p>
        </w:tc>
        <w:tc>
          <w:tcPr>
            <w:tcW w:w="942" w:type="dxa"/>
          </w:tcPr>
          <w:p w:rsidR="00E378B5" w:rsidRPr="0042513E" w:rsidRDefault="00E378B5" w:rsidP="00E378B5">
            <w:pPr>
              <w:jc w:val="right"/>
              <w:rPr>
                <w:rFonts w:ascii="Arial" w:hAnsi="Arial" w:cs="Arial"/>
              </w:rPr>
            </w:pPr>
            <w:r w:rsidRPr="0042513E">
              <w:rPr>
                <w:rFonts w:ascii="Arial" w:hAnsi="Arial" w:cs="Arial"/>
              </w:rPr>
              <w:t>8,000</w:t>
            </w:r>
          </w:p>
        </w:tc>
      </w:tr>
      <w:tr w:rsidR="00E378B5" w:rsidRPr="00E97ACE" w:rsidTr="00E378B5">
        <w:trPr>
          <w:trHeight w:val="32"/>
          <w:jc w:val="center"/>
        </w:trPr>
        <w:tc>
          <w:tcPr>
            <w:tcW w:w="1865" w:type="dxa"/>
          </w:tcPr>
          <w:p w:rsidR="00E378B5" w:rsidRPr="0042513E" w:rsidRDefault="00E378B5" w:rsidP="00E378B5">
            <w:pPr>
              <w:rPr>
                <w:rFonts w:ascii="Arial" w:hAnsi="Arial" w:cs="Arial"/>
              </w:rPr>
            </w:pPr>
            <w:r w:rsidRPr="0042513E">
              <w:rPr>
                <w:rFonts w:ascii="Arial" w:hAnsi="Arial" w:cs="Arial"/>
              </w:rPr>
              <w:t>Philippine -  peach and nectarine</w:t>
            </w:r>
          </w:p>
        </w:tc>
        <w:tc>
          <w:tcPr>
            <w:tcW w:w="828" w:type="dxa"/>
          </w:tcPr>
          <w:p w:rsidR="00E378B5" w:rsidRPr="0042513E" w:rsidRDefault="00E378B5" w:rsidP="00E378B5">
            <w:pPr>
              <w:jc w:val="right"/>
              <w:rPr>
                <w:rFonts w:ascii="Arial" w:hAnsi="Arial" w:cs="Arial"/>
              </w:rPr>
            </w:pPr>
          </w:p>
        </w:tc>
        <w:tc>
          <w:tcPr>
            <w:tcW w:w="991" w:type="dxa"/>
          </w:tcPr>
          <w:p w:rsidR="00E378B5" w:rsidRPr="0042513E" w:rsidRDefault="00E378B5" w:rsidP="00E378B5">
            <w:pPr>
              <w:jc w:val="right"/>
              <w:rPr>
                <w:rFonts w:ascii="Arial" w:hAnsi="Arial" w:cs="Arial"/>
              </w:rPr>
            </w:pPr>
          </w:p>
        </w:tc>
        <w:tc>
          <w:tcPr>
            <w:tcW w:w="992" w:type="dxa"/>
            <w:gridSpan w:val="2"/>
          </w:tcPr>
          <w:p w:rsidR="00E378B5" w:rsidRPr="0042513E" w:rsidRDefault="00E378B5" w:rsidP="00E378B5">
            <w:pPr>
              <w:jc w:val="right"/>
              <w:rPr>
                <w:rFonts w:ascii="Arial" w:hAnsi="Arial" w:cs="Arial"/>
              </w:rPr>
            </w:pPr>
            <w:r w:rsidRPr="0042513E">
              <w:rPr>
                <w:rFonts w:ascii="Arial" w:hAnsi="Arial" w:cs="Arial"/>
              </w:rPr>
              <w:t>2,500</w:t>
            </w:r>
          </w:p>
        </w:tc>
        <w:tc>
          <w:tcPr>
            <w:tcW w:w="992" w:type="dxa"/>
          </w:tcPr>
          <w:p w:rsidR="00E378B5" w:rsidRPr="0042513E" w:rsidRDefault="00E378B5" w:rsidP="00E378B5">
            <w:pPr>
              <w:jc w:val="right"/>
              <w:rPr>
                <w:rFonts w:ascii="Arial" w:hAnsi="Arial" w:cs="Arial"/>
              </w:rPr>
            </w:pPr>
            <w:r w:rsidRPr="0042513E">
              <w:rPr>
                <w:rFonts w:ascii="Arial" w:hAnsi="Arial" w:cs="Arial"/>
              </w:rPr>
              <w:t>2,750</w:t>
            </w:r>
          </w:p>
        </w:tc>
        <w:tc>
          <w:tcPr>
            <w:tcW w:w="991" w:type="dxa"/>
            <w:gridSpan w:val="2"/>
          </w:tcPr>
          <w:p w:rsidR="00E378B5" w:rsidRPr="0042513E" w:rsidRDefault="00E378B5" w:rsidP="00E378B5">
            <w:pPr>
              <w:jc w:val="right"/>
              <w:rPr>
                <w:rFonts w:ascii="Arial" w:hAnsi="Arial" w:cs="Arial"/>
              </w:rPr>
            </w:pPr>
            <w:r w:rsidRPr="0042513E">
              <w:rPr>
                <w:rFonts w:ascii="Arial" w:hAnsi="Arial" w:cs="Arial"/>
              </w:rPr>
              <w:t>5,000</w:t>
            </w:r>
          </w:p>
        </w:tc>
        <w:tc>
          <w:tcPr>
            <w:tcW w:w="992" w:type="dxa"/>
          </w:tcPr>
          <w:p w:rsidR="00E378B5" w:rsidRPr="0042513E" w:rsidRDefault="00E378B5" w:rsidP="00E378B5">
            <w:pPr>
              <w:jc w:val="right"/>
              <w:rPr>
                <w:rFonts w:ascii="Arial" w:hAnsi="Arial" w:cs="Arial"/>
              </w:rPr>
            </w:pPr>
            <w:r w:rsidRPr="0042513E">
              <w:rPr>
                <w:rFonts w:ascii="Arial" w:hAnsi="Arial" w:cs="Arial"/>
              </w:rPr>
              <w:t>7,500</w:t>
            </w:r>
          </w:p>
        </w:tc>
        <w:tc>
          <w:tcPr>
            <w:tcW w:w="993" w:type="dxa"/>
          </w:tcPr>
          <w:p w:rsidR="00E378B5" w:rsidRPr="0042513E" w:rsidRDefault="00E378B5" w:rsidP="00E378B5">
            <w:pPr>
              <w:jc w:val="right"/>
              <w:rPr>
                <w:rFonts w:ascii="Arial" w:hAnsi="Arial" w:cs="Arial"/>
              </w:rPr>
            </w:pPr>
            <w:r w:rsidRPr="0042513E">
              <w:rPr>
                <w:rFonts w:ascii="Arial" w:hAnsi="Arial" w:cs="Arial"/>
              </w:rPr>
              <w:t>10,000</w:t>
            </w:r>
          </w:p>
        </w:tc>
        <w:tc>
          <w:tcPr>
            <w:tcW w:w="942" w:type="dxa"/>
          </w:tcPr>
          <w:p w:rsidR="00E378B5" w:rsidRPr="0042513E" w:rsidRDefault="00E378B5" w:rsidP="00E378B5">
            <w:pPr>
              <w:jc w:val="right"/>
              <w:rPr>
                <w:rFonts w:ascii="Arial" w:hAnsi="Arial" w:cs="Arial"/>
              </w:rPr>
            </w:pPr>
            <w:r w:rsidRPr="0042513E">
              <w:rPr>
                <w:rFonts w:ascii="Arial" w:hAnsi="Arial" w:cs="Arial"/>
              </w:rPr>
              <w:t>10,000</w:t>
            </w:r>
          </w:p>
        </w:tc>
      </w:tr>
      <w:tr w:rsidR="00E378B5" w:rsidRPr="00E97ACE" w:rsidTr="00E378B5">
        <w:trPr>
          <w:trHeight w:val="32"/>
          <w:jc w:val="center"/>
        </w:trPr>
        <w:tc>
          <w:tcPr>
            <w:tcW w:w="1865" w:type="dxa"/>
          </w:tcPr>
          <w:p w:rsidR="00E378B5" w:rsidRPr="0042513E" w:rsidRDefault="00E378B5" w:rsidP="00E378B5">
            <w:pPr>
              <w:rPr>
                <w:rFonts w:ascii="Arial" w:hAnsi="Arial" w:cs="Arial"/>
              </w:rPr>
            </w:pPr>
            <w:r w:rsidRPr="0042513E">
              <w:rPr>
                <w:rFonts w:ascii="Arial" w:hAnsi="Arial" w:cs="Arial"/>
              </w:rPr>
              <w:t>Taiwan -peach and nectarine</w:t>
            </w:r>
          </w:p>
        </w:tc>
        <w:tc>
          <w:tcPr>
            <w:tcW w:w="828" w:type="dxa"/>
          </w:tcPr>
          <w:p w:rsidR="00E378B5" w:rsidRPr="0042513E" w:rsidRDefault="00E378B5" w:rsidP="00E378B5">
            <w:pPr>
              <w:jc w:val="right"/>
              <w:rPr>
                <w:rFonts w:ascii="Arial" w:hAnsi="Arial" w:cs="Arial"/>
              </w:rPr>
            </w:pPr>
          </w:p>
        </w:tc>
        <w:tc>
          <w:tcPr>
            <w:tcW w:w="991" w:type="dxa"/>
          </w:tcPr>
          <w:p w:rsidR="00E378B5" w:rsidRPr="0042513E" w:rsidRDefault="00E378B5" w:rsidP="00E378B5">
            <w:pPr>
              <w:jc w:val="right"/>
              <w:rPr>
                <w:rFonts w:ascii="Arial" w:hAnsi="Arial" w:cs="Arial"/>
              </w:rPr>
            </w:pPr>
          </w:p>
        </w:tc>
        <w:tc>
          <w:tcPr>
            <w:tcW w:w="992" w:type="dxa"/>
            <w:gridSpan w:val="2"/>
          </w:tcPr>
          <w:p w:rsidR="00E378B5" w:rsidRPr="0042513E" w:rsidRDefault="00E378B5" w:rsidP="00E378B5">
            <w:pPr>
              <w:jc w:val="right"/>
              <w:rPr>
                <w:rFonts w:ascii="Arial" w:hAnsi="Arial" w:cs="Arial"/>
              </w:rPr>
            </w:pPr>
          </w:p>
        </w:tc>
        <w:tc>
          <w:tcPr>
            <w:tcW w:w="992" w:type="dxa"/>
          </w:tcPr>
          <w:p w:rsidR="00E378B5" w:rsidRPr="0042513E" w:rsidRDefault="00E378B5" w:rsidP="00E378B5">
            <w:pPr>
              <w:jc w:val="right"/>
              <w:rPr>
                <w:rFonts w:ascii="Arial" w:hAnsi="Arial" w:cs="Arial"/>
              </w:rPr>
            </w:pPr>
            <w:r w:rsidRPr="0042513E">
              <w:rPr>
                <w:rFonts w:ascii="Arial" w:hAnsi="Arial" w:cs="Arial"/>
              </w:rPr>
              <w:t>2,500</w:t>
            </w:r>
          </w:p>
        </w:tc>
        <w:tc>
          <w:tcPr>
            <w:tcW w:w="991" w:type="dxa"/>
            <w:gridSpan w:val="2"/>
          </w:tcPr>
          <w:p w:rsidR="00E378B5" w:rsidRPr="0042513E" w:rsidRDefault="00E378B5" w:rsidP="00E378B5">
            <w:pPr>
              <w:jc w:val="right"/>
              <w:rPr>
                <w:rFonts w:ascii="Arial" w:hAnsi="Arial" w:cs="Arial"/>
              </w:rPr>
            </w:pPr>
            <w:r w:rsidRPr="0042513E">
              <w:rPr>
                <w:rFonts w:ascii="Arial" w:hAnsi="Arial" w:cs="Arial"/>
              </w:rPr>
              <w:t>2,750</w:t>
            </w:r>
          </w:p>
        </w:tc>
        <w:tc>
          <w:tcPr>
            <w:tcW w:w="992" w:type="dxa"/>
          </w:tcPr>
          <w:p w:rsidR="00E378B5" w:rsidRPr="0042513E" w:rsidRDefault="00E378B5" w:rsidP="00E378B5">
            <w:pPr>
              <w:jc w:val="right"/>
              <w:rPr>
                <w:rFonts w:ascii="Arial" w:hAnsi="Arial" w:cs="Arial"/>
              </w:rPr>
            </w:pPr>
            <w:r w:rsidRPr="0042513E">
              <w:rPr>
                <w:rFonts w:ascii="Arial" w:hAnsi="Arial" w:cs="Arial"/>
              </w:rPr>
              <w:t>5,000</w:t>
            </w:r>
          </w:p>
        </w:tc>
        <w:tc>
          <w:tcPr>
            <w:tcW w:w="993" w:type="dxa"/>
          </w:tcPr>
          <w:p w:rsidR="00E378B5" w:rsidRPr="0042513E" w:rsidRDefault="00E378B5" w:rsidP="00E378B5">
            <w:pPr>
              <w:jc w:val="right"/>
              <w:rPr>
                <w:rFonts w:ascii="Arial" w:hAnsi="Arial" w:cs="Arial"/>
              </w:rPr>
            </w:pPr>
            <w:r w:rsidRPr="0042513E">
              <w:rPr>
                <w:rFonts w:ascii="Arial" w:hAnsi="Arial" w:cs="Arial"/>
              </w:rPr>
              <w:t>7,500</w:t>
            </w:r>
          </w:p>
        </w:tc>
        <w:tc>
          <w:tcPr>
            <w:tcW w:w="942" w:type="dxa"/>
          </w:tcPr>
          <w:p w:rsidR="00E378B5" w:rsidRPr="0042513E" w:rsidRDefault="00E378B5" w:rsidP="00E378B5">
            <w:pPr>
              <w:jc w:val="right"/>
              <w:rPr>
                <w:rFonts w:ascii="Arial" w:hAnsi="Arial" w:cs="Arial"/>
              </w:rPr>
            </w:pPr>
            <w:r w:rsidRPr="0042513E">
              <w:rPr>
                <w:rFonts w:ascii="Arial" w:hAnsi="Arial" w:cs="Arial"/>
              </w:rPr>
              <w:t>10,000</w:t>
            </w:r>
          </w:p>
        </w:tc>
      </w:tr>
      <w:tr w:rsidR="00E378B5" w:rsidRPr="00E97ACE" w:rsidTr="00E378B5">
        <w:trPr>
          <w:jc w:val="center"/>
        </w:trPr>
        <w:tc>
          <w:tcPr>
            <w:tcW w:w="3937" w:type="dxa"/>
            <w:gridSpan w:val="4"/>
          </w:tcPr>
          <w:p w:rsidR="00E378B5" w:rsidRPr="00BA5C5A" w:rsidRDefault="00E378B5" w:rsidP="00E378B5">
            <w:pPr>
              <w:rPr>
                <w:rFonts w:ascii="Arial" w:hAnsi="Arial" w:cs="Arial"/>
                <w:color w:val="000000" w:themeColor="text1"/>
                <w:sz w:val="22"/>
              </w:rPr>
            </w:pPr>
            <w:r w:rsidRPr="00BA5C5A">
              <w:rPr>
                <w:rFonts w:ascii="Arial" w:hAnsi="Arial" w:cs="Arial"/>
                <w:color w:val="000000" w:themeColor="text1"/>
                <w:sz w:val="22"/>
              </w:rPr>
              <w:t>Probability that access will be achieved in new markets</w:t>
            </w:r>
          </w:p>
        </w:tc>
        <w:tc>
          <w:tcPr>
            <w:tcW w:w="2065" w:type="dxa"/>
            <w:gridSpan w:val="3"/>
          </w:tcPr>
          <w:p w:rsidR="00E378B5" w:rsidRPr="00BA5C5A" w:rsidRDefault="00E378B5" w:rsidP="00E378B5">
            <w:pPr>
              <w:jc w:val="center"/>
              <w:rPr>
                <w:rFonts w:ascii="Arial" w:hAnsi="Arial" w:cs="Arial"/>
                <w:color w:val="000000" w:themeColor="text1"/>
                <w:sz w:val="22"/>
              </w:rPr>
            </w:pPr>
            <w:r w:rsidRPr="00BA5C5A">
              <w:rPr>
                <w:rFonts w:ascii="Arial" w:hAnsi="Arial" w:cs="Arial"/>
                <w:color w:val="000000" w:themeColor="text1"/>
                <w:sz w:val="22"/>
              </w:rPr>
              <w:t>80%</w:t>
            </w:r>
          </w:p>
        </w:tc>
        <w:tc>
          <w:tcPr>
            <w:tcW w:w="3584" w:type="dxa"/>
            <w:gridSpan w:val="4"/>
          </w:tcPr>
          <w:p w:rsidR="00E378B5" w:rsidRPr="00BA5C5A" w:rsidRDefault="00E378B5" w:rsidP="00E378B5">
            <w:pPr>
              <w:rPr>
                <w:rFonts w:ascii="Arial" w:hAnsi="Arial" w:cs="Arial"/>
                <w:sz w:val="22"/>
              </w:rPr>
            </w:pPr>
            <w:r w:rsidRPr="00BA5C5A">
              <w:rPr>
                <w:rFonts w:ascii="Arial" w:hAnsi="Arial" w:cs="Arial"/>
                <w:sz w:val="22"/>
              </w:rPr>
              <w:t>Consultant assumption based on industry discussions</w:t>
            </w:r>
          </w:p>
        </w:tc>
      </w:tr>
      <w:tr w:rsidR="00E378B5" w:rsidRPr="004A7CFA" w:rsidTr="00E378B5">
        <w:trPr>
          <w:jc w:val="center"/>
        </w:trPr>
        <w:tc>
          <w:tcPr>
            <w:tcW w:w="3937" w:type="dxa"/>
            <w:gridSpan w:val="4"/>
          </w:tcPr>
          <w:p w:rsidR="00E378B5" w:rsidRPr="00EB6AE2" w:rsidRDefault="00E378B5" w:rsidP="00E378B5">
            <w:pPr>
              <w:rPr>
                <w:rFonts w:ascii="Arial" w:hAnsi="Arial" w:cs="Arial"/>
                <w:color w:val="000000" w:themeColor="text1"/>
                <w:sz w:val="22"/>
                <w:szCs w:val="22"/>
              </w:rPr>
            </w:pPr>
            <w:r w:rsidRPr="00EB6AE2">
              <w:rPr>
                <w:rFonts w:ascii="Arial" w:hAnsi="Arial" w:cs="Arial"/>
                <w:color w:val="000000" w:themeColor="text1"/>
                <w:sz w:val="22"/>
                <w:szCs w:val="22"/>
              </w:rPr>
              <w:t xml:space="preserve">Year in which maximum nectarine and peach sales achieved in each market </w:t>
            </w:r>
          </w:p>
        </w:tc>
        <w:tc>
          <w:tcPr>
            <w:tcW w:w="2065" w:type="dxa"/>
            <w:gridSpan w:val="3"/>
          </w:tcPr>
          <w:p w:rsidR="00E378B5" w:rsidRPr="00EB6AE2" w:rsidRDefault="00E378B5" w:rsidP="00E378B5">
            <w:pPr>
              <w:jc w:val="center"/>
              <w:rPr>
                <w:rFonts w:ascii="Arial" w:hAnsi="Arial" w:cs="Arial"/>
                <w:color w:val="000000" w:themeColor="text1"/>
                <w:sz w:val="22"/>
                <w:szCs w:val="22"/>
              </w:rPr>
            </w:pPr>
            <w:r>
              <w:rPr>
                <w:rFonts w:ascii="Arial" w:hAnsi="Arial" w:cs="Arial"/>
                <w:color w:val="000000" w:themeColor="text1"/>
                <w:sz w:val="22"/>
                <w:szCs w:val="22"/>
              </w:rPr>
              <w:t>4-</w:t>
            </w:r>
            <w:r w:rsidRPr="00EB6AE2">
              <w:rPr>
                <w:rFonts w:ascii="Arial" w:hAnsi="Arial" w:cs="Arial"/>
                <w:color w:val="000000" w:themeColor="text1"/>
                <w:sz w:val="22"/>
                <w:szCs w:val="22"/>
              </w:rPr>
              <w:t>5 years after trade established in each market</w:t>
            </w:r>
          </w:p>
        </w:tc>
        <w:tc>
          <w:tcPr>
            <w:tcW w:w="3584" w:type="dxa"/>
            <w:gridSpan w:val="4"/>
          </w:tcPr>
          <w:p w:rsidR="00E378B5" w:rsidRPr="00CA2219" w:rsidRDefault="00E378B5" w:rsidP="00E378B5">
            <w:pPr>
              <w:rPr>
                <w:rFonts w:ascii="Arial" w:hAnsi="Arial" w:cs="Arial"/>
                <w:sz w:val="22"/>
                <w:szCs w:val="22"/>
              </w:rPr>
            </w:pPr>
            <w:r w:rsidRPr="00EB6AE2">
              <w:rPr>
                <w:rFonts w:ascii="Arial" w:hAnsi="Arial" w:cs="Arial"/>
                <w:sz w:val="22"/>
                <w:szCs w:val="22"/>
              </w:rPr>
              <w:t xml:space="preserve">Consultant assumption assuming high priced airfreight sales remain a niche </w:t>
            </w:r>
            <w:r>
              <w:rPr>
                <w:rFonts w:ascii="Arial" w:hAnsi="Arial" w:cs="Arial"/>
                <w:sz w:val="22"/>
                <w:szCs w:val="22"/>
              </w:rPr>
              <w:t xml:space="preserve">that is quickly filled. Ongoing sales growth limited by </w:t>
            </w:r>
            <w:r w:rsidRPr="00EB6AE2">
              <w:rPr>
                <w:rFonts w:ascii="Arial" w:hAnsi="Arial" w:cs="Arial"/>
                <w:sz w:val="22"/>
                <w:szCs w:val="22"/>
              </w:rPr>
              <w:t>competition from alternative suppliers e.g. cherries from Chile</w:t>
            </w:r>
          </w:p>
        </w:tc>
      </w:tr>
      <w:tr w:rsidR="00E378B5" w:rsidRPr="004A7CFA" w:rsidTr="00E378B5">
        <w:trPr>
          <w:jc w:val="center"/>
        </w:trPr>
        <w:tc>
          <w:tcPr>
            <w:tcW w:w="9586" w:type="dxa"/>
            <w:gridSpan w:val="11"/>
          </w:tcPr>
          <w:p w:rsidR="00E378B5" w:rsidRPr="00732BD7" w:rsidRDefault="003C0808" w:rsidP="00E378B5">
            <w:pPr>
              <w:rPr>
                <w:rFonts w:ascii="Arial" w:hAnsi="Arial" w:cs="Arial"/>
                <w:color w:val="000000" w:themeColor="text1"/>
              </w:rPr>
            </w:pPr>
            <w:r>
              <w:rPr>
                <w:rFonts w:ascii="Arial" w:hAnsi="Arial" w:cs="Arial"/>
                <w:b/>
                <w:color w:val="000000" w:themeColor="text1"/>
                <w:sz w:val="22"/>
                <w:szCs w:val="22"/>
              </w:rPr>
              <w:t>ALTERNATIVE</w:t>
            </w:r>
            <w:r w:rsidR="00E378B5">
              <w:rPr>
                <w:rFonts w:ascii="Arial" w:hAnsi="Arial" w:cs="Arial"/>
                <w:b/>
                <w:color w:val="000000" w:themeColor="text1"/>
                <w:sz w:val="22"/>
                <w:szCs w:val="22"/>
              </w:rPr>
              <w:t xml:space="preserve"> </w:t>
            </w:r>
            <w:r w:rsidR="00E378B5" w:rsidRPr="00732BD7">
              <w:rPr>
                <w:rFonts w:ascii="Arial" w:hAnsi="Arial" w:cs="Arial"/>
                <w:b/>
                <w:color w:val="000000" w:themeColor="text1"/>
                <w:sz w:val="22"/>
                <w:szCs w:val="22"/>
              </w:rPr>
              <w:t xml:space="preserve">COUNTERFACTUAL: </w:t>
            </w:r>
            <w:r w:rsidR="00E378B5" w:rsidRPr="00732BD7">
              <w:rPr>
                <w:rFonts w:ascii="Arial" w:hAnsi="Arial" w:cs="Arial"/>
                <w:color w:val="000000" w:themeColor="text1"/>
                <w:sz w:val="22"/>
                <w:szCs w:val="22"/>
              </w:rPr>
              <w:t xml:space="preserve">Methyl bromide is replaced by irradiation as the preferred airfreight protocol in </w:t>
            </w:r>
            <w:r w:rsidR="00E378B5">
              <w:rPr>
                <w:rFonts w:ascii="Arial" w:hAnsi="Arial" w:cs="Arial"/>
                <w:color w:val="000000" w:themeColor="text1"/>
                <w:sz w:val="22"/>
                <w:szCs w:val="22"/>
              </w:rPr>
              <w:t xml:space="preserve">Asian markets in </w:t>
            </w:r>
            <w:r w:rsidR="00E378B5" w:rsidRPr="00732BD7">
              <w:rPr>
                <w:rFonts w:ascii="Arial" w:hAnsi="Arial" w:cs="Arial"/>
                <w:color w:val="000000" w:themeColor="text1"/>
                <w:sz w:val="22"/>
                <w:szCs w:val="22"/>
              </w:rPr>
              <w:t xml:space="preserve">the year ended June 2021 </w:t>
            </w:r>
          </w:p>
        </w:tc>
      </w:tr>
      <w:tr w:rsidR="00E378B5" w:rsidRPr="004A7CFA" w:rsidTr="00E378B5">
        <w:trPr>
          <w:jc w:val="center"/>
        </w:trPr>
        <w:tc>
          <w:tcPr>
            <w:tcW w:w="3937" w:type="dxa"/>
            <w:gridSpan w:val="4"/>
          </w:tcPr>
          <w:p w:rsidR="00E378B5" w:rsidRPr="00CD0615" w:rsidRDefault="00E378B5" w:rsidP="00E378B5">
            <w:pPr>
              <w:rPr>
                <w:rFonts w:ascii="Arial" w:hAnsi="Arial" w:cs="Arial"/>
                <w:color w:val="000000" w:themeColor="text1"/>
                <w:sz w:val="22"/>
                <w:szCs w:val="22"/>
              </w:rPr>
            </w:pPr>
            <w:r w:rsidRPr="00CD0615">
              <w:rPr>
                <w:rFonts w:ascii="Arial" w:hAnsi="Arial" w:cs="Arial"/>
                <w:color w:val="000000" w:themeColor="text1"/>
                <w:sz w:val="22"/>
                <w:szCs w:val="22"/>
              </w:rPr>
              <w:t>Benefit: Growth in summerfruit exports</w:t>
            </w:r>
          </w:p>
        </w:tc>
        <w:tc>
          <w:tcPr>
            <w:tcW w:w="5649" w:type="dxa"/>
            <w:gridSpan w:val="7"/>
          </w:tcPr>
          <w:p w:rsidR="00E378B5" w:rsidRPr="00CD0615" w:rsidRDefault="00E378B5" w:rsidP="00E378B5">
            <w:pPr>
              <w:rPr>
                <w:rFonts w:ascii="Arial" w:hAnsi="Arial" w:cs="Arial"/>
                <w:color w:val="000000" w:themeColor="text1"/>
                <w:sz w:val="22"/>
                <w:szCs w:val="22"/>
              </w:rPr>
            </w:pPr>
            <w:r w:rsidRPr="00CD0615">
              <w:rPr>
                <w:rFonts w:ascii="Arial" w:hAnsi="Arial" w:cs="Arial"/>
                <w:color w:val="000000" w:themeColor="text1"/>
                <w:sz w:val="22"/>
                <w:szCs w:val="22"/>
              </w:rPr>
              <w:t>Same assumptions as for the Base Counterfactual except benefits cease after 5</w:t>
            </w:r>
            <w:r>
              <w:rPr>
                <w:rFonts w:ascii="Arial" w:hAnsi="Arial" w:cs="Arial"/>
                <w:color w:val="000000" w:themeColor="text1"/>
                <w:sz w:val="22"/>
                <w:szCs w:val="22"/>
              </w:rPr>
              <w:t xml:space="preserve"> </w:t>
            </w:r>
            <w:r w:rsidRPr="00CD0615">
              <w:rPr>
                <w:rFonts w:ascii="Arial" w:hAnsi="Arial" w:cs="Arial"/>
                <w:color w:val="000000" w:themeColor="text1"/>
                <w:sz w:val="22"/>
                <w:szCs w:val="22"/>
              </w:rPr>
              <w:t xml:space="preserve">years </w:t>
            </w:r>
          </w:p>
        </w:tc>
      </w:tr>
    </w:tbl>
    <w:p w:rsidR="00E378B5" w:rsidRDefault="00E378B5" w:rsidP="00E378B5"/>
    <w:p w:rsidR="00E378B5" w:rsidRDefault="00E378B5" w:rsidP="00E378B5"/>
    <w:p w:rsidR="00E378B5" w:rsidRPr="00C66231" w:rsidRDefault="00E378B5" w:rsidP="00C66231">
      <w:pPr>
        <w:spacing w:after="240"/>
        <w:rPr>
          <w:rFonts w:ascii="Arial" w:hAnsi="Arial" w:cs="Arial"/>
          <w:b/>
          <w:sz w:val="40"/>
          <w:szCs w:val="40"/>
        </w:rPr>
      </w:pPr>
      <w:bookmarkStart w:id="191" w:name="_Toc476387741"/>
      <w:bookmarkStart w:id="192" w:name="_Toc486145233"/>
      <w:bookmarkStart w:id="193" w:name="_Toc486145342"/>
      <w:bookmarkStart w:id="194" w:name="_Toc486146258"/>
      <w:r w:rsidRPr="00C66231">
        <w:rPr>
          <w:rFonts w:ascii="Arial" w:hAnsi="Arial" w:cs="Arial"/>
          <w:b/>
          <w:sz w:val="40"/>
          <w:szCs w:val="40"/>
        </w:rPr>
        <w:t>7. Investment Criteria</w:t>
      </w:r>
      <w:bookmarkEnd w:id="191"/>
      <w:bookmarkEnd w:id="192"/>
      <w:bookmarkEnd w:id="193"/>
      <w:bookmarkEnd w:id="194"/>
      <w:r w:rsidRPr="00C66231">
        <w:rPr>
          <w:rFonts w:ascii="Arial" w:hAnsi="Arial" w:cs="Arial"/>
          <w:b/>
          <w:sz w:val="40"/>
          <w:szCs w:val="40"/>
        </w:rPr>
        <w:t xml:space="preserve"> </w:t>
      </w:r>
    </w:p>
    <w:p w:rsidR="00E378B5" w:rsidRDefault="00E378B5" w:rsidP="00F712CF">
      <w:pPr>
        <w:spacing w:after="240"/>
        <w:rPr>
          <w:rFonts w:ascii="Arial" w:hAnsi="Arial" w:cs="Arial"/>
        </w:rPr>
      </w:pPr>
      <w:r w:rsidRPr="007D67C2">
        <w:rPr>
          <w:rFonts w:ascii="Arial" w:hAnsi="Arial" w:cs="Arial"/>
        </w:rPr>
        <w:t>All past costs were expressed in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dollar terms using the Implicit Price Deflator for G</w:t>
      </w:r>
      <w:r>
        <w:rPr>
          <w:rFonts w:ascii="Arial" w:hAnsi="Arial" w:cs="Arial"/>
        </w:rPr>
        <w:t>ross Domestic Product</w:t>
      </w:r>
      <w:r w:rsidRPr="007D67C2">
        <w:rPr>
          <w:rFonts w:ascii="Arial" w:hAnsi="Arial" w:cs="Arial"/>
        </w:rPr>
        <w:t xml:space="preserve">. </w:t>
      </w:r>
      <w:r>
        <w:rPr>
          <w:rFonts w:ascii="Arial" w:hAnsi="Arial" w:cs="Arial"/>
        </w:rPr>
        <w:t xml:space="preserve">As described earlier, the Hort Innovation </w:t>
      </w:r>
      <w:r w:rsidRPr="007D67C2">
        <w:rPr>
          <w:rFonts w:ascii="Arial" w:hAnsi="Arial" w:cs="Arial"/>
        </w:rPr>
        <w:t>component of project investment costs w</w:t>
      </w:r>
      <w:r>
        <w:rPr>
          <w:rFonts w:ascii="Arial" w:hAnsi="Arial" w:cs="Arial"/>
        </w:rPr>
        <w:t>as</w:t>
      </w:r>
      <w:r w:rsidRPr="007D67C2">
        <w:rPr>
          <w:rFonts w:ascii="Arial" w:hAnsi="Arial" w:cs="Arial"/>
        </w:rPr>
        <w:t xml:space="preserve"> multiplied by a factor of 1.</w:t>
      </w:r>
      <w:r>
        <w:rPr>
          <w:rFonts w:ascii="Arial" w:hAnsi="Arial" w:cs="Arial"/>
        </w:rPr>
        <w:t>1227</w:t>
      </w:r>
      <w:r w:rsidRPr="007D67C2">
        <w:rPr>
          <w:rFonts w:ascii="Arial" w:hAnsi="Arial" w:cs="Arial"/>
        </w:rPr>
        <w:t xml:space="preserve"> to accommodate program management costs</w:t>
      </w:r>
      <w:r>
        <w:rPr>
          <w:rFonts w:ascii="Arial" w:hAnsi="Arial" w:cs="Arial"/>
        </w:rPr>
        <w:t xml:space="preserve">. </w:t>
      </w:r>
      <w:r w:rsidRPr="00D03CA7">
        <w:rPr>
          <w:rFonts w:ascii="Arial" w:hAnsi="Arial" w:cs="Arial"/>
        </w:rPr>
        <w:t xml:space="preserve">The DAF investment costs already had </w:t>
      </w:r>
      <w:r>
        <w:rPr>
          <w:rFonts w:ascii="Arial" w:hAnsi="Arial" w:cs="Arial"/>
        </w:rPr>
        <w:t xml:space="preserve">program management costs </w:t>
      </w:r>
      <w:r w:rsidRPr="00D03CA7">
        <w:rPr>
          <w:rFonts w:ascii="Arial" w:hAnsi="Arial" w:cs="Arial"/>
        </w:rPr>
        <w:t>included.</w:t>
      </w:r>
    </w:p>
    <w:p w:rsidR="00E378B5" w:rsidRDefault="00E378B5" w:rsidP="00F712CF">
      <w:pPr>
        <w:spacing w:after="240"/>
        <w:rPr>
          <w:rFonts w:ascii="Arial" w:hAnsi="Arial" w:cs="Arial"/>
        </w:rPr>
      </w:pPr>
      <w:r w:rsidRPr="007D67C2">
        <w:rPr>
          <w:rFonts w:ascii="Arial" w:hAnsi="Arial" w:cs="Arial"/>
        </w:rPr>
        <w:t>All benefits after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were expressed in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dollar terms. All costs and benefits were discounted to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using a discount rate of 5%. A reinvestment rate of </w:t>
      </w:r>
      <w:r>
        <w:rPr>
          <w:rFonts w:ascii="Arial" w:hAnsi="Arial" w:cs="Arial"/>
        </w:rPr>
        <w:t>5% was used for estimating the Modified Internal Rate of Return (M</w:t>
      </w:r>
      <w:r w:rsidRPr="007D67C2">
        <w:rPr>
          <w:rFonts w:ascii="Arial" w:hAnsi="Arial" w:cs="Arial"/>
        </w:rPr>
        <w:t>IRR</w:t>
      </w:r>
      <w:r>
        <w:rPr>
          <w:rFonts w:ascii="Arial" w:hAnsi="Arial" w:cs="Arial"/>
        </w:rPr>
        <w:t>)</w:t>
      </w:r>
      <w:r w:rsidRPr="007D67C2">
        <w:rPr>
          <w:rFonts w:ascii="Arial" w:hAnsi="Arial" w:cs="Arial"/>
        </w:rPr>
        <w:t xml:space="preserve">. The base analysis used the best available estimates for each variable, notwithstanding a level of uncertainty for many of the estimates. All analyses ran for the length of the investment period plus 30 years from the last year of investment (2015/16) to the final year of benefits assumed. </w:t>
      </w:r>
    </w:p>
    <w:p w:rsidR="00E378B5" w:rsidRDefault="00E378B5" w:rsidP="00F712CF">
      <w:pPr>
        <w:spacing w:after="240"/>
        <w:rPr>
          <w:rFonts w:ascii="Arial" w:hAnsi="Arial" w:cs="Arial"/>
          <w:b/>
          <w:sz w:val="24"/>
        </w:rPr>
      </w:pPr>
      <w:r w:rsidRPr="006C069D">
        <w:rPr>
          <w:rFonts w:ascii="Arial" w:hAnsi="Arial" w:cs="Arial"/>
          <w:b/>
          <w:sz w:val="24"/>
        </w:rPr>
        <w:t>Investment Criteria</w:t>
      </w:r>
      <w:r>
        <w:rPr>
          <w:rFonts w:ascii="Arial" w:hAnsi="Arial" w:cs="Arial"/>
          <w:b/>
          <w:sz w:val="24"/>
        </w:rPr>
        <w:t xml:space="preserve"> using Base Counterfactual </w:t>
      </w:r>
    </w:p>
    <w:p w:rsidR="00E378B5" w:rsidRDefault="00E378B5" w:rsidP="00F712CF">
      <w:pPr>
        <w:spacing w:after="240"/>
        <w:rPr>
          <w:rFonts w:ascii="Arial" w:hAnsi="Arial" w:cs="Arial"/>
        </w:rPr>
      </w:pPr>
      <w:r w:rsidRPr="006C069D">
        <w:rPr>
          <w:rFonts w:ascii="Arial" w:hAnsi="Arial" w:cs="Arial"/>
        </w:rPr>
        <w:t xml:space="preserve">Tables </w:t>
      </w:r>
      <w:r>
        <w:rPr>
          <w:rFonts w:ascii="Arial" w:hAnsi="Arial" w:cs="Arial"/>
        </w:rPr>
        <w:t>7, 8</w:t>
      </w:r>
      <w:r w:rsidRPr="006C069D">
        <w:rPr>
          <w:rFonts w:ascii="Arial" w:hAnsi="Arial" w:cs="Arial"/>
        </w:rPr>
        <w:t xml:space="preserve"> </w:t>
      </w:r>
      <w:r>
        <w:rPr>
          <w:rFonts w:ascii="Arial" w:hAnsi="Arial" w:cs="Arial"/>
        </w:rPr>
        <w:t xml:space="preserve">and 9 </w:t>
      </w:r>
      <w:r w:rsidRPr="006C069D">
        <w:rPr>
          <w:rFonts w:ascii="Arial" w:hAnsi="Arial" w:cs="Arial"/>
        </w:rPr>
        <w:t xml:space="preserve">show the investment criteria estimated for different periods of benefits for the total investment and the DAF </w:t>
      </w:r>
      <w:r>
        <w:rPr>
          <w:rFonts w:ascii="Arial" w:hAnsi="Arial" w:cs="Arial"/>
        </w:rPr>
        <w:t xml:space="preserve">and Hort Innovation </w:t>
      </w:r>
      <w:r w:rsidRPr="006C069D">
        <w:rPr>
          <w:rFonts w:ascii="Arial" w:hAnsi="Arial" w:cs="Arial"/>
        </w:rPr>
        <w:t xml:space="preserve">investment respectively. The present value of benefits (PVB) attributable to DAF investment only, shown in Table </w:t>
      </w:r>
      <w:r>
        <w:rPr>
          <w:rFonts w:ascii="Arial" w:hAnsi="Arial" w:cs="Arial"/>
        </w:rPr>
        <w:t>8</w:t>
      </w:r>
      <w:r w:rsidRPr="006C069D">
        <w:rPr>
          <w:rFonts w:ascii="Arial" w:hAnsi="Arial" w:cs="Arial"/>
        </w:rPr>
        <w:t xml:space="preserve">, has been estimated by multiplying the total PVB by the DAF proportion of </w:t>
      </w:r>
      <w:r>
        <w:rPr>
          <w:rFonts w:ascii="Arial" w:hAnsi="Arial" w:cs="Arial"/>
        </w:rPr>
        <w:t xml:space="preserve">real investment </w:t>
      </w:r>
      <w:r w:rsidRPr="006C069D">
        <w:rPr>
          <w:rFonts w:ascii="Arial" w:hAnsi="Arial" w:cs="Arial"/>
        </w:rPr>
        <w:t>(</w:t>
      </w:r>
      <w:r>
        <w:rPr>
          <w:rFonts w:ascii="Arial" w:hAnsi="Arial" w:cs="Arial"/>
        </w:rPr>
        <w:t>41.3</w:t>
      </w:r>
      <w:r w:rsidRPr="006C069D">
        <w:rPr>
          <w:rFonts w:ascii="Arial" w:hAnsi="Arial" w:cs="Arial"/>
        </w:rPr>
        <w:t>%).</w:t>
      </w:r>
      <w:r>
        <w:rPr>
          <w:rFonts w:ascii="Arial" w:hAnsi="Arial" w:cs="Arial"/>
        </w:rPr>
        <w:t xml:space="preserve"> Hort Innovation’s share of benefits has been determined on the same basis (47.1%) and is shown in Table 9. The balance of benefits is attributable to DAWR’s activities.</w:t>
      </w:r>
    </w:p>
    <w:p w:rsidR="00E378B5" w:rsidRPr="00C66231" w:rsidRDefault="00E378B5" w:rsidP="00C66231">
      <w:pPr>
        <w:pStyle w:val="Caption"/>
        <w:spacing w:after="240"/>
        <w:jc w:val="center"/>
        <w:rPr>
          <w:rFonts w:ascii="Arial" w:hAnsi="Arial"/>
          <w:b w:val="0"/>
          <w:i/>
          <w:sz w:val="22"/>
          <w:szCs w:val="22"/>
        </w:rPr>
      </w:pPr>
      <w:bookmarkStart w:id="195" w:name="_Toc476632580"/>
      <w:r w:rsidRPr="00C66231">
        <w:rPr>
          <w:rFonts w:ascii="Arial" w:hAnsi="Arial"/>
          <w:b w:val="0"/>
          <w:color w:val="000000" w:themeColor="text1"/>
          <w:sz w:val="22"/>
          <w:szCs w:val="22"/>
        </w:rPr>
        <w:t xml:space="preserve">Table </w:t>
      </w:r>
      <w:r w:rsidR="003147F5" w:rsidRPr="003147F5">
        <w:rPr>
          <w:rFonts w:ascii="Arial" w:hAnsi="Arial"/>
          <w:b w:val="0"/>
          <w:color w:val="000000" w:themeColor="text1"/>
          <w:sz w:val="22"/>
          <w:szCs w:val="22"/>
        </w:rPr>
        <w:t>7</w:t>
      </w:r>
      <w:r w:rsidRPr="00C66231">
        <w:rPr>
          <w:rFonts w:ascii="Arial" w:hAnsi="Arial"/>
          <w:b w:val="0"/>
          <w:color w:val="000000" w:themeColor="text1"/>
          <w:sz w:val="22"/>
          <w:szCs w:val="22"/>
        </w:rPr>
        <w:t>: Investment Criteria for Total Investment in the Project</w:t>
      </w:r>
      <w:bookmarkEnd w:id="195"/>
    </w:p>
    <w:tbl>
      <w:tblPr>
        <w:tblStyle w:val="TableGrid"/>
        <w:tblW w:w="5807" w:type="pct"/>
        <w:jc w:val="center"/>
        <w:tblLayout w:type="fixed"/>
        <w:tblLook w:val="04A0" w:firstRow="1" w:lastRow="0" w:firstColumn="1" w:lastColumn="0" w:noHBand="0" w:noVBand="1"/>
      </w:tblPr>
      <w:tblGrid>
        <w:gridCol w:w="3406"/>
        <w:gridCol w:w="1131"/>
        <w:gridCol w:w="1097"/>
        <w:gridCol w:w="965"/>
        <w:gridCol w:w="965"/>
        <w:gridCol w:w="968"/>
        <w:gridCol w:w="957"/>
        <w:gridCol w:w="982"/>
      </w:tblGrid>
      <w:tr w:rsidR="00E378B5" w:rsidRPr="0042513E" w:rsidTr="0042513E">
        <w:trPr>
          <w:jc w:val="center"/>
        </w:trPr>
        <w:tc>
          <w:tcPr>
            <w:tcW w:w="1626" w:type="pct"/>
            <w:vMerge w:val="restart"/>
          </w:tcPr>
          <w:p w:rsidR="00E378B5" w:rsidRPr="0042513E" w:rsidRDefault="00E378B5" w:rsidP="00E378B5">
            <w:pPr>
              <w:rPr>
                <w:rFonts w:ascii="Arial" w:hAnsi="Arial" w:cs="Arial"/>
                <w:b/>
                <w:sz w:val="22"/>
                <w:szCs w:val="22"/>
              </w:rPr>
            </w:pPr>
            <w:r w:rsidRPr="0042513E">
              <w:rPr>
                <w:rFonts w:ascii="Arial" w:hAnsi="Arial" w:cs="Arial"/>
                <w:b/>
                <w:sz w:val="22"/>
                <w:szCs w:val="22"/>
              </w:rPr>
              <w:t xml:space="preserve">Investment criteria </w:t>
            </w:r>
          </w:p>
        </w:tc>
        <w:tc>
          <w:tcPr>
            <w:tcW w:w="3374" w:type="pct"/>
            <w:gridSpan w:val="7"/>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 xml:space="preserve">Number of years from year of last investment </w:t>
            </w:r>
          </w:p>
        </w:tc>
      </w:tr>
      <w:tr w:rsidR="00E378B5" w:rsidRPr="0042513E" w:rsidTr="0042513E">
        <w:trPr>
          <w:jc w:val="center"/>
        </w:trPr>
        <w:tc>
          <w:tcPr>
            <w:tcW w:w="1626" w:type="pct"/>
            <w:vMerge/>
          </w:tcPr>
          <w:p w:rsidR="00E378B5" w:rsidRPr="0042513E" w:rsidRDefault="00E378B5" w:rsidP="00E378B5">
            <w:pPr>
              <w:rPr>
                <w:rFonts w:ascii="Arial" w:hAnsi="Arial" w:cs="Arial"/>
                <w:sz w:val="22"/>
                <w:szCs w:val="22"/>
              </w:rPr>
            </w:pPr>
          </w:p>
        </w:tc>
        <w:tc>
          <w:tcPr>
            <w:tcW w:w="540" w:type="pct"/>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0</w:t>
            </w:r>
          </w:p>
        </w:tc>
        <w:tc>
          <w:tcPr>
            <w:tcW w:w="524" w:type="pct"/>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5</w:t>
            </w:r>
          </w:p>
        </w:tc>
        <w:tc>
          <w:tcPr>
            <w:tcW w:w="461" w:type="pct"/>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10</w:t>
            </w:r>
          </w:p>
        </w:tc>
        <w:tc>
          <w:tcPr>
            <w:tcW w:w="461" w:type="pct"/>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15</w:t>
            </w:r>
          </w:p>
        </w:tc>
        <w:tc>
          <w:tcPr>
            <w:tcW w:w="462" w:type="pct"/>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20</w:t>
            </w:r>
          </w:p>
        </w:tc>
        <w:tc>
          <w:tcPr>
            <w:tcW w:w="457" w:type="pct"/>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25</w:t>
            </w:r>
          </w:p>
        </w:tc>
        <w:tc>
          <w:tcPr>
            <w:tcW w:w="467" w:type="pct"/>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30</w:t>
            </w:r>
          </w:p>
        </w:tc>
      </w:tr>
      <w:tr w:rsidR="00E378B5" w:rsidRPr="0042513E" w:rsidTr="0042513E">
        <w:trPr>
          <w:jc w:val="center"/>
        </w:trPr>
        <w:tc>
          <w:tcPr>
            <w:tcW w:w="1626"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Present value of benefits ($m)</w:t>
            </w:r>
          </w:p>
        </w:tc>
        <w:tc>
          <w:tcPr>
            <w:tcW w:w="540" w:type="pct"/>
            <w:tcBorders>
              <w:top w:val="single" w:sz="4" w:space="0" w:color="auto"/>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0.03</w:t>
            </w:r>
          </w:p>
        </w:tc>
        <w:tc>
          <w:tcPr>
            <w:tcW w:w="524"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0.74</w:t>
            </w:r>
          </w:p>
        </w:tc>
        <w:tc>
          <w:tcPr>
            <w:tcW w:w="461"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1.81</w:t>
            </w:r>
          </w:p>
        </w:tc>
        <w:tc>
          <w:tcPr>
            <w:tcW w:w="461"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2.65</w:t>
            </w:r>
          </w:p>
        </w:tc>
        <w:tc>
          <w:tcPr>
            <w:tcW w:w="462"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3.31</w:t>
            </w:r>
          </w:p>
        </w:tc>
        <w:tc>
          <w:tcPr>
            <w:tcW w:w="457"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3.82</w:t>
            </w:r>
          </w:p>
        </w:tc>
        <w:tc>
          <w:tcPr>
            <w:tcW w:w="467"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4.</w:t>
            </w:r>
            <w:r w:rsidR="00F9103A" w:rsidRPr="0042513E">
              <w:rPr>
                <w:rFonts w:ascii="Arial" w:hAnsi="Arial" w:cs="Arial"/>
                <w:color w:val="000000" w:themeColor="text1"/>
                <w:sz w:val="22"/>
                <w:szCs w:val="22"/>
              </w:rPr>
              <w:t>15</w:t>
            </w:r>
          </w:p>
        </w:tc>
      </w:tr>
      <w:tr w:rsidR="00E378B5" w:rsidRPr="0042513E" w:rsidTr="0042513E">
        <w:trPr>
          <w:jc w:val="center"/>
        </w:trPr>
        <w:tc>
          <w:tcPr>
            <w:tcW w:w="1626"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Present value of costs ($m)</w:t>
            </w:r>
          </w:p>
        </w:tc>
        <w:tc>
          <w:tcPr>
            <w:tcW w:w="540"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524"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62"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5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6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r>
      <w:tr w:rsidR="00E378B5" w:rsidRPr="0042513E" w:rsidTr="0042513E">
        <w:trPr>
          <w:jc w:val="center"/>
        </w:trPr>
        <w:tc>
          <w:tcPr>
            <w:tcW w:w="1626"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Net present value ($m)</w:t>
            </w:r>
          </w:p>
        </w:tc>
        <w:tc>
          <w:tcPr>
            <w:tcW w:w="540"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-0.86</w:t>
            </w:r>
          </w:p>
        </w:tc>
        <w:tc>
          <w:tcPr>
            <w:tcW w:w="524"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-0.15</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0.92</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1.75</w:t>
            </w:r>
          </w:p>
        </w:tc>
        <w:tc>
          <w:tcPr>
            <w:tcW w:w="462"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2.41</w:t>
            </w:r>
          </w:p>
        </w:tc>
        <w:tc>
          <w:tcPr>
            <w:tcW w:w="45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2.93</w:t>
            </w:r>
          </w:p>
        </w:tc>
        <w:tc>
          <w:tcPr>
            <w:tcW w:w="46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3.</w:t>
            </w:r>
            <w:r w:rsidR="003C0808" w:rsidRPr="0042513E">
              <w:rPr>
                <w:rFonts w:ascii="Arial" w:hAnsi="Arial" w:cs="Arial"/>
                <w:color w:val="000000" w:themeColor="text1"/>
                <w:sz w:val="22"/>
                <w:szCs w:val="22"/>
              </w:rPr>
              <w:t>26</w:t>
            </w:r>
          </w:p>
        </w:tc>
      </w:tr>
      <w:tr w:rsidR="00E378B5" w:rsidRPr="0042513E" w:rsidTr="0042513E">
        <w:trPr>
          <w:jc w:val="center"/>
        </w:trPr>
        <w:tc>
          <w:tcPr>
            <w:tcW w:w="1626"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Benefit-cost ratio</w:t>
            </w:r>
          </w:p>
        </w:tc>
        <w:tc>
          <w:tcPr>
            <w:tcW w:w="540"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0.04</w:t>
            </w:r>
          </w:p>
        </w:tc>
        <w:tc>
          <w:tcPr>
            <w:tcW w:w="524"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0.83</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2.02</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2.96</w:t>
            </w:r>
          </w:p>
        </w:tc>
        <w:tc>
          <w:tcPr>
            <w:tcW w:w="462"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3.70</w:t>
            </w:r>
          </w:p>
        </w:tc>
        <w:tc>
          <w:tcPr>
            <w:tcW w:w="45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4.72</w:t>
            </w:r>
          </w:p>
        </w:tc>
        <w:tc>
          <w:tcPr>
            <w:tcW w:w="46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4.</w:t>
            </w:r>
            <w:r w:rsidR="003C0808" w:rsidRPr="0042513E">
              <w:rPr>
                <w:rFonts w:ascii="Arial" w:hAnsi="Arial" w:cs="Arial"/>
                <w:color w:val="000000" w:themeColor="text1"/>
                <w:sz w:val="22"/>
                <w:szCs w:val="22"/>
              </w:rPr>
              <w:t>64</w:t>
            </w:r>
          </w:p>
        </w:tc>
      </w:tr>
      <w:tr w:rsidR="00E378B5" w:rsidRPr="0042513E" w:rsidTr="0042513E">
        <w:trPr>
          <w:jc w:val="center"/>
        </w:trPr>
        <w:tc>
          <w:tcPr>
            <w:tcW w:w="1626"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Internal rate of return (IRR) (%)</w:t>
            </w:r>
          </w:p>
        </w:tc>
        <w:tc>
          <w:tcPr>
            <w:tcW w:w="540"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524"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19.0</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22.4</w:t>
            </w:r>
          </w:p>
        </w:tc>
        <w:tc>
          <w:tcPr>
            <w:tcW w:w="462"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23.3</w:t>
            </w:r>
          </w:p>
        </w:tc>
        <w:tc>
          <w:tcPr>
            <w:tcW w:w="45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23.6</w:t>
            </w:r>
          </w:p>
        </w:tc>
        <w:tc>
          <w:tcPr>
            <w:tcW w:w="46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23.7</w:t>
            </w:r>
          </w:p>
        </w:tc>
      </w:tr>
      <w:tr w:rsidR="00E378B5" w:rsidRPr="0042513E" w:rsidTr="0042513E">
        <w:trPr>
          <w:jc w:val="center"/>
        </w:trPr>
        <w:tc>
          <w:tcPr>
            <w:tcW w:w="1626"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Modified IRR (%)</w:t>
            </w:r>
          </w:p>
        </w:tc>
        <w:tc>
          <w:tcPr>
            <w:tcW w:w="540"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524"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1.0</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12.9</w:t>
            </w:r>
          </w:p>
        </w:tc>
        <w:tc>
          <w:tcPr>
            <w:tcW w:w="461"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13.1</w:t>
            </w:r>
          </w:p>
        </w:tc>
        <w:tc>
          <w:tcPr>
            <w:tcW w:w="462"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12.2</w:t>
            </w:r>
          </w:p>
        </w:tc>
        <w:tc>
          <w:tcPr>
            <w:tcW w:w="45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11.4</w:t>
            </w:r>
          </w:p>
        </w:tc>
        <w:tc>
          <w:tcPr>
            <w:tcW w:w="467"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10.</w:t>
            </w:r>
            <w:r w:rsidR="003C0808" w:rsidRPr="0042513E">
              <w:rPr>
                <w:rFonts w:ascii="Arial" w:hAnsi="Arial" w:cs="Arial"/>
                <w:color w:val="000000" w:themeColor="text1"/>
                <w:sz w:val="22"/>
                <w:szCs w:val="22"/>
              </w:rPr>
              <w:t>8</w:t>
            </w:r>
          </w:p>
        </w:tc>
      </w:tr>
    </w:tbl>
    <w:p w:rsidR="00E378B5" w:rsidRPr="003C0808" w:rsidRDefault="00E378B5" w:rsidP="00E378B5">
      <w:pPr>
        <w:rPr>
          <w:color w:val="000000" w:themeColor="text1"/>
        </w:rPr>
      </w:pPr>
    </w:p>
    <w:p w:rsidR="00E378B5" w:rsidRPr="00C66231" w:rsidRDefault="00E378B5" w:rsidP="00C66231">
      <w:pPr>
        <w:pStyle w:val="Caption"/>
        <w:spacing w:after="240"/>
        <w:jc w:val="center"/>
        <w:rPr>
          <w:rFonts w:ascii="Arial" w:hAnsi="Arial"/>
          <w:b w:val="0"/>
          <w:color w:val="000000" w:themeColor="text1"/>
          <w:sz w:val="22"/>
          <w:szCs w:val="22"/>
        </w:rPr>
      </w:pPr>
      <w:bookmarkStart w:id="196" w:name="_Toc476632581"/>
      <w:r w:rsidRPr="00C66231">
        <w:rPr>
          <w:rFonts w:ascii="Arial" w:hAnsi="Arial"/>
          <w:b w:val="0"/>
          <w:color w:val="000000" w:themeColor="text1"/>
          <w:sz w:val="22"/>
          <w:szCs w:val="22"/>
        </w:rPr>
        <w:t xml:space="preserve">Table </w:t>
      </w:r>
      <w:r w:rsidR="003147F5">
        <w:rPr>
          <w:rFonts w:ascii="Arial" w:hAnsi="Arial"/>
          <w:b w:val="0"/>
          <w:color w:val="000000" w:themeColor="text1"/>
          <w:sz w:val="22"/>
          <w:szCs w:val="22"/>
        </w:rPr>
        <w:t>8</w:t>
      </w:r>
      <w:r w:rsidRPr="00C66231">
        <w:rPr>
          <w:rFonts w:ascii="Arial" w:hAnsi="Arial"/>
          <w:b w:val="0"/>
          <w:color w:val="000000" w:themeColor="text1"/>
          <w:sz w:val="22"/>
          <w:szCs w:val="22"/>
        </w:rPr>
        <w:t>: Investment Criteria for DAF Investment in the Project</w:t>
      </w:r>
      <w:bookmarkEnd w:id="196"/>
      <w:r w:rsidRPr="00C66231">
        <w:rPr>
          <w:rFonts w:ascii="Arial" w:hAnsi="Arial"/>
          <w:b w:val="0"/>
          <w:color w:val="000000" w:themeColor="text1"/>
          <w:sz w:val="22"/>
          <w:szCs w:val="22"/>
        </w:rPr>
        <w:t xml:space="preserve">  </w:t>
      </w:r>
    </w:p>
    <w:tbl>
      <w:tblPr>
        <w:tblStyle w:val="TableGrid"/>
        <w:tblW w:w="5817" w:type="pct"/>
        <w:jc w:val="center"/>
        <w:tblLayout w:type="fixed"/>
        <w:tblLook w:val="04A0" w:firstRow="1" w:lastRow="0" w:firstColumn="1" w:lastColumn="0" w:noHBand="0" w:noVBand="1"/>
      </w:tblPr>
      <w:tblGrid>
        <w:gridCol w:w="3397"/>
        <w:gridCol w:w="1136"/>
        <w:gridCol w:w="1122"/>
        <w:gridCol w:w="971"/>
        <w:gridCol w:w="971"/>
        <w:gridCol w:w="971"/>
        <w:gridCol w:w="971"/>
        <w:gridCol w:w="950"/>
      </w:tblGrid>
      <w:tr w:rsidR="00E378B5" w:rsidRPr="0042513E" w:rsidTr="0042513E">
        <w:trPr>
          <w:jc w:val="center"/>
        </w:trPr>
        <w:tc>
          <w:tcPr>
            <w:tcW w:w="1619" w:type="pct"/>
            <w:vMerge w:val="restart"/>
          </w:tcPr>
          <w:p w:rsidR="00E378B5" w:rsidRPr="0042513E" w:rsidRDefault="00E378B5" w:rsidP="00E378B5">
            <w:pPr>
              <w:rPr>
                <w:rFonts w:ascii="Arial" w:hAnsi="Arial" w:cs="Arial"/>
                <w:b/>
                <w:color w:val="000000" w:themeColor="text1"/>
                <w:sz w:val="22"/>
                <w:szCs w:val="22"/>
              </w:rPr>
            </w:pPr>
            <w:r w:rsidRPr="0042513E">
              <w:rPr>
                <w:rFonts w:ascii="Arial" w:hAnsi="Arial" w:cs="Arial"/>
                <w:b/>
                <w:color w:val="000000" w:themeColor="text1"/>
                <w:sz w:val="22"/>
                <w:szCs w:val="22"/>
              </w:rPr>
              <w:t xml:space="preserve">Investment criteria </w:t>
            </w:r>
          </w:p>
        </w:tc>
        <w:tc>
          <w:tcPr>
            <w:tcW w:w="3381" w:type="pct"/>
            <w:gridSpan w:val="7"/>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 xml:space="preserve">Number of years from year of last investment </w:t>
            </w:r>
          </w:p>
        </w:tc>
      </w:tr>
      <w:tr w:rsidR="00E378B5" w:rsidRPr="0042513E" w:rsidTr="0042513E">
        <w:trPr>
          <w:jc w:val="center"/>
        </w:trPr>
        <w:tc>
          <w:tcPr>
            <w:tcW w:w="1619" w:type="pct"/>
            <w:vMerge/>
          </w:tcPr>
          <w:p w:rsidR="00E378B5" w:rsidRPr="0042513E" w:rsidRDefault="00E378B5" w:rsidP="00E378B5">
            <w:pPr>
              <w:rPr>
                <w:rFonts w:ascii="Arial" w:hAnsi="Arial" w:cs="Arial"/>
                <w:color w:val="000000" w:themeColor="text1"/>
                <w:sz w:val="22"/>
                <w:szCs w:val="22"/>
                <w:highlight w:val="yellow"/>
              </w:rPr>
            </w:pPr>
          </w:p>
        </w:tc>
        <w:tc>
          <w:tcPr>
            <w:tcW w:w="541"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0</w:t>
            </w:r>
          </w:p>
        </w:tc>
        <w:tc>
          <w:tcPr>
            <w:tcW w:w="535"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5</w:t>
            </w:r>
          </w:p>
        </w:tc>
        <w:tc>
          <w:tcPr>
            <w:tcW w:w="4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10</w:t>
            </w:r>
          </w:p>
        </w:tc>
        <w:tc>
          <w:tcPr>
            <w:tcW w:w="4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15</w:t>
            </w:r>
          </w:p>
        </w:tc>
        <w:tc>
          <w:tcPr>
            <w:tcW w:w="4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20</w:t>
            </w:r>
          </w:p>
        </w:tc>
        <w:tc>
          <w:tcPr>
            <w:tcW w:w="4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25</w:t>
            </w:r>
          </w:p>
        </w:tc>
        <w:tc>
          <w:tcPr>
            <w:tcW w:w="454"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30</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Present value of benefits ($m)</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0.01</w:t>
            </w:r>
          </w:p>
        </w:tc>
        <w:tc>
          <w:tcPr>
            <w:tcW w:w="535"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0.31</w:t>
            </w:r>
          </w:p>
        </w:tc>
        <w:tc>
          <w:tcPr>
            <w:tcW w:w="463"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0.75</w:t>
            </w:r>
          </w:p>
        </w:tc>
        <w:tc>
          <w:tcPr>
            <w:tcW w:w="463"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1.10</w:t>
            </w:r>
          </w:p>
        </w:tc>
        <w:tc>
          <w:tcPr>
            <w:tcW w:w="463"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1.10</w:t>
            </w:r>
          </w:p>
        </w:tc>
        <w:tc>
          <w:tcPr>
            <w:tcW w:w="463"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1.58</w:t>
            </w:r>
          </w:p>
        </w:tc>
        <w:tc>
          <w:tcPr>
            <w:tcW w:w="454"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1.7</w:t>
            </w:r>
            <w:r w:rsidR="003C0808" w:rsidRPr="0042513E">
              <w:rPr>
                <w:rFonts w:ascii="Arial" w:hAnsi="Arial" w:cs="Arial"/>
                <w:color w:val="000000" w:themeColor="text1"/>
                <w:sz w:val="22"/>
                <w:szCs w:val="22"/>
              </w:rPr>
              <w:t>2</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Present value of costs ($m)</w:t>
            </w:r>
          </w:p>
        </w:tc>
        <w:tc>
          <w:tcPr>
            <w:tcW w:w="541" w:type="pct"/>
            <w:tcBorders>
              <w:top w:val="nil"/>
              <w:left w:val="single" w:sz="4" w:space="0" w:color="auto"/>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0.37</w:t>
            </w:r>
          </w:p>
        </w:tc>
        <w:tc>
          <w:tcPr>
            <w:tcW w:w="535"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0.37</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0.37</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0.37</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0.37</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0.37</w:t>
            </w:r>
          </w:p>
        </w:tc>
        <w:tc>
          <w:tcPr>
            <w:tcW w:w="454"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0.37</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Net present value ($m)</w:t>
            </w:r>
          </w:p>
        </w:tc>
        <w:tc>
          <w:tcPr>
            <w:tcW w:w="541" w:type="pct"/>
            <w:tcBorders>
              <w:top w:val="nil"/>
              <w:left w:val="single" w:sz="4" w:space="0" w:color="auto"/>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-0.36</w:t>
            </w:r>
          </w:p>
        </w:tc>
        <w:tc>
          <w:tcPr>
            <w:tcW w:w="535"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-0.06</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0.38</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0.73</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0.73</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1.21</w:t>
            </w:r>
          </w:p>
        </w:tc>
        <w:tc>
          <w:tcPr>
            <w:tcW w:w="454"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1.3</w:t>
            </w:r>
            <w:r w:rsidR="003C0808" w:rsidRPr="0042513E">
              <w:rPr>
                <w:rFonts w:ascii="Arial" w:hAnsi="Arial" w:cs="Arial"/>
                <w:color w:val="000000" w:themeColor="text1"/>
                <w:sz w:val="22"/>
                <w:szCs w:val="22"/>
              </w:rPr>
              <w:t>5</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Benefit-cost ratio</w:t>
            </w:r>
          </w:p>
        </w:tc>
        <w:tc>
          <w:tcPr>
            <w:tcW w:w="541" w:type="pct"/>
            <w:tcBorders>
              <w:top w:val="nil"/>
              <w:left w:val="single" w:sz="4" w:space="0" w:color="auto"/>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0.04</w:t>
            </w:r>
          </w:p>
        </w:tc>
        <w:tc>
          <w:tcPr>
            <w:tcW w:w="535"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0.83</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2.03</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2.97</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2.97</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4.28</w:t>
            </w:r>
          </w:p>
        </w:tc>
        <w:tc>
          <w:tcPr>
            <w:tcW w:w="454"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4.</w:t>
            </w:r>
            <w:r w:rsidR="003C0808" w:rsidRPr="0042513E">
              <w:rPr>
                <w:rFonts w:ascii="Arial" w:hAnsi="Arial" w:cs="Arial"/>
                <w:color w:val="000000" w:themeColor="text1"/>
                <w:sz w:val="22"/>
                <w:szCs w:val="22"/>
              </w:rPr>
              <w:t>65</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Internal rate of return (%)</w:t>
            </w:r>
          </w:p>
        </w:tc>
        <w:tc>
          <w:tcPr>
            <w:tcW w:w="541"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535"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19.1</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22.5</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23.4</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23.6</w:t>
            </w:r>
          </w:p>
        </w:tc>
        <w:tc>
          <w:tcPr>
            <w:tcW w:w="454"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w:t>
            </w:r>
            <w:r w:rsidR="003C0808" w:rsidRPr="0042513E">
              <w:rPr>
                <w:rFonts w:ascii="Arial" w:hAnsi="Arial" w:cs="Arial"/>
                <w:color w:val="000000" w:themeColor="text1"/>
                <w:sz w:val="22"/>
                <w:szCs w:val="22"/>
              </w:rPr>
              <w:t>4</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Modified IRR</w:t>
            </w:r>
          </w:p>
        </w:tc>
        <w:tc>
          <w:tcPr>
            <w:tcW w:w="541"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535"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1.0</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12.9</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13.1</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12.3</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11.4</w:t>
            </w:r>
          </w:p>
        </w:tc>
        <w:tc>
          <w:tcPr>
            <w:tcW w:w="454"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10.</w:t>
            </w:r>
            <w:r w:rsidR="003C0808" w:rsidRPr="0042513E">
              <w:rPr>
                <w:rFonts w:ascii="Arial" w:hAnsi="Arial" w:cs="Arial"/>
                <w:color w:val="000000" w:themeColor="text1"/>
                <w:sz w:val="22"/>
                <w:szCs w:val="22"/>
              </w:rPr>
              <w:t>8</w:t>
            </w:r>
          </w:p>
        </w:tc>
      </w:tr>
    </w:tbl>
    <w:p w:rsidR="00E378B5" w:rsidRPr="003C0808" w:rsidRDefault="00E378B5" w:rsidP="00E378B5">
      <w:pPr>
        <w:rPr>
          <w:color w:val="000000" w:themeColor="text1"/>
          <w:highlight w:val="yellow"/>
        </w:rPr>
      </w:pPr>
    </w:p>
    <w:p w:rsidR="00E378B5" w:rsidRPr="00C66231" w:rsidRDefault="00E378B5" w:rsidP="00C66231">
      <w:pPr>
        <w:pStyle w:val="Caption"/>
        <w:spacing w:after="240"/>
        <w:jc w:val="center"/>
        <w:rPr>
          <w:rFonts w:ascii="Arial" w:hAnsi="Arial"/>
          <w:b w:val="0"/>
          <w:color w:val="000000" w:themeColor="text1"/>
          <w:sz w:val="22"/>
          <w:szCs w:val="22"/>
        </w:rPr>
      </w:pPr>
      <w:r w:rsidRPr="00C66231">
        <w:rPr>
          <w:rFonts w:ascii="Arial" w:hAnsi="Arial"/>
          <w:b w:val="0"/>
          <w:color w:val="000000" w:themeColor="text1"/>
          <w:sz w:val="22"/>
          <w:szCs w:val="22"/>
        </w:rPr>
        <w:t xml:space="preserve">Table </w:t>
      </w:r>
      <w:r w:rsidR="003147F5">
        <w:rPr>
          <w:rFonts w:ascii="Arial" w:hAnsi="Arial"/>
          <w:b w:val="0"/>
          <w:color w:val="000000" w:themeColor="text1"/>
          <w:sz w:val="22"/>
          <w:szCs w:val="22"/>
        </w:rPr>
        <w:t>9</w:t>
      </w:r>
      <w:r w:rsidRPr="00C66231">
        <w:rPr>
          <w:rFonts w:ascii="Arial" w:hAnsi="Arial"/>
          <w:b w:val="0"/>
          <w:color w:val="000000" w:themeColor="text1"/>
          <w:sz w:val="22"/>
          <w:szCs w:val="22"/>
        </w:rPr>
        <w:t xml:space="preserve">: Investment Criteria for Hort Innovation Investment in the Project  </w:t>
      </w:r>
    </w:p>
    <w:tbl>
      <w:tblPr>
        <w:tblStyle w:val="TableGrid"/>
        <w:tblW w:w="5817" w:type="pct"/>
        <w:jc w:val="center"/>
        <w:tblLayout w:type="fixed"/>
        <w:tblLook w:val="04A0" w:firstRow="1" w:lastRow="0" w:firstColumn="1" w:lastColumn="0" w:noHBand="0" w:noVBand="1"/>
      </w:tblPr>
      <w:tblGrid>
        <w:gridCol w:w="3397"/>
        <w:gridCol w:w="1135"/>
        <w:gridCol w:w="1116"/>
        <w:gridCol w:w="971"/>
        <w:gridCol w:w="971"/>
        <w:gridCol w:w="971"/>
        <w:gridCol w:w="971"/>
        <w:gridCol w:w="957"/>
      </w:tblGrid>
      <w:tr w:rsidR="00E378B5" w:rsidRPr="0042513E" w:rsidTr="0042513E">
        <w:trPr>
          <w:jc w:val="center"/>
        </w:trPr>
        <w:tc>
          <w:tcPr>
            <w:tcW w:w="1619" w:type="pct"/>
            <w:vMerge w:val="restart"/>
          </w:tcPr>
          <w:p w:rsidR="00E378B5" w:rsidRPr="0042513E" w:rsidRDefault="00E378B5" w:rsidP="00E378B5">
            <w:pPr>
              <w:rPr>
                <w:rFonts w:ascii="Arial" w:hAnsi="Arial" w:cs="Arial"/>
                <w:b/>
                <w:color w:val="000000" w:themeColor="text1"/>
                <w:sz w:val="22"/>
                <w:szCs w:val="22"/>
              </w:rPr>
            </w:pPr>
            <w:r w:rsidRPr="0042513E">
              <w:rPr>
                <w:rFonts w:ascii="Arial" w:hAnsi="Arial" w:cs="Arial"/>
                <w:b/>
                <w:color w:val="000000" w:themeColor="text1"/>
                <w:sz w:val="22"/>
                <w:szCs w:val="22"/>
              </w:rPr>
              <w:t xml:space="preserve">Investment criteria </w:t>
            </w:r>
          </w:p>
        </w:tc>
        <w:tc>
          <w:tcPr>
            <w:tcW w:w="3381" w:type="pct"/>
            <w:gridSpan w:val="7"/>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 xml:space="preserve">Number of years from year of last investment </w:t>
            </w:r>
          </w:p>
        </w:tc>
      </w:tr>
      <w:tr w:rsidR="00E378B5" w:rsidRPr="0042513E" w:rsidTr="0042513E">
        <w:trPr>
          <w:jc w:val="center"/>
        </w:trPr>
        <w:tc>
          <w:tcPr>
            <w:tcW w:w="1619" w:type="pct"/>
            <w:vMerge/>
          </w:tcPr>
          <w:p w:rsidR="00E378B5" w:rsidRPr="0042513E" w:rsidRDefault="00E378B5" w:rsidP="00E378B5">
            <w:pPr>
              <w:rPr>
                <w:rFonts w:ascii="Arial" w:hAnsi="Arial" w:cs="Arial"/>
                <w:color w:val="000000" w:themeColor="text1"/>
                <w:sz w:val="22"/>
                <w:szCs w:val="22"/>
                <w:highlight w:val="yellow"/>
              </w:rPr>
            </w:pPr>
          </w:p>
        </w:tc>
        <w:tc>
          <w:tcPr>
            <w:tcW w:w="541"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0</w:t>
            </w:r>
          </w:p>
        </w:tc>
        <w:tc>
          <w:tcPr>
            <w:tcW w:w="532"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5</w:t>
            </w:r>
          </w:p>
        </w:tc>
        <w:tc>
          <w:tcPr>
            <w:tcW w:w="4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10</w:t>
            </w:r>
          </w:p>
        </w:tc>
        <w:tc>
          <w:tcPr>
            <w:tcW w:w="4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15</w:t>
            </w:r>
          </w:p>
        </w:tc>
        <w:tc>
          <w:tcPr>
            <w:tcW w:w="4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20</w:t>
            </w:r>
          </w:p>
        </w:tc>
        <w:tc>
          <w:tcPr>
            <w:tcW w:w="4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25</w:t>
            </w:r>
          </w:p>
        </w:tc>
        <w:tc>
          <w:tcPr>
            <w:tcW w:w="457"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30</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Present value of benefits ($m)</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0.01</w:t>
            </w:r>
          </w:p>
        </w:tc>
        <w:tc>
          <w:tcPr>
            <w:tcW w:w="532"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0.35</w:t>
            </w:r>
          </w:p>
        </w:tc>
        <w:tc>
          <w:tcPr>
            <w:tcW w:w="463"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0.85</w:t>
            </w:r>
          </w:p>
        </w:tc>
        <w:tc>
          <w:tcPr>
            <w:tcW w:w="463"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1.24</w:t>
            </w:r>
          </w:p>
        </w:tc>
        <w:tc>
          <w:tcPr>
            <w:tcW w:w="463"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1.24</w:t>
            </w:r>
          </w:p>
        </w:tc>
        <w:tc>
          <w:tcPr>
            <w:tcW w:w="463"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1.80</w:t>
            </w:r>
          </w:p>
        </w:tc>
        <w:tc>
          <w:tcPr>
            <w:tcW w:w="457" w:type="pct"/>
            <w:tcBorders>
              <w:top w:val="single" w:sz="4" w:space="0" w:color="auto"/>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highlight w:val="yellow"/>
              </w:rPr>
            </w:pPr>
            <w:r w:rsidRPr="0042513E">
              <w:rPr>
                <w:rFonts w:ascii="Arial" w:hAnsi="Arial" w:cs="Arial"/>
                <w:color w:val="000000" w:themeColor="text1"/>
                <w:sz w:val="22"/>
                <w:szCs w:val="22"/>
              </w:rPr>
              <w:t>1.9</w:t>
            </w:r>
            <w:r w:rsidR="003C0808" w:rsidRPr="0042513E">
              <w:rPr>
                <w:rFonts w:ascii="Arial" w:hAnsi="Arial" w:cs="Arial"/>
                <w:color w:val="000000" w:themeColor="text1"/>
                <w:sz w:val="22"/>
                <w:szCs w:val="22"/>
              </w:rPr>
              <w:t>5</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Present value of costs ($m)</w:t>
            </w:r>
          </w:p>
        </w:tc>
        <w:tc>
          <w:tcPr>
            <w:tcW w:w="541" w:type="pct"/>
            <w:tcBorders>
              <w:top w:val="nil"/>
              <w:left w:val="single" w:sz="4" w:space="0" w:color="auto"/>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0.42</w:t>
            </w:r>
          </w:p>
        </w:tc>
        <w:tc>
          <w:tcPr>
            <w:tcW w:w="532"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0.42</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0.42</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0.42</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0.42</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0.42</w:t>
            </w:r>
          </w:p>
        </w:tc>
        <w:tc>
          <w:tcPr>
            <w:tcW w:w="457"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0.42</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Net present value ($m)</w:t>
            </w:r>
          </w:p>
        </w:tc>
        <w:tc>
          <w:tcPr>
            <w:tcW w:w="541" w:type="pct"/>
            <w:tcBorders>
              <w:top w:val="nil"/>
              <w:left w:val="single" w:sz="4" w:space="0" w:color="auto"/>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-0.41</w:t>
            </w:r>
          </w:p>
        </w:tc>
        <w:tc>
          <w:tcPr>
            <w:tcW w:w="532"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-0.07</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0.43</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0.82</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0.82</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1.38</w:t>
            </w:r>
          </w:p>
        </w:tc>
        <w:tc>
          <w:tcPr>
            <w:tcW w:w="457"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1.5</w:t>
            </w:r>
            <w:r w:rsidR="003C0808" w:rsidRPr="0042513E">
              <w:rPr>
                <w:rFonts w:ascii="Arial" w:hAnsi="Arial" w:cs="Arial"/>
                <w:color w:val="000000" w:themeColor="text1"/>
                <w:sz w:val="22"/>
                <w:szCs w:val="22"/>
              </w:rPr>
              <w:t>3</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Benefit-cost ratio</w:t>
            </w:r>
          </w:p>
        </w:tc>
        <w:tc>
          <w:tcPr>
            <w:tcW w:w="541" w:type="pct"/>
            <w:tcBorders>
              <w:top w:val="nil"/>
              <w:left w:val="single" w:sz="4" w:space="0" w:color="auto"/>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0.04</w:t>
            </w:r>
          </w:p>
        </w:tc>
        <w:tc>
          <w:tcPr>
            <w:tcW w:w="532"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0.83</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2.02</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2.96</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2.96</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4.72</w:t>
            </w:r>
          </w:p>
        </w:tc>
        <w:tc>
          <w:tcPr>
            <w:tcW w:w="457"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4.</w:t>
            </w:r>
            <w:r w:rsidR="003C0808" w:rsidRPr="0042513E">
              <w:rPr>
                <w:rFonts w:ascii="Arial" w:hAnsi="Arial" w:cs="Arial"/>
                <w:color w:val="000000" w:themeColor="text1"/>
                <w:sz w:val="22"/>
                <w:szCs w:val="22"/>
              </w:rPr>
              <w:t>64</w:t>
            </w:r>
          </w:p>
        </w:tc>
      </w:tr>
      <w:tr w:rsidR="00E378B5"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Internal rate of return (%)</w:t>
            </w:r>
          </w:p>
        </w:tc>
        <w:tc>
          <w:tcPr>
            <w:tcW w:w="541"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532"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19.0</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22.4</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23.3</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23.6</w:t>
            </w:r>
          </w:p>
        </w:tc>
        <w:tc>
          <w:tcPr>
            <w:tcW w:w="457"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23.7</w:t>
            </w:r>
          </w:p>
        </w:tc>
      </w:tr>
      <w:tr w:rsidR="003C0808" w:rsidRPr="0042513E" w:rsidTr="0042513E">
        <w:trPr>
          <w:jc w:val="center"/>
        </w:trPr>
        <w:tc>
          <w:tcPr>
            <w:tcW w:w="1619"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Modified IRR</w:t>
            </w:r>
          </w:p>
        </w:tc>
        <w:tc>
          <w:tcPr>
            <w:tcW w:w="541"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Negative</w:t>
            </w:r>
          </w:p>
        </w:tc>
        <w:tc>
          <w:tcPr>
            <w:tcW w:w="532"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1.0</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12.9</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13.1</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12.2</w:t>
            </w:r>
          </w:p>
        </w:tc>
        <w:tc>
          <w:tcPr>
            <w:tcW w:w="463"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11.4</w:t>
            </w:r>
          </w:p>
        </w:tc>
        <w:tc>
          <w:tcPr>
            <w:tcW w:w="457" w:type="pct"/>
            <w:tcBorders>
              <w:top w:val="nil"/>
              <w:left w:val="nil"/>
              <w:bottom w:val="single" w:sz="4" w:space="0" w:color="auto"/>
              <w:right w:val="single" w:sz="4" w:space="0" w:color="auto"/>
            </w:tcBorders>
            <w:shd w:val="clear" w:color="auto" w:fill="auto"/>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10.</w:t>
            </w:r>
            <w:r w:rsidR="003C0808" w:rsidRPr="0042513E">
              <w:rPr>
                <w:rFonts w:ascii="Arial" w:hAnsi="Arial" w:cs="Arial"/>
                <w:color w:val="000000" w:themeColor="text1"/>
                <w:sz w:val="22"/>
                <w:szCs w:val="22"/>
              </w:rPr>
              <w:t>8</w:t>
            </w:r>
          </w:p>
        </w:tc>
      </w:tr>
    </w:tbl>
    <w:p w:rsidR="00E378B5" w:rsidRPr="00DC1895" w:rsidRDefault="00E378B5" w:rsidP="00E378B5">
      <w:pPr>
        <w:spacing w:before="240"/>
        <w:rPr>
          <w:rFonts w:ascii="Arial" w:hAnsi="Arial" w:cs="Arial"/>
        </w:rPr>
      </w:pPr>
      <w:r w:rsidRPr="00DC1895">
        <w:rPr>
          <w:rFonts w:ascii="Arial" w:hAnsi="Arial" w:cs="Arial"/>
        </w:rPr>
        <w:t xml:space="preserve">The annual undiscounted benefit and cost cash flows for the total investment for the duration of investment period plus 30 years from the last year of investment are shown in Figure 1. </w:t>
      </w:r>
    </w:p>
    <w:p w:rsidR="00E378B5" w:rsidRPr="001754D4" w:rsidRDefault="00E378B5" w:rsidP="00E378B5">
      <w:pPr>
        <w:rPr>
          <w:highlight w:val="yellow"/>
        </w:rPr>
      </w:pPr>
      <w:bookmarkStart w:id="197" w:name="_Toc476632621"/>
    </w:p>
    <w:p w:rsidR="00E378B5" w:rsidRPr="001754D4" w:rsidRDefault="00E378B5">
      <w:pPr>
        <w:rPr>
          <w:rFonts w:ascii="Arial" w:hAnsi="Arial" w:cs="Arial"/>
          <w:iCs/>
          <w:color w:val="000000" w:themeColor="text1"/>
          <w:highlight w:val="yellow"/>
        </w:rPr>
      </w:pPr>
      <w:r w:rsidRPr="001754D4">
        <w:rPr>
          <w:rFonts w:ascii="Arial" w:hAnsi="Arial" w:cs="Arial"/>
          <w:i/>
          <w:color w:val="000000" w:themeColor="text1"/>
          <w:highlight w:val="yellow"/>
        </w:rPr>
        <w:br w:type="page"/>
      </w:r>
    </w:p>
    <w:p w:rsidR="003C0808" w:rsidRPr="00C66231" w:rsidRDefault="00E378B5" w:rsidP="00C66231">
      <w:pPr>
        <w:pStyle w:val="Caption"/>
        <w:spacing w:after="240"/>
        <w:jc w:val="center"/>
        <w:rPr>
          <w:rFonts w:ascii="Arial" w:hAnsi="Arial"/>
          <w:b w:val="0"/>
          <w:color w:val="000000" w:themeColor="text1"/>
          <w:sz w:val="22"/>
          <w:szCs w:val="22"/>
        </w:rPr>
      </w:pPr>
      <w:r w:rsidRPr="00C66231">
        <w:rPr>
          <w:rFonts w:ascii="Arial" w:hAnsi="Arial"/>
          <w:b w:val="0"/>
          <w:color w:val="000000" w:themeColor="text1"/>
          <w:sz w:val="22"/>
          <w:szCs w:val="22"/>
        </w:rPr>
        <w:t xml:space="preserve">Figure </w:t>
      </w:r>
      <w:r w:rsidR="003147F5" w:rsidRPr="003147F5">
        <w:rPr>
          <w:rFonts w:ascii="Arial" w:hAnsi="Arial"/>
          <w:b w:val="0"/>
          <w:color w:val="000000" w:themeColor="text1"/>
          <w:sz w:val="22"/>
          <w:szCs w:val="22"/>
        </w:rPr>
        <w:t>1</w:t>
      </w:r>
      <w:r w:rsidRPr="00C66231">
        <w:rPr>
          <w:rFonts w:ascii="Arial" w:hAnsi="Arial"/>
          <w:b w:val="0"/>
          <w:color w:val="000000" w:themeColor="text1"/>
          <w:sz w:val="22"/>
          <w:szCs w:val="22"/>
        </w:rPr>
        <w:t>: Annual Cash Flow of Undiscounted Total Benefits and Total Costs</w:t>
      </w:r>
      <w:bookmarkEnd w:id="197"/>
    </w:p>
    <w:p w:rsidR="00E378B5" w:rsidRPr="0085053F" w:rsidRDefault="003C0808" w:rsidP="00C66231">
      <w:pPr>
        <w:jc w:val="center"/>
        <w:rPr>
          <w:rFonts w:ascii="Arial" w:hAnsi="Arial"/>
          <w:i/>
          <w:color w:val="FF0000"/>
          <w:szCs w:val="22"/>
        </w:rPr>
      </w:pPr>
      <w:r w:rsidRPr="003C0808">
        <w:rPr>
          <w:noProof/>
          <w:lang w:eastAsia="en-AU"/>
        </w:rPr>
        <w:drawing>
          <wp:inline distT="0" distB="0" distL="0" distR="0" wp14:anchorId="2AFC421B" wp14:editId="2A80E08C">
            <wp:extent cx="5530321" cy="298203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0896" cy="2987738"/>
                    </a:xfrm>
                    <a:prstGeom prst="rect">
                      <a:avLst/>
                    </a:prstGeom>
                    <a:noFill/>
                    <a:ln>
                      <a:noFill/>
                    </a:ln>
                  </pic:spPr>
                </pic:pic>
              </a:graphicData>
            </a:graphic>
          </wp:inline>
        </w:drawing>
      </w:r>
    </w:p>
    <w:p w:rsidR="00E378B5" w:rsidRPr="0085053F" w:rsidRDefault="00E378B5">
      <w:pPr>
        <w:rPr>
          <w:rFonts w:ascii="Arial" w:hAnsi="Arial" w:cs="Arial"/>
          <w:b/>
          <w:sz w:val="24"/>
        </w:rPr>
      </w:pPr>
    </w:p>
    <w:p w:rsidR="00E378B5" w:rsidRPr="0056532B" w:rsidRDefault="00E378B5" w:rsidP="00F712CF">
      <w:pPr>
        <w:spacing w:after="240"/>
        <w:rPr>
          <w:rFonts w:ascii="Arial" w:hAnsi="Arial" w:cs="Arial"/>
          <w:b/>
          <w:sz w:val="24"/>
        </w:rPr>
      </w:pPr>
      <w:r w:rsidRPr="0056532B">
        <w:rPr>
          <w:rFonts w:ascii="Arial" w:hAnsi="Arial" w:cs="Arial"/>
          <w:b/>
          <w:sz w:val="24"/>
        </w:rPr>
        <w:t>Sensitivity Analyses</w:t>
      </w:r>
    </w:p>
    <w:p w:rsidR="00E378B5" w:rsidRPr="0056532B" w:rsidRDefault="00E378B5" w:rsidP="00F712CF">
      <w:pPr>
        <w:spacing w:after="240"/>
        <w:rPr>
          <w:rFonts w:ascii="Arial" w:hAnsi="Arial" w:cs="Arial"/>
        </w:rPr>
      </w:pPr>
      <w:r w:rsidRPr="0056532B">
        <w:rPr>
          <w:rFonts w:ascii="Arial" w:hAnsi="Arial" w:cs="Arial"/>
        </w:rPr>
        <w:t xml:space="preserve">A sensitivity analysis was carried out on the discount rate for the base counterfactual scenario. The analysis was performed for the total investment and with benefits taken over the life of the investment plus 30 years from the last year of investment. All other parameters were held at their base values. Table 10 presents the results. The results showed a moderate sensitivity to the discount rate. </w:t>
      </w:r>
    </w:p>
    <w:p w:rsidR="00E378B5" w:rsidRPr="00C66231" w:rsidRDefault="00E378B5" w:rsidP="00E378B5">
      <w:pPr>
        <w:pStyle w:val="Caption"/>
        <w:jc w:val="center"/>
        <w:rPr>
          <w:rFonts w:ascii="Arial" w:hAnsi="Arial"/>
          <w:b w:val="0"/>
          <w:i/>
          <w:sz w:val="22"/>
          <w:szCs w:val="22"/>
        </w:rPr>
      </w:pPr>
      <w:r w:rsidRPr="00C66231">
        <w:rPr>
          <w:rFonts w:ascii="Arial" w:hAnsi="Arial"/>
          <w:b w:val="0"/>
          <w:color w:val="000000" w:themeColor="text1"/>
          <w:sz w:val="22"/>
          <w:szCs w:val="22"/>
        </w:rPr>
        <w:t>Table 1</w:t>
      </w:r>
      <w:r w:rsidR="00C66231" w:rsidRPr="00C66231">
        <w:rPr>
          <w:rFonts w:ascii="Arial" w:hAnsi="Arial"/>
          <w:b w:val="0"/>
          <w:color w:val="000000" w:themeColor="text1"/>
          <w:sz w:val="22"/>
          <w:szCs w:val="22"/>
        </w:rPr>
        <w:t>0: Sensitivity to Discount Rate</w:t>
      </w:r>
    </w:p>
    <w:p w:rsidR="00E378B5" w:rsidRPr="00C66231" w:rsidRDefault="00E378B5" w:rsidP="00C66231">
      <w:pPr>
        <w:pStyle w:val="Caption"/>
        <w:spacing w:after="240"/>
        <w:jc w:val="center"/>
        <w:rPr>
          <w:rFonts w:ascii="Arial" w:hAnsi="Arial"/>
          <w:b w:val="0"/>
          <w:i/>
          <w:sz w:val="22"/>
          <w:szCs w:val="22"/>
        </w:rPr>
      </w:pPr>
      <w:r w:rsidRPr="00C66231">
        <w:rPr>
          <w:rFonts w:ascii="Arial" w:hAnsi="Arial"/>
          <w:b w:val="0"/>
          <w:sz w:val="22"/>
          <w:szCs w:val="22"/>
        </w:rPr>
        <w:t>(Total investment, 30 years)</w:t>
      </w:r>
    </w:p>
    <w:tbl>
      <w:tblPr>
        <w:tblStyle w:val="TableGrid"/>
        <w:tblW w:w="0" w:type="auto"/>
        <w:tblLook w:val="04A0" w:firstRow="1" w:lastRow="0" w:firstColumn="1" w:lastColumn="0" w:noHBand="0" w:noVBand="1"/>
      </w:tblPr>
      <w:tblGrid>
        <w:gridCol w:w="3256"/>
        <w:gridCol w:w="1920"/>
        <w:gridCol w:w="1920"/>
        <w:gridCol w:w="1920"/>
      </w:tblGrid>
      <w:tr w:rsidR="00E378B5" w:rsidRPr="0042513E" w:rsidTr="00E378B5">
        <w:tc>
          <w:tcPr>
            <w:tcW w:w="3256" w:type="dxa"/>
            <w:vMerge w:val="restart"/>
          </w:tcPr>
          <w:p w:rsidR="00E378B5" w:rsidRPr="0042513E" w:rsidRDefault="00E378B5" w:rsidP="00E378B5">
            <w:pPr>
              <w:rPr>
                <w:rFonts w:ascii="Arial" w:hAnsi="Arial" w:cs="Arial"/>
                <w:b/>
                <w:sz w:val="22"/>
                <w:szCs w:val="22"/>
              </w:rPr>
            </w:pPr>
            <w:r w:rsidRPr="0042513E">
              <w:rPr>
                <w:rFonts w:ascii="Arial" w:hAnsi="Arial" w:cs="Arial"/>
                <w:b/>
                <w:sz w:val="22"/>
                <w:szCs w:val="22"/>
              </w:rPr>
              <w:t>Investment Criteria</w:t>
            </w:r>
          </w:p>
        </w:tc>
        <w:tc>
          <w:tcPr>
            <w:tcW w:w="5760" w:type="dxa"/>
            <w:gridSpan w:val="3"/>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Discount rate</w:t>
            </w:r>
          </w:p>
        </w:tc>
      </w:tr>
      <w:tr w:rsidR="00E378B5" w:rsidRPr="0042513E" w:rsidTr="00E378B5">
        <w:trPr>
          <w:trHeight w:val="118"/>
        </w:trPr>
        <w:tc>
          <w:tcPr>
            <w:tcW w:w="3256" w:type="dxa"/>
            <w:vMerge/>
          </w:tcPr>
          <w:p w:rsidR="00E378B5" w:rsidRPr="0042513E" w:rsidRDefault="00E378B5" w:rsidP="00E378B5">
            <w:pPr>
              <w:rPr>
                <w:rFonts w:ascii="Arial" w:hAnsi="Arial" w:cs="Arial"/>
                <w:b/>
                <w:sz w:val="22"/>
                <w:szCs w:val="22"/>
              </w:rPr>
            </w:pPr>
          </w:p>
        </w:tc>
        <w:tc>
          <w:tcPr>
            <w:tcW w:w="1920" w:type="dxa"/>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0%</w:t>
            </w:r>
          </w:p>
        </w:tc>
        <w:tc>
          <w:tcPr>
            <w:tcW w:w="1920" w:type="dxa"/>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5% (base)</w:t>
            </w:r>
          </w:p>
        </w:tc>
        <w:tc>
          <w:tcPr>
            <w:tcW w:w="1920" w:type="dxa"/>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10%</w:t>
            </w:r>
          </w:p>
        </w:tc>
      </w:tr>
      <w:tr w:rsidR="00E378B5" w:rsidRPr="0042513E" w:rsidTr="00E378B5">
        <w:tc>
          <w:tcPr>
            <w:tcW w:w="3256" w:type="dxa"/>
          </w:tcPr>
          <w:p w:rsidR="00E378B5" w:rsidRPr="0042513E" w:rsidRDefault="00E378B5" w:rsidP="00E378B5">
            <w:pPr>
              <w:rPr>
                <w:rFonts w:ascii="Arial" w:hAnsi="Arial" w:cs="Arial"/>
                <w:sz w:val="22"/>
                <w:szCs w:val="22"/>
              </w:rPr>
            </w:pPr>
            <w:r w:rsidRPr="0042513E">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8.</w:t>
            </w:r>
            <w:r w:rsidR="003C0808" w:rsidRPr="0042513E">
              <w:rPr>
                <w:rFonts w:ascii="Arial" w:hAnsi="Arial" w:cs="Arial"/>
                <w:color w:val="000000" w:themeColor="text1"/>
                <w:sz w:val="22"/>
                <w:szCs w:val="22"/>
              </w:rPr>
              <w:t>45</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4.</w:t>
            </w:r>
            <w:r w:rsidR="003C0808" w:rsidRPr="0042513E">
              <w:rPr>
                <w:rFonts w:ascii="Arial" w:hAnsi="Arial" w:cs="Arial"/>
                <w:color w:val="000000" w:themeColor="text1"/>
                <w:sz w:val="22"/>
                <w:szCs w:val="22"/>
              </w:rPr>
              <w:t>15</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2.</w:t>
            </w:r>
            <w:r w:rsidR="003C0808" w:rsidRPr="0042513E">
              <w:rPr>
                <w:rFonts w:ascii="Arial" w:hAnsi="Arial" w:cs="Arial"/>
                <w:color w:val="000000" w:themeColor="text1"/>
                <w:sz w:val="22"/>
                <w:szCs w:val="22"/>
              </w:rPr>
              <w:t>39</w:t>
            </w:r>
          </w:p>
        </w:tc>
      </w:tr>
      <w:tr w:rsidR="00E378B5" w:rsidRPr="0042513E" w:rsidTr="00E378B5">
        <w:tc>
          <w:tcPr>
            <w:tcW w:w="3256" w:type="dxa"/>
          </w:tcPr>
          <w:p w:rsidR="00E378B5" w:rsidRPr="0042513E" w:rsidRDefault="00E378B5" w:rsidP="00E378B5">
            <w:pPr>
              <w:rPr>
                <w:rFonts w:ascii="Arial" w:hAnsi="Arial" w:cs="Arial"/>
                <w:sz w:val="22"/>
                <w:szCs w:val="22"/>
              </w:rPr>
            </w:pPr>
            <w:r w:rsidRPr="0042513E">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0.8</w:t>
            </w:r>
            <w:r w:rsidR="003C0808" w:rsidRPr="0042513E">
              <w:rPr>
                <w:rFonts w:ascii="Arial" w:hAnsi="Arial" w:cs="Arial"/>
                <w:color w:val="000000" w:themeColor="text1"/>
                <w:sz w:val="22"/>
                <w:szCs w:val="22"/>
              </w:rPr>
              <w:t>9</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0.90</w:t>
            </w:r>
          </w:p>
        </w:tc>
      </w:tr>
      <w:tr w:rsidR="00E378B5" w:rsidRPr="0042513E" w:rsidTr="00E378B5">
        <w:tc>
          <w:tcPr>
            <w:tcW w:w="3256" w:type="dxa"/>
          </w:tcPr>
          <w:p w:rsidR="00E378B5" w:rsidRPr="0042513E" w:rsidRDefault="00E378B5" w:rsidP="00E378B5">
            <w:pPr>
              <w:rPr>
                <w:rFonts w:ascii="Arial" w:hAnsi="Arial" w:cs="Arial"/>
                <w:sz w:val="22"/>
                <w:szCs w:val="22"/>
              </w:rPr>
            </w:pPr>
            <w:r w:rsidRPr="0042513E">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7.</w:t>
            </w:r>
            <w:r w:rsidR="003C0808" w:rsidRPr="0042513E">
              <w:rPr>
                <w:rFonts w:ascii="Arial" w:hAnsi="Arial" w:cs="Arial"/>
                <w:color w:val="000000" w:themeColor="text1"/>
                <w:sz w:val="22"/>
                <w:szCs w:val="22"/>
              </w:rPr>
              <w:t>56</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3.</w:t>
            </w:r>
            <w:r w:rsidR="003C0808" w:rsidRPr="0042513E">
              <w:rPr>
                <w:rFonts w:ascii="Arial" w:hAnsi="Arial" w:cs="Arial"/>
                <w:color w:val="000000" w:themeColor="text1"/>
                <w:sz w:val="22"/>
                <w:szCs w:val="22"/>
              </w:rPr>
              <w:t>26</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1.</w:t>
            </w:r>
            <w:r w:rsidR="003C0808" w:rsidRPr="0042513E">
              <w:rPr>
                <w:rFonts w:ascii="Arial" w:hAnsi="Arial" w:cs="Arial"/>
                <w:color w:val="000000" w:themeColor="text1"/>
                <w:sz w:val="22"/>
                <w:szCs w:val="22"/>
              </w:rPr>
              <w:t>49</w:t>
            </w:r>
          </w:p>
        </w:tc>
      </w:tr>
      <w:tr w:rsidR="00E378B5" w:rsidRPr="0042513E" w:rsidTr="00E378B5">
        <w:tc>
          <w:tcPr>
            <w:tcW w:w="3256" w:type="dxa"/>
          </w:tcPr>
          <w:p w:rsidR="00E378B5" w:rsidRPr="0042513E" w:rsidRDefault="00E378B5" w:rsidP="00E378B5">
            <w:pPr>
              <w:rPr>
                <w:rFonts w:ascii="Arial" w:hAnsi="Arial" w:cs="Arial"/>
                <w:sz w:val="22"/>
                <w:szCs w:val="22"/>
              </w:rPr>
            </w:pPr>
            <w:r w:rsidRPr="0042513E">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9.</w:t>
            </w:r>
            <w:r w:rsidR="003C0808" w:rsidRPr="0042513E">
              <w:rPr>
                <w:rFonts w:ascii="Arial" w:hAnsi="Arial" w:cs="Arial"/>
                <w:color w:val="000000" w:themeColor="text1"/>
                <w:sz w:val="22"/>
                <w:szCs w:val="22"/>
              </w:rPr>
              <w:t>51</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4.</w:t>
            </w:r>
            <w:r w:rsidR="003C0808" w:rsidRPr="0042513E">
              <w:rPr>
                <w:rFonts w:ascii="Arial" w:hAnsi="Arial" w:cs="Arial"/>
                <w:color w:val="000000" w:themeColor="text1"/>
                <w:sz w:val="22"/>
                <w:szCs w:val="22"/>
              </w:rPr>
              <w:t>64</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2.6</w:t>
            </w:r>
            <w:r w:rsidR="003C0808" w:rsidRPr="0042513E">
              <w:rPr>
                <w:rFonts w:ascii="Arial" w:hAnsi="Arial" w:cs="Arial"/>
                <w:color w:val="000000" w:themeColor="text1"/>
                <w:sz w:val="22"/>
                <w:szCs w:val="22"/>
              </w:rPr>
              <w:t>6</w:t>
            </w:r>
          </w:p>
        </w:tc>
      </w:tr>
    </w:tbl>
    <w:p w:rsidR="00E378B5" w:rsidRPr="0056532B" w:rsidRDefault="00E378B5" w:rsidP="00E378B5">
      <w:pPr>
        <w:rPr>
          <w:rFonts w:ascii="Arial" w:hAnsi="Arial" w:cs="Arial"/>
          <w:sz w:val="24"/>
        </w:rPr>
      </w:pPr>
    </w:p>
    <w:p w:rsidR="00E378B5" w:rsidRPr="001754D4" w:rsidRDefault="00E378B5" w:rsidP="00F712CF">
      <w:pPr>
        <w:spacing w:after="240"/>
        <w:ind w:right="-188"/>
        <w:rPr>
          <w:rFonts w:ascii="Arial" w:hAnsi="Arial" w:cs="Arial"/>
          <w:highlight w:val="yellow"/>
        </w:rPr>
      </w:pPr>
      <w:r w:rsidRPr="00AC2C8A">
        <w:rPr>
          <w:rFonts w:ascii="Arial" w:hAnsi="Arial" w:cs="Arial"/>
        </w:rPr>
        <w:t xml:space="preserve">A second sensitivity analysis was completed on the probability of Australian nectarines and peaches gaining access to new Asian airfreight markets (in addition to the Chinese nectarine market) – Table 11. </w:t>
      </w:r>
      <w:r w:rsidRPr="00121147">
        <w:rPr>
          <w:rFonts w:ascii="Arial" w:hAnsi="Arial" w:cs="Arial"/>
        </w:rPr>
        <w:t>Even at 20% probability of securing access to these new markets, a positive benefit-cost ratio is achieved.</w:t>
      </w:r>
    </w:p>
    <w:p w:rsidR="00E378B5" w:rsidRPr="00C66231" w:rsidRDefault="00E378B5" w:rsidP="00C66231">
      <w:pPr>
        <w:pStyle w:val="Caption"/>
        <w:jc w:val="center"/>
        <w:rPr>
          <w:rFonts w:ascii="Arial" w:hAnsi="Arial"/>
          <w:b w:val="0"/>
          <w:i/>
          <w:sz w:val="22"/>
          <w:szCs w:val="22"/>
        </w:rPr>
      </w:pPr>
      <w:r w:rsidRPr="00C66231">
        <w:rPr>
          <w:rFonts w:ascii="Arial" w:hAnsi="Arial"/>
          <w:b w:val="0"/>
          <w:color w:val="000000" w:themeColor="text1"/>
          <w:sz w:val="22"/>
          <w:szCs w:val="22"/>
        </w:rPr>
        <w:t>Table 11</w:t>
      </w:r>
      <w:r w:rsidR="00C66231" w:rsidRPr="00C66231">
        <w:rPr>
          <w:rFonts w:ascii="Arial" w:hAnsi="Arial"/>
          <w:b w:val="0"/>
          <w:color w:val="000000" w:themeColor="text1"/>
          <w:sz w:val="22"/>
          <w:szCs w:val="22"/>
        </w:rPr>
        <w:t xml:space="preserve">: Sensitivity to Market Access </w:t>
      </w:r>
    </w:p>
    <w:p w:rsidR="00E378B5" w:rsidRPr="00C66231" w:rsidRDefault="00E378B5" w:rsidP="00C66231">
      <w:pPr>
        <w:pStyle w:val="Caption"/>
        <w:spacing w:after="240"/>
        <w:jc w:val="center"/>
        <w:rPr>
          <w:rFonts w:ascii="Arial" w:hAnsi="Arial"/>
          <w:b w:val="0"/>
          <w:i/>
          <w:sz w:val="22"/>
          <w:szCs w:val="22"/>
        </w:rPr>
      </w:pPr>
      <w:r w:rsidRPr="00C66231">
        <w:rPr>
          <w:rFonts w:ascii="Arial" w:hAnsi="Arial"/>
          <w:b w:val="0"/>
          <w:sz w:val="22"/>
          <w:szCs w:val="22"/>
        </w:rPr>
        <w:t>(Total investment, 30 years)</w:t>
      </w:r>
    </w:p>
    <w:tbl>
      <w:tblPr>
        <w:tblStyle w:val="TableGrid"/>
        <w:tblW w:w="0" w:type="auto"/>
        <w:tblLook w:val="04A0" w:firstRow="1" w:lastRow="0" w:firstColumn="1" w:lastColumn="0" w:noHBand="0" w:noVBand="1"/>
      </w:tblPr>
      <w:tblGrid>
        <w:gridCol w:w="3256"/>
        <w:gridCol w:w="1920"/>
        <w:gridCol w:w="1920"/>
        <w:gridCol w:w="1920"/>
      </w:tblGrid>
      <w:tr w:rsidR="00E378B5" w:rsidRPr="0042513E" w:rsidTr="00E378B5">
        <w:tc>
          <w:tcPr>
            <w:tcW w:w="3256" w:type="dxa"/>
            <w:vMerge w:val="restart"/>
          </w:tcPr>
          <w:p w:rsidR="00E378B5" w:rsidRPr="0042513E" w:rsidRDefault="00E378B5" w:rsidP="00E378B5">
            <w:pPr>
              <w:rPr>
                <w:rFonts w:ascii="Arial" w:hAnsi="Arial" w:cs="Arial"/>
                <w:b/>
                <w:sz w:val="22"/>
                <w:szCs w:val="22"/>
              </w:rPr>
            </w:pPr>
            <w:r w:rsidRPr="0042513E">
              <w:rPr>
                <w:rFonts w:ascii="Arial" w:hAnsi="Arial" w:cs="Arial"/>
                <w:b/>
                <w:sz w:val="22"/>
                <w:szCs w:val="22"/>
              </w:rPr>
              <w:t>Investment Criteria</w:t>
            </w:r>
          </w:p>
        </w:tc>
        <w:tc>
          <w:tcPr>
            <w:tcW w:w="5760" w:type="dxa"/>
            <w:gridSpan w:val="3"/>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Probability that Market Access will be Achieved</w:t>
            </w:r>
          </w:p>
        </w:tc>
      </w:tr>
      <w:tr w:rsidR="00E378B5" w:rsidRPr="0042513E" w:rsidTr="00E378B5">
        <w:trPr>
          <w:trHeight w:val="118"/>
        </w:trPr>
        <w:tc>
          <w:tcPr>
            <w:tcW w:w="3256" w:type="dxa"/>
            <w:vMerge/>
          </w:tcPr>
          <w:p w:rsidR="00E378B5" w:rsidRPr="0042513E" w:rsidRDefault="00E378B5" w:rsidP="00E378B5">
            <w:pPr>
              <w:rPr>
                <w:rFonts w:ascii="Arial" w:hAnsi="Arial" w:cs="Arial"/>
                <w:b/>
                <w:sz w:val="22"/>
                <w:szCs w:val="22"/>
                <w:highlight w:val="yellow"/>
              </w:rPr>
            </w:pPr>
          </w:p>
        </w:tc>
        <w:tc>
          <w:tcPr>
            <w:tcW w:w="1920" w:type="dxa"/>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20%</w:t>
            </w:r>
          </w:p>
        </w:tc>
        <w:tc>
          <w:tcPr>
            <w:tcW w:w="1920" w:type="dxa"/>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40%</w:t>
            </w:r>
          </w:p>
        </w:tc>
        <w:tc>
          <w:tcPr>
            <w:tcW w:w="1920" w:type="dxa"/>
          </w:tcPr>
          <w:p w:rsidR="00E378B5" w:rsidRPr="0042513E" w:rsidRDefault="00E378B5" w:rsidP="00E378B5">
            <w:pPr>
              <w:jc w:val="center"/>
              <w:rPr>
                <w:rFonts w:ascii="Arial" w:hAnsi="Arial" w:cs="Arial"/>
                <w:b/>
                <w:sz w:val="22"/>
                <w:szCs w:val="22"/>
              </w:rPr>
            </w:pPr>
            <w:r w:rsidRPr="0042513E">
              <w:rPr>
                <w:rFonts w:ascii="Arial" w:hAnsi="Arial" w:cs="Arial"/>
                <w:b/>
                <w:sz w:val="22"/>
                <w:szCs w:val="22"/>
              </w:rPr>
              <w:t>80% (base)</w:t>
            </w:r>
          </w:p>
        </w:tc>
      </w:tr>
      <w:tr w:rsidR="00E378B5" w:rsidRPr="0042513E" w:rsidTr="00E378B5">
        <w:tc>
          <w:tcPr>
            <w:tcW w:w="3256" w:type="dxa"/>
          </w:tcPr>
          <w:p w:rsidR="00E378B5" w:rsidRPr="0042513E" w:rsidRDefault="00E378B5" w:rsidP="00E378B5">
            <w:pPr>
              <w:rPr>
                <w:rFonts w:ascii="Arial" w:hAnsi="Arial" w:cs="Arial"/>
                <w:sz w:val="22"/>
                <w:szCs w:val="22"/>
              </w:rPr>
            </w:pPr>
            <w:r w:rsidRPr="0042513E">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E378B5" w:rsidRPr="0042513E" w:rsidRDefault="00E700C0"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2.58</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3.1</w:t>
            </w:r>
            <w:r w:rsidR="00E700C0" w:rsidRPr="0042513E">
              <w:rPr>
                <w:rFonts w:ascii="Arial" w:hAnsi="Arial" w:cs="Arial"/>
                <w:color w:val="000000" w:themeColor="text1"/>
                <w:sz w:val="22"/>
                <w:szCs w:val="22"/>
              </w:rPr>
              <w:t>0</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sz w:val="22"/>
                <w:szCs w:val="22"/>
                <w:highlight w:val="yellow"/>
              </w:rPr>
            </w:pPr>
            <w:r w:rsidRPr="0042513E">
              <w:rPr>
                <w:rFonts w:ascii="Arial" w:hAnsi="Arial" w:cs="Arial"/>
                <w:sz w:val="22"/>
                <w:szCs w:val="22"/>
              </w:rPr>
              <w:t>4.</w:t>
            </w:r>
            <w:r w:rsidR="003C0808" w:rsidRPr="0042513E">
              <w:rPr>
                <w:rFonts w:ascii="Arial" w:hAnsi="Arial" w:cs="Arial"/>
                <w:sz w:val="22"/>
                <w:szCs w:val="22"/>
              </w:rPr>
              <w:t>15</w:t>
            </w:r>
          </w:p>
        </w:tc>
      </w:tr>
      <w:tr w:rsidR="00E378B5" w:rsidRPr="0042513E" w:rsidTr="00E378B5">
        <w:tc>
          <w:tcPr>
            <w:tcW w:w="3256" w:type="dxa"/>
          </w:tcPr>
          <w:p w:rsidR="00E378B5" w:rsidRPr="0042513E" w:rsidRDefault="00E378B5" w:rsidP="00E378B5">
            <w:pPr>
              <w:rPr>
                <w:rFonts w:ascii="Arial" w:hAnsi="Arial" w:cs="Arial"/>
                <w:sz w:val="22"/>
                <w:szCs w:val="22"/>
              </w:rPr>
            </w:pPr>
            <w:r w:rsidRPr="0042513E">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sz w:val="22"/>
                <w:szCs w:val="22"/>
                <w:highlight w:val="yellow"/>
              </w:rPr>
            </w:pPr>
            <w:r w:rsidRPr="0042513E">
              <w:rPr>
                <w:rFonts w:ascii="Arial" w:hAnsi="Arial" w:cs="Arial"/>
                <w:sz w:val="22"/>
                <w:szCs w:val="22"/>
              </w:rPr>
              <w:t>0.89</w:t>
            </w:r>
          </w:p>
        </w:tc>
      </w:tr>
      <w:tr w:rsidR="00E378B5" w:rsidRPr="0042513E" w:rsidTr="00E378B5">
        <w:tc>
          <w:tcPr>
            <w:tcW w:w="3256" w:type="dxa"/>
          </w:tcPr>
          <w:p w:rsidR="00E378B5" w:rsidRPr="0042513E" w:rsidRDefault="00E378B5" w:rsidP="00E378B5">
            <w:pPr>
              <w:rPr>
                <w:rFonts w:ascii="Arial" w:hAnsi="Arial" w:cs="Arial"/>
                <w:sz w:val="22"/>
                <w:szCs w:val="22"/>
              </w:rPr>
            </w:pPr>
            <w:r w:rsidRPr="0042513E">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1.</w:t>
            </w:r>
            <w:r w:rsidR="00E700C0" w:rsidRPr="0042513E">
              <w:rPr>
                <w:rFonts w:ascii="Arial" w:hAnsi="Arial" w:cs="Arial"/>
                <w:color w:val="000000" w:themeColor="text1"/>
                <w:sz w:val="22"/>
                <w:szCs w:val="22"/>
              </w:rPr>
              <w:t>68</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2.2</w:t>
            </w:r>
            <w:r w:rsidR="00E700C0" w:rsidRPr="0042513E">
              <w:rPr>
                <w:rFonts w:ascii="Arial" w:hAnsi="Arial" w:cs="Arial"/>
                <w:color w:val="000000" w:themeColor="text1"/>
                <w:sz w:val="22"/>
                <w:szCs w:val="22"/>
              </w:rPr>
              <w:t>1</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sz w:val="22"/>
                <w:szCs w:val="22"/>
                <w:highlight w:val="yellow"/>
              </w:rPr>
            </w:pPr>
            <w:r w:rsidRPr="0042513E">
              <w:rPr>
                <w:rFonts w:ascii="Arial" w:hAnsi="Arial" w:cs="Arial"/>
                <w:sz w:val="22"/>
                <w:szCs w:val="22"/>
              </w:rPr>
              <w:t>3.</w:t>
            </w:r>
            <w:r w:rsidR="003C0808" w:rsidRPr="0042513E">
              <w:rPr>
                <w:rFonts w:ascii="Arial" w:hAnsi="Arial" w:cs="Arial"/>
                <w:sz w:val="22"/>
                <w:szCs w:val="22"/>
              </w:rPr>
              <w:t>26</w:t>
            </w:r>
          </w:p>
        </w:tc>
      </w:tr>
      <w:tr w:rsidR="00E378B5" w:rsidRPr="0042513E" w:rsidTr="00E378B5">
        <w:tc>
          <w:tcPr>
            <w:tcW w:w="3256" w:type="dxa"/>
          </w:tcPr>
          <w:p w:rsidR="00E378B5" w:rsidRPr="0042513E" w:rsidRDefault="00E378B5" w:rsidP="00E378B5">
            <w:pPr>
              <w:rPr>
                <w:rFonts w:ascii="Arial" w:hAnsi="Arial" w:cs="Arial"/>
                <w:sz w:val="22"/>
                <w:szCs w:val="22"/>
              </w:rPr>
            </w:pPr>
            <w:r w:rsidRPr="0042513E">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2.</w:t>
            </w:r>
            <w:r w:rsidR="00E700C0" w:rsidRPr="0042513E">
              <w:rPr>
                <w:rFonts w:ascii="Arial" w:hAnsi="Arial" w:cs="Arial"/>
                <w:color w:val="000000" w:themeColor="text1"/>
                <w:sz w:val="22"/>
                <w:szCs w:val="22"/>
              </w:rPr>
              <w:t>88</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color w:val="000000" w:themeColor="text1"/>
                <w:sz w:val="22"/>
                <w:szCs w:val="22"/>
              </w:rPr>
            </w:pPr>
            <w:r w:rsidRPr="0042513E">
              <w:rPr>
                <w:rFonts w:ascii="Arial" w:hAnsi="Arial" w:cs="Arial"/>
                <w:color w:val="000000" w:themeColor="text1"/>
                <w:sz w:val="22"/>
                <w:szCs w:val="22"/>
              </w:rPr>
              <w:t>3.</w:t>
            </w:r>
            <w:r w:rsidR="00E700C0" w:rsidRPr="0042513E">
              <w:rPr>
                <w:rFonts w:ascii="Arial" w:hAnsi="Arial" w:cs="Arial"/>
                <w:color w:val="000000" w:themeColor="text1"/>
                <w:sz w:val="22"/>
                <w:szCs w:val="22"/>
              </w:rPr>
              <w:t>47</w:t>
            </w:r>
          </w:p>
        </w:tc>
        <w:tc>
          <w:tcPr>
            <w:tcW w:w="1920" w:type="dxa"/>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center"/>
              <w:rPr>
                <w:rFonts w:ascii="Arial" w:hAnsi="Arial" w:cs="Arial"/>
                <w:sz w:val="22"/>
                <w:szCs w:val="22"/>
                <w:highlight w:val="yellow"/>
              </w:rPr>
            </w:pPr>
            <w:r w:rsidRPr="0042513E">
              <w:rPr>
                <w:rFonts w:ascii="Arial" w:hAnsi="Arial" w:cs="Arial"/>
                <w:sz w:val="22"/>
                <w:szCs w:val="22"/>
              </w:rPr>
              <w:t>4.</w:t>
            </w:r>
            <w:r w:rsidR="003C0808" w:rsidRPr="0042513E">
              <w:rPr>
                <w:rFonts w:ascii="Arial" w:hAnsi="Arial" w:cs="Arial"/>
                <w:sz w:val="22"/>
                <w:szCs w:val="22"/>
              </w:rPr>
              <w:t>64</w:t>
            </w:r>
          </w:p>
        </w:tc>
      </w:tr>
    </w:tbl>
    <w:p w:rsidR="00E378B5" w:rsidRPr="00E924D7" w:rsidRDefault="00E378B5" w:rsidP="00F712CF">
      <w:pPr>
        <w:spacing w:before="240" w:after="240"/>
        <w:rPr>
          <w:rFonts w:ascii="Arial" w:hAnsi="Arial" w:cs="Arial"/>
          <w:b/>
          <w:sz w:val="24"/>
        </w:rPr>
      </w:pPr>
      <w:r w:rsidRPr="00E924D7">
        <w:rPr>
          <w:rFonts w:ascii="Arial" w:hAnsi="Arial" w:cs="Arial"/>
          <w:b/>
          <w:sz w:val="24"/>
        </w:rPr>
        <w:t xml:space="preserve">Investment Criteria using the Alternative Counterfactual  </w:t>
      </w:r>
    </w:p>
    <w:p w:rsidR="00E378B5" w:rsidRPr="00E924D7" w:rsidRDefault="00E378B5" w:rsidP="00F712CF">
      <w:pPr>
        <w:spacing w:after="240"/>
        <w:rPr>
          <w:rFonts w:ascii="Arial" w:hAnsi="Arial" w:cs="Arial"/>
        </w:rPr>
      </w:pPr>
      <w:r w:rsidRPr="00E924D7">
        <w:rPr>
          <w:rFonts w:ascii="Arial" w:hAnsi="Arial" w:cs="Arial"/>
        </w:rPr>
        <w:t xml:space="preserve">A second analysis was conducted using the alternative counterfactual as specified in Table 6. In this scenario, it was assumed that methyl bromide based airfreight protocols are replaced by the use of irradiation in 2021. </w:t>
      </w:r>
      <w:r>
        <w:rPr>
          <w:rFonts w:ascii="Arial" w:hAnsi="Arial" w:cs="Arial"/>
        </w:rPr>
        <w:t xml:space="preserve">Cold disinfestation remains in place. </w:t>
      </w:r>
      <w:r w:rsidRPr="00E924D7">
        <w:rPr>
          <w:rFonts w:ascii="Arial" w:hAnsi="Arial" w:cs="Arial"/>
        </w:rPr>
        <w:t xml:space="preserve">In this alternative scenario, the same assumptions as for the base counterfactual were used, except that </w:t>
      </w:r>
      <w:r w:rsidRPr="00E924D7">
        <w:rPr>
          <w:rFonts w:ascii="Arial" w:hAnsi="Arial" w:cs="Arial"/>
          <w:color w:val="000000" w:themeColor="text1"/>
        </w:rPr>
        <w:t>benefits cease after 5 years</w:t>
      </w:r>
      <w:r>
        <w:rPr>
          <w:rFonts w:ascii="Arial" w:hAnsi="Arial" w:cs="Arial"/>
          <w:color w:val="000000" w:themeColor="text1"/>
        </w:rPr>
        <w:t xml:space="preserve"> when methyl bromide is replaced</w:t>
      </w:r>
      <w:r w:rsidRPr="00E924D7">
        <w:rPr>
          <w:rFonts w:ascii="Arial" w:hAnsi="Arial" w:cs="Arial"/>
        </w:rPr>
        <w:t>. Results are provided in Table 12.</w:t>
      </w:r>
    </w:p>
    <w:p w:rsidR="00E378B5" w:rsidRPr="00F712CF" w:rsidRDefault="00E378B5" w:rsidP="00F712CF">
      <w:pPr>
        <w:spacing w:after="240"/>
        <w:rPr>
          <w:rFonts w:ascii="Arial" w:hAnsi="Arial" w:cs="Arial"/>
          <w:color w:val="000000" w:themeColor="text1"/>
        </w:rPr>
      </w:pPr>
      <w:r w:rsidRPr="00E924D7">
        <w:rPr>
          <w:rFonts w:ascii="Arial" w:hAnsi="Arial" w:cs="Arial"/>
        </w:rPr>
        <w:t xml:space="preserve">Table 12 shows that the discounted benefits are significantly lower under the alternative counterfactual. This was not unexpected as, under the alternative, there are only five years of benefit as opposed to 30 years for the base counterfactual. The benefit-cost ratio for the </w:t>
      </w:r>
      <w:r w:rsidRPr="00C44563">
        <w:rPr>
          <w:rFonts w:ascii="Arial" w:hAnsi="Arial" w:cs="Arial"/>
        </w:rPr>
        <w:t>total investment dropped from 4</w:t>
      </w:r>
      <w:r w:rsidRPr="006A0875">
        <w:rPr>
          <w:rFonts w:ascii="Arial" w:hAnsi="Arial" w:cs="Arial"/>
          <w:color w:val="000000" w:themeColor="text1"/>
        </w:rPr>
        <w:t>.</w:t>
      </w:r>
      <w:r w:rsidR="003C0808" w:rsidRPr="006A0875">
        <w:rPr>
          <w:rFonts w:ascii="Arial" w:hAnsi="Arial" w:cs="Arial"/>
          <w:color w:val="000000" w:themeColor="text1"/>
        </w:rPr>
        <w:t>6</w:t>
      </w:r>
      <w:r w:rsidRPr="006A0875">
        <w:rPr>
          <w:rFonts w:ascii="Arial" w:hAnsi="Arial" w:cs="Arial"/>
          <w:color w:val="000000" w:themeColor="text1"/>
        </w:rPr>
        <w:t xml:space="preserve"> to 1 to 0.</w:t>
      </w:r>
      <w:r w:rsidR="006A0875">
        <w:rPr>
          <w:rFonts w:ascii="Arial" w:hAnsi="Arial" w:cs="Arial"/>
          <w:color w:val="000000" w:themeColor="text1"/>
        </w:rPr>
        <w:t>6</w:t>
      </w:r>
      <w:r w:rsidRPr="006A0875">
        <w:rPr>
          <w:rFonts w:ascii="Arial" w:hAnsi="Arial" w:cs="Arial"/>
          <w:color w:val="000000" w:themeColor="text1"/>
        </w:rPr>
        <w:t xml:space="preserve"> to 1 under th</w:t>
      </w:r>
      <w:r w:rsidR="00F712CF">
        <w:rPr>
          <w:rFonts w:ascii="Arial" w:hAnsi="Arial" w:cs="Arial"/>
          <w:color w:val="000000" w:themeColor="text1"/>
        </w:rPr>
        <w:t xml:space="preserve">e alternative counterfactual.  </w:t>
      </w:r>
    </w:p>
    <w:p w:rsidR="00E378B5" w:rsidRPr="00C66231" w:rsidRDefault="00E378B5" w:rsidP="00C66231">
      <w:pPr>
        <w:pStyle w:val="Caption"/>
        <w:spacing w:after="240"/>
        <w:jc w:val="center"/>
        <w:rPr>
          <w:b w:val="0"/>
          <w:color w:val="000000" w:themeColor="text1"/>
        </w:rPr>
      </w:pPr>
      <w:bookmarkStart w:id="198" w:name="_Toc476632582"/>
      <w:r w:rsidRPr="00C66231">
        <w:rPr>
          <w:rFonts w:ascii="Arial" w:hAnsi="Arial"/>
          <w:b w:val="0"/>
          <w:color w:val="000000" w:themeColor="text1"/>
          <w:sz w:val="22"/>
          <w:szCs w:val="22"/>
        </w:rPr>
        <w:t xml:space="preserve">Table 12: Investment Criteria for Total Investment in the Project using the Alternative </w:t>
      </w:r>
      <w:r w:rsidRPr="0042513E">
        <w:rPr>
          <w:rFonts w:ascii="Arial" w:hAnsi="Arial"/>
          <w:b w:val="0"/>
          <w:color w:val="000000" w:themeColor="text1"/>
          <w:sz w:val="22"/>
          <w:szCs w:val="22"/>
        </w:rPr>
        <w:t>Counterfactual</w:t>
      </w:r>
      <w:bookmarkEnd w:id="198"/>
      <w:r w:rsidR="00C66231" w:rsidRPr="0042513E">
        <w:rPr>
          <w:rFonts w:ascii="Arial" w:hAnsi="Arial"/>
          <w:b w:val="0"/>
          <w:color w:val="000000" w:themeColor="text1"/>
          <w:sz w:val="22"/>
          <w:szCs w:val="22"/>
        </w:rPr>
        <w:t xml:space="preserve"> </w:t>
      </w:r>
      <w:r w:rsidRPr="0042513E">
        <w:rPr>
          <w:rFonts w:ascii="Arial" w:hAnsi="Arial"/>
          <w:b w:val="0"/>
          <w:color w:val="000000" w:themeColor="text1"/>
          <w:sz w:val="22"/>
          <w:szCs w:val="22"/>
        </w:rPr>
        <w:t>(Total investment, 30 years, 5% discount rate)</w:t>
      </w:r>
    </w:p>
    <w:tbl>
      <w:tblPr>
        <w:tblStyle w:val="TableGrid"/>
        <w:tblW w:w="5568" w:type="pct"/>
        <w:jc w:val="center"/>
        <w:tblLayout w:type="fixed"/>
        <w:tblLook w:val="04A0" w:firstRow="1" w:lastRow="0" w:firstColumn="1" w:lastColumn="0" w:noHBand="0" w:noVBand="1"/>
      </w:tblPr>
      <w:tblGrid>
        <w:gridCol w:w="3220"/>
        <w:gridCol w:w="1130"/>
        <w:gridCol w:w="1072"/>
        <w:gridCol w:w="904"/>
        <w:gridCol w:w="904"/>
        <w:gridCol w:w="904"/>
        <w:gridCol w:w="904"/>
        <w:gridCol w:w="1002"/>
      </w:tblGrid>
      <w:tr w:rsidR="00E378B5" w:rsidRPr="0042513E" w:rsidTr="0042513E">
        <w:trPr>
          <w:jc w:val="center"/>
        </w:trPr>
        <w:tc>
          <w:tcPr>
            <w:tcW w:w="1604" w:type="pct"/>
            <w:vMerge w:val="restart"/>
          </w:tcPr>
          <w:p w:rsidR="00E378B5" w:rsidRPr="0042513E" w:rsidRDefault="00E378B5" w:rsidP="00E378B5">
            <w:pPr>
              <w:rPr>
                <w:rFonts w:ascii="Arial" w:hAnsi="Arial" w:cs="Arial"/>
                <w:b/>
                <w:color w:val="000000" w:themeColor="text1"/>
                <w:sz w:val="22"/>
                <w:szCs w:val="22"/>
              </w:rPr>
            </w:pPr>
            <w:r w:rsidRPr="0042513E">
              <w:rPr>
                <w:rFonts w:ascii="Arial" w:hAnsi="Arial" w:cs="Arial"/>
                <w:b/>
                <w:color w:val="000000" w:themeColor="text1"/>
                <w:sz w:val="22"/>
                <w:szCs w:val="22"/>
              </w:rPr>
              <w:t xml:space="preserve">Investment criteria </w:t>
            </w:r>
          </w:p>
        </w:tc>
        <w:tc>
          <w:tcPr>
            <w:tcW w:w="3396" w:type="pct"/>
            <w:gridSpan w:val="7"/>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 xml:space="preserve">Number of years from year of last investment </w:t>
            </w:r>
          </w:p>
        </w:tc>
      </w:tr>
      <w:tr w:rsidR="00E378B5" w:rsidRPr="0042513E" w:rsidTr="0042513E">
        <w:trPr>
          <w:jc w:val="center"/>
        </w:trPr>
        <w:tc>
          <w:tcPr>
            <w:tcW w:w="1604" w:type="pct"/>
            <w:vMerge/>
          </w:tcPr>
          <w:p w:rsidR="00E378B5" w:rsidRPr="0042513E" w:rsidRDefault="00E378B5" w:rsidP="00E378B5">
            <w:pPr>
              <w:rPr>
                <w:rFonts w:ascii="Arial" w:hAnsi="Arial" w:cs="Arial"/>
                <w:color w:val="000000" w:themeColor="text1"/>
                <w:sz w:val="22"/>
                <w:szCs w:val="22"/>
              </w:rPr>
            </w:pPr>
          </w:p>
        </w:tc>
        <w:tc>
          <w:tcPr>
            <w:tcW w:w="563"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0</w:t>
            </w:r>
          </w:p>
        </w:tc>
        <w:tc>
          <w:tcPr>
            <w:tcW w:w="534"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5</w:t>
            </w:r>
          </w:p>
        </w:tc>
        <w:tc>
          <w:tcPr>
            <w:tcW w:w="450"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10</w:t>
            </w:r>
          </w:p>
        </w:tc>
        <w:tc>
          <w:tcPr>
            <w:tcW w:w="450"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15</w:t>
            </w:r>
          </w:p>
        </w:tc>
        <w:tc>
          <w:tcPr>
            <w:tcW w:w="450"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20</w:t>
            </w:r>
          </w:p>
        </w:tc>
        <w:tc>
          <w:tcPr>
            <w:tcW w:w="450"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25</w:t>
            </w:r>
          </w:p>
        </w:tc>
        <w:tc>
          <w:tcPr>
            <w:tcW w:w="498" w:type="pct"/>
          </w:tcPr>
          <w:p w:rsidR="00E378B5" w:rsidRPr="0042513E" w:rsidRDefault="00E378B5" w:rsidP="00E378B5">
            <w:pPr>
              <w:jc w:val="center"/>
              <w:rPr>
                <w:rFonts w:ascii="Arial" w:hAnsi="Arial" w:cs="Arial"/>
                <w:b/>
                <w:color w:val="000000" w:themeColor="text1"/>
                <w:sz w:val="22"/>
                <w:szCs w:val="22"/>
              </w:rPr>
            </w:pPr>
            <w:r w:rsidRPr="0042513E">
              <w:rPr>
                <w:rFonts w:ascii="Arial" w:hAnsi="Arial" w:cs="Arial"/>
                <w:b/>
                <w:color w:val="000000" w:themeColor="text1"/>
                <w:sz w:val="22"/>
                <w:szCs w:val="22"/>
              </w:rPr>
              <w:t>30</w:t>
            </w:r>
          </w:p>
        </w:tc>
      </w:tr>
      <w:tr w:rsidR="00E378B5" w:rsidRPr="0042513E" w:rsidTr="0042513E">
        <w:trPr>
          <w:jc w:val="center"/>
        </w:trPr>
        <w:tc>
          <w:tcPr>
            <w:tcW w:w="1604"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Present value of benefits ($m)</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0.03</w:t>
            </w:r>
          </w:p>
        </w:tc>
        <w:tc>
          <w:tcPr>
            <w:tcW w:w="534"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52</w:t>
            </w:r>
          </w:p>
        </w:tc>
        <w:tc>
          <w:tcPr>
            <w:tcW w:w="450"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4</w:t>
            </w:r>
            <w:r w:rsidRPr="0042513E">
              <w:rPr>
                <w:rFonts w:ascii="Arial" w:hAnsi="Arial" w:cs="Arial"/>
                <w:color w:val="000000" w:themeColor="text1"/>
                <w:sz w:val="22"/>
                <w:szCs w:val="22"/>
              </w:rPr>
              <w:t>2</w:t>
            </w:r>
          </w:p>
        </w:tc>
        <w:tc>
          <w:tcPr>
            <w:tcW w:w="450"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4</w:t>
            </w:r>
            <w:r w:rsidRPr="0042513E">
              <w:rPr>
                <w:rFonts w:ascii="Arial" w:hAnsi="Arial" w:cs="Arial"/>
                <w:color w:val="000000" w:themeColor="text1"/>
                <w:sz w:val="22"/>
                <w:szCs w:val="22"/>
              </w:rPr>
              <w:t>2</w:t>
            </w:r>
          </w:p>
        </w:tc>
        <w:tc>
          <w:tcPr>
            <w:tcW w:w="450"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42</w:t>
            </w:r>
          </w:p>
        </w:tc>
        <w:tc>
          <w:tcPr>
            <w:tcW w:w="450"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42</w:t>
            </w:r>
          </w:p>
        </w:tc>
        <w:tc>
          <w:tcPr>
            <w:tcW w:w="498" w:type="pct"/>
            <w:tcBorders>
              <w:top w:val="single" w:sz="4" w:space="0" w:color="auto"/>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42</w:t>
            </w:r>
          </w:p>
        </w:tc>
      </w:tr>
      <w:tr w:rsidR="00E378B5" w:rsidRPr="0042513E" w:rsidTr="0042513E">
        <w:trPr>
          <w:jc w:val="center"/>
        </w:trPr>
        <w:tc>
          <w:tcPr>
            <w:tcW w:w="1604"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Present value of costs ($m)</w:t>
            </w:r>
          </w:p>
        </w:tc>
        <w:tc>
          <w:tcPr>
            <w:tcW w:w="563"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534"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c>
          <w:tcPr>
            <w:tcW w:w="498"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0.89</w:t>
            </w:r>
          </w:p>
        </w:tc>
      </w:tr>
      <w:tr w:rsidR="00E378B5" w:rsidRPr="0042513E" w:rsidTr="0042513E">
        <w:trPr>
          <w:jc w:val="center"/>
        </w:trPr>
        <w:tc>
          <w:tcPr>
            <w:tcW w:w="1604"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Net present value ($m)</w:t>
            </w:r>
          </w:p>
        </w:tc>
        <w:tc>
          <w:tcPr>
            <w:tcW w:w="563"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-0.86</w:t>
            </w:r>
          </w:p>
        </w:tc>
        <w:tc>
          <w:tcPr>
            <w:tcW w:w="534"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37</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37</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37</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37</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37</w:t>
            </w:r>
          </w:p>
        </w:tc>
        <w:tc>
          <w:tcPr>
            <w:tcW w:w="498"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37</w:t>
            </w:r>
          </w:p>
        </w:tc>
      </w:tr>
      <w:tr w:rsidR="00E378B5" w:rsidRPr="0042513E" w:rsidTr="0042513E">
        <w:trPr>
          <w:jc w:val="center"/>
        </w:trPr>
        <w:tc>
          <w:tcPr>
            <w:tcW w:w="1604" w:type="pct"/>
          </w:tcPr>
          <w:p w:rsidR="00E378B5" w:rsidRPr="0042513E" w:rsidRDefault="00E378B5" w:rsidP="00E378B5">
            <w:pPr>
              <w:widowControl w:val="0"/>
              <w:rPr>
                <w:rFonts w:ascii="Arial" w:hAnsi="Arial" w:cs="Arial"/>
                <w:color w:val="000000" w:themeColor="text1"/>
                <w:sz w:val="22"/>
                <w:szCs w:val="22"/>
              </w:rPr>
            </w:pPr>
            <w:r w:rsidRPr="0042513E">
              <w:rPr>
                <w:rFonts w:ascii="Arial" w:hAnsi="Arial" w:cs="Arial"/>
                <w:color w:val="000000" w:themeColor="text1"/>
                <w:sz w:val="22"/>
                <w:szCs w:val="22"/>
              </w:rPr>
              <w:t>Benefit-cost ratio</w:t>
            </w:r>
          </w:p>
        </w:tc>
        <w:tc>
          <w:tcPr>
            <w:tcW w:w="563" w:type="pct"/>
            <w:tcBorders>
              <w:top w:val="nil"/>
              <w:left w:val="single" w:sz="4" w:space="0" w:color="auto"/>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0.04</w:t>
            </w:r>
          </w:p>
        </w:tc>
        <w:tc>
          <w:tcPr>
            <w:tcW w:w="534"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58</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58</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58</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58</w:t>
            </w:r>
          </w:p>
        </w:tc>
        <w:tc>
          <w:tcPr>
            <w:tcW w:w="450"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58</w:t>
            </w:r>
          </w:p>
        </w:tc>
        <w:tc>
          <w:tcPr>
            <w:tcW w:w="498" w:type="pct"/>
            <w:tcBorders>
              <w:top w:val="nil"/>
              <w:left w:val="nil"/>
              <w:bottom w:val="single" w:sz="4" w:space="0" w:color="auto"/>
              <w:right w:val="single" w:sz="4" w:space="0" w:color="auto"/>
            </w:tcBorders>
            <w:shd w:val="clear" w:color="auto" w:fill="auto"/>
            <w:vAlign w:val="bottom"/>
          </w:tcPr>
          <w:p w:rsidR="00E378B5" w:rsidRPr="0042513E" w:rsidRDefault="00E378B5" w:rsidP="00E378B5">
            <w:pPr>
              <w:jc w:val="right"/>
              <w:rPr>
                <w:rFonts w:ascii="Arial" w:hAnsi="Arial" w:cs="Arial"/>
                <w:color w:val="000000" w:themeColor="text1"/>
                <w:sz w:val="22"/>
                <w:szCs w:val="22"/>
              </w:rPr>
            </w:pPr>
            <w:r w:rsidRPr="0042513E">
              <w:rPr>
                <w:rFonts w:ascii="Arial" w:hAnsi="Arial" w:cs="Arial"/>
                <w:color w:val="000000" w:themeColor="text1"/>
                <w:sz w:val="22"/>
                <w:szCs w:val="22"/>
              </w:rPr>
              <w:t>0.</w:t>
            </w:r>
            <w:r w:rsidR="006A0875" w:rsidRPr="0042513E">
              <w:rPr>
                <w:rFonts w:ascii="Arial" w:hAnsi="Arial" w:cs="Arial"/>
                <w:color w:val="000000" w:themeColor="text1"/>
                <w:sz w:val="22"/>
                <w:szCs w:val="22"/>
              </w:rPr>
              <w:t>58</w:t>
            </w:r>
          </w:p>
        </w:tc>
      </w:tr>
    </w:tbl>
    <w:p w:rsidR="00E378B5" w:rsidRPr="006A0875" w:rsidRDefault="00E378B5" w:rsidP="00E378B5">
      <w:pPr>
        <w:rPr>
          <w:rFonts w:ascii="Arial" w:hAnsi="Arial" w:cs="Arial"/>
          <w:color w:val="000000" w:themeColor="text1"/>
        </w:rPr>
      </w:pPr>
    </w:p>
    <w:p w:rsidR="00E378B5" w:rsidRPr="00C44563" w:rsidRDefault="00E378B5" w:rsidP="00F712CF">
      <w:pPr>
        <w:widowControl w:val="0"/>
        <w:spacing w:before="240" w:after="240"/>
        <w:mirrorIndents/>
        <w:rPr>
          <w:rFonts w:ascii="Arial" w:hAnsi="Arial" w:cs="Arial"/>
          <w:b/>
          <w:sz w:val="24"/>
        </w:rPr>
      </w:pPr>
      <w:r w:rsidRPr="00C44563">
        <w:rPr>
          <w:rFonts w:ascii="Arial" w:hAnsi="Arial" w:cs="Arial"/>
          <w:b/>
          <w:sz w:val="24"/>
        </w:rPr>
        <w:t xml:space="preserve">Confidence Ratings and other Findings </w:t>
      </w:r>
    </w:p>
    <w:p w:rsidR="00E378B5" w:rsidRDefault="00E378B5" w:rsidP="00F712CF">
      <w:pPr>
        <w:spacing w:after="240"/>
        <w:rPr>
          <w:rFonts w:ascii="Arial" w:hAnsi="Arial" w:cs="Arial"/>
        </w:rPr>
      </w:pPr>
      <w:r w:rsidRPr="00856CE1">
        <w:rPr>
          <w:rFonts w:ascii="Arial" w:hAnsi="Arial" w:cs="Arial"/>
        </w:rPr>
        <w:t xml:space="preserve">The results produced are highly dependent on the assumptions made, some of which are uncertain.  There are two factors that warrant recognition. The first factor is the coverage of benefits. Where there are multiple types of benefits it is often not possible to quantify all the benefits that may be linked to the investment. The second factor involves uncertainty regarding the assumptions made, including the linkage between the research and the assumed outcomes. </w:t>
      </w:r>
    </w:p>
    <w:p w:rsidR="00E378B5" w:rsidRPr="00856CE1" w:rsidRDefault="00E378B5" w:rsidP="00F712CF">
      <w:pPr>
        <w:widowControl w:val="0"/>
        <w:spacing w:after="240"/>
        <w:mirrorIndents/>
        <w:rPr>
          <w:rFonts w:ascii="Arial" w:hAnsi="Arial" w:cs="Arial"/>
        </w:rPr>
      </w:pPr>
      <w:r w:rsidRPr="00856CE1">
        <w:rPr>
          <w:rFonts w:ascii="Arial" w:hAnsi="Arial" w:cs="Arial"/>
        </w:rPr>
        <w:t>A confidence rating based on these two factors has been given to the results of the investment analysis (Table 13). The rating categories used are High, Medium and Low, where:</w:t>
      </w:r>
    </w:p>
    <w:p w:rsidR="00E378B5" w:rsidRPr="00856CE1" w:rsidRDefault="00E378B5" w:rsidP="00E378B5">
      <w:pPr>
        <w:widowControl w:val="0"/>
        <w:ind w:left="1890" w:hanging="1350"/>
        <w:mirrorIndents/>
        <w:rPr>
          <w:rFonts w:ascii="Arial" w:hAnsi="Arial" w:cs="Arial"/>
        </w:rPr>
      </w:pPr>
      <w:r w:rsidRPr="00856CE1">
        <w:rPr>
          <w:rFonts w:ascii="Arial" w:hAnsi="Arial" w:cs="Arial"/>
        </w:rPr>
        <w:t>High:</w:t>
      </w:r>
      <w:r w:rsidRPr="00856CE1">
        <w:rPr>
          <w:rFonts w:ascii="Arial" w:hAnsi="Arial" w:cs="Arial"/>
        </w:rPr>
        <w:tab/>
        <w:t xml:space="preserve">denotes a good coverage of benefits or reasonable confidence in the assumptions made </w:t>
      </w:r>
    </w:p>
    <w:p w:rsidR="00E378B5" w:rsidRPr="00856CE1" w:rsidRDefault="00E378B5" w:rsidP="00E378B5">
      <w:pPr>
        <w:widowControl w:val="0"/>
        <w:ind w:left="1890" w:hanging="1350"/>
        <w:mirrorIndents/>
        <w:rPr>
          <w:rFonts w:ascii="Arial" w:hAnsi="Arial" w:cs="Arial"/>
        </w:rPr>
      </w:pPr>
      <w:r w:rsidRPr="00856CE1">
        <w:rPr>
          <w:rFonts w:ascii="Arial" w:hAnsi="Arial" w:cs="Arial"/>
        </w:rPr>
        <w:t>Medium:</w:t>
      </w:r>
      <w:r w:rsidRPr="00856CE1">
        <w:rPr>
          <w:rFonts w:ascii="Arial" w:hAnsi="Arial" w:cs="Arial"/>
        </w:rPr>
        <w:tab/>
        <w:t xml:space="preserve">denotes only a reasonable coverage of benefits or some uncertainties in assumptions made </w:t>
      </w:r>
    </w:p>
    <w:p w:rsidR="00E378B5" w:rsidRPr="00856CE1" w:rsidRDefault="00E378B5" w:rsidP="00E378B5">
      <w:pPr>
        <w:widowControl w:val="0"/>
        <w:ind w:left="1890" w:hanging="1350"/>
        <w:mirrorIndents/>
        <w:rPr>
          <w:rFonts w:ascii="Arial" w:hAnsi="Arial" w:cs="Arial"/>
        </w:rPr>
      </w:pPr>
      <w:r w:rsidRPr="00856CE1">
        <w:rPr>
          <w:rFonts w:ascii="Arial" w:hAnsi="Arial" w:cs="Arial"/>
        </w:rPr>
        <w:t>Low:</w:t>
      </w:r>
      <w:r w:rsidRPr="00856CE1">
        <w:rPr>
          <w:rFonts w:ascii="Arial" w:hAnsi="Arial" w:cs="Arial"/>
        </w:rPr>
        <w:tab/>
        <w:t xml:space="preserve">denotes a poor coverage of benefits or many uncertainties in assumptions made </w:t>
      </w:r>
    </w:p>
    <w:p w:rsidR="00E378B5" w:rsidRPr="00856CE1" w:rsidRDefault="00E378B5" w:rsidP="00E378B5">
      <w:pPr>
        <w:widowControl w:val="0"/>
        <w:mirrorIndents/>
        <w:jc w:val="center"/>
        <w:rPr>
          <w:rFonts w:ascii="Arial" w:hAnsi="Arial" w:cs="Arial"/>
        </w:rPr>
      </w:pPr>
    </w:p>
    <w:p w:rsidR="00E378B5" w:rsidRPr="00F712CF" w:rsidRDefault="00E378B5" w:rsidP="00F712CF">
      <w:pPr>
        <w:pStyle w:val="Caption"/>
        <w:spacing w:after="240"/>
        <w:jc w:val="center"/>
        <w:rPr>
          <w:rFonts w:ascii="Arial" w:hAnsi="Arial"/>
          <w:b w:val="0"/>
          <w:i/>
          <w:color w:val="000000" w:themeColor="text1"/>
          <w:sz w:val="22"/>
          <w:szCs w:val="22"/>
        </w:rPr>
      </w:pPr>
      <w:bookmarkStart w:id="199" w:name="_Toc417640356"/>
      <w:bookmarkStart w:id="200" w:name="_Toc442159278"/>
      <w:bookmarkStart w:id="201" w:name="_Toc475102795"/>
      <w:bookmarkStart w:id="202" w:name="_Toc476632583"/>
      <w:r w:rsidRPr="00F712CF">
        <w:rPr>
          <w:rFonts w:ascii="Arial" w:hAnsi="Arial"/>
          <w:b w:val="0"/>
          <w:color w:val="000000" w:themeColor="text1"/>
          <w:sz w:val="22"/>
          <w:szCs w:val="22"/>
        </w:rPr>
        <w:t xml:space="preserve">Table 13: Confidence in Analysis of </w:t>
      </w:r>
      <w:bookmarkEnd w:id="199"/>
      <w:bookmarkEnd w:id="200"/>
      <w:bookmarkEnd w:id="201"/>
      <w:r w:rsidRPr="00F712CF">
        <w:rPr>
          <w:rFonts w:ascii="Arial" w:hAnsi="Arial"/>
          <w:b w:val="0"/>
          <w:color w:val="000000" w:themeColor="text1"/>
          <w:sz w:val="22"/>
          <w:szCs w:val="22"/>
        </w:rPr>
        <w:t>Project</w:t>
      </w:r>
      <w:bookmarkEnd w:id="202"/>
    </w:p>
    <w:tbl>
      <w:tblPr>
        <w:tblStyle w:val="TableGrid"/>
        <w:tblW w:w="0" w:type="auto"/>
        <w:tblInd w:w="1951" w:type="dxa"/>
        <w:tblLook w:val="04A0" w:firstRow="1" w:lastRow="0" w:firstColumn="1" w:lastColumn="0" w:noHBand="0" w:noVBand="1"/>
      </w:tblPr>
      <w:tblGrid>
        <w:gridCol w:w="2551"/>
        <w:gridCol w:w="2552"/>
      </w:tblGrid>
      <w:tr w:rsidR="00E378B5" w:rsidRPr="00856CE1" w:rsidTr="00E378B5">
        <w:tc>
          <w:tcPr>
            <w:tcW w:w="2551" w:type="dxa"/>
            <w:vAlign w:val="center"/>
          </w:tcPr>
          <w:p w:rsidR="00E378B5" w:rsidRPr="00856CE1" w:rsidRDefault="00E378B5" w:rsidP="00E378B5">
            <w:pPr>
              <w:widowControl w:val="0"/>
              <w:mirrorIndents/>
              <w:jc w:val="center"/>
              <w:rPr>
                <w:rFonts w:ascii="Arial" w:hAnsi="Arial" w:cs="Arial"/>
                <w:b/>
                <w:sz w:val="22"/>
                <w:szCs w:val="22"/>
              </w:rPr>
            </w:pPr>
            <w:r w:rsidRPr="00856CE1">
              <w:rPr>
                <w:rFonts w:ascii="Arial" w:hAnsi="Arial" w:cs="Arial"/>
                <w:b/>
                <w:sz w:val="22"/>
                <w:szCs w:val="22"/>
              </w:rPr>
              <w:t>Coverage of Benefits</w:t>
            </w:r>
          </w:p>
        </w:tc>
        <w:tc>
          <w:tcPr>
            <w:tcW w:w="2552" w:type="dxa"/>
            <w:vAlign w:val="center"/>
          </w:tcPr>
          <w:p w:rsidR="00E378B5" w:rsidRPr="00856CE1" w:rsidRDefault="00E378B5" w:rsidP="00E378B5">
            <w:pPr>
              <w:widowControl w:val="0"/>
              <w:mirrorIndents/>
              <w:jc w:val="center"/>
              <w:rPr>
                <w:rFonts w:ascii="Arial" w:hAnsi="Arial" w:cs="Arial"/>
                <w:b/>
                <w:sz w:val="22"/>
                <w:szCs w:val="22"/>
              </w:rPr>
            </w:pPr>
            <w:r w:rsidRPr="00856CE1">
              <w:rPr>
                <w:rFonts w:ascii="Arial" w:hAnsi="Arial" w:cs="Arial"/>
                <w:b/>
                <w:sz w:val="22"/>
                <w:szCs w:val="22"/>
              </w:rPr>
              <w:t>Confidence in Assumptions</w:t>
            </w:r>
          </w:p>
        </w:tc>
      </w:tr>
      <w:tr w:rsidR="00E378B5" w:rsidRPr="00856CE1" w:rsidTr="00E378B5">
        <w:trPr>
          <w:trHeight w:val="432"/>
        </w:trPr>
        <w:tc>
          <w:tcPr>
            <w:tcW w:w="2551" w:type="dxa"/>
            <w:vAlign w:val="center"/>
          </w:tcPr>
          <w:p w:rsidR="00E378B5" w:rsidRPr="00856CE1" w:rsidRDefault="00E378B5" w:rsidP="00E378B5">
            <w:pPr>
              <w:widowControl w:val="0"/>
              <w:mirrorIndents/>
              <w:jc w:val="center"/>
              <w:rPr>
                <w:rFonts w:ascii="Arial" w:hAnsi="Arial" w:cs="Arial"/>
                <w:sz w:val="22"/>
                <w:szCs w:val="22"/>
              </w:rPr>
            </w:pPr>
            <w:r w:rsidRPr="00856CE1">
              <w:rPr>
                <w:rFonts w:ascii="Arial" w:hAnsi="Arial" w:cs="Arial"/>
                <w:sz w:val="22"/>
                <w:szCs w:val="22"/>
              </w:rPr>
              <w:t>High</w:t>
            </w:r>
          </w:p>
        </w:tc>
        <w:tc>
          <w:tcPr>
            <w:tcW w:w="2552" w:type="dxa"/>
            <w:vAlign w:val="center"/>
          </w:tcPr>
          <w:p w:rsidR="00E378B5" w:rsidRPr="00856CE1" w:rsidRDefault="00E378B5" w:rsidP="00E378B5">
            <w:pPr>
              <w:widowControl w:val="0"/>
              <w:mirrorIndents/>
              <w:jc w:val="center"/>
              <w:rPr>
                <w:rFonts w:ascii="Arial" w:hAnsi="Arial" w:cs="Arial"/>
                <w:sz w:val="22"/>
                <w:szCs w:val="22"/>
              </w:rPr>
            </w:pPr>
            <w:r w:rsidRPr="00856CE1">
              <w:rPr>
                <w:rFonts w:ascii="Arial" w:hAnsi="Arial" w:cs="Arial"/>
                <w:sz w:val="22"/>
                <w:szCs w:val="22"/>
              </w:rPr>
              <w:t xml:space="preserve">Medium </w:t>
            </w:r>
          </w:p>
        </w:tc>
      </w:tr>
    </w:tbl>
    <w:p w:rsidR="00E378B5" w:rsidRPr="00856CE1" w:rsidRDefault="00E378B5" w:rsidP="00F712CF">
      <w:pPr>
        <w:spacing w:before="240" w:after="240"/>
        <w:rPr>
          <w:rFonts w:ascii="Arial" w:hAnsi="Arial" w:cs="Arial"/>
        </w:rPr>
      </w:pPr>
      <w:r w:rsidRPr="00856CE1">
        <w:rPr>
          <w:rFonts w:ascii="Arial" w:hAnsi="Arial" w:cs="Arial"/>
        </w:rPr>
        <w:t xml:space="preserve">Coverage of benefits was assessed as high as most benefits were economic in nature and related to increased grower returns. While some impacts were not valued, their contribution was considered minor compared with those valued. </w:t>
      </w:r>
    </w:p>
    <w:p w:rsidR="00E378B5" w:rsidRDefault="00E378B5" w:rsidP="00F712CF">
      <w:pPr>
        <w:spacing w:after="240"/>
        <w:rPr>
          <w:rFonts w:ascii="Arial" w:hAnsi="Arial" w:cs="Arial"/>
        </w:rPr>
      </w:pPr>
      <w:r w:rsidRPr="00856CE1">
        <w:rPr>
          <w:rFonts w:ascii="Arial" w:hAnsi="Arial" w:cs="Arial"/>
        </w:rPr>
        <w:t xml:space="preserve">Confidence in assumptions was rated as medium. Principal assumptions around acceptance of methyl bromide based protocols were derived from those close to the negotiation process and have been sensitivity tested.  </w:t>
      </w:r>
    </w:p>
    <w:p w:rsidR="00E378B5" w:rsidRPr="00C66231" w:rsidRDefault="00E378B5" w:rsidP="00C66231">
      <w:pPr>
        <w:spacing w:after="240"/>
        <w:rPr>
          <w:rFonts w:ascii="Arial" w:hAnsi="Arial" w:cs="Arial"/>
          <w:b/>
          <w:sz w:val="40"/>
          <w:szCs w:val="40"/>
        </w:rPr>
      </w:pPr>
      <w:bookmarkStart w:id="203" w:name="_Toc476387742"/>
      <w:bookmarkStart w:id="204" w:name="_Toc486145234"/>
      <w:bookmarkStart w:id="205" w:name="_Toc486145343"/>
      <w:bookmarkStart w:id="206" w:name="_Toc486146259"/>
      <w:r w:rsidRPr="00C66231">
        <w:rPr>
          <w:rFonts w:ascii="Arial" w:hAnsi="Arial" w:cs="Arial"/>
          <w:b/>
          <w:sz w:val="40"/>
          <w:szCs w:val="40"/>
        </w:rPr>
        <w:t>8. Conclusions</w:t>
      </w:r>
      <w:bookmarkEnd w:id="203"/>
      <w:bookmarkEnd w:id="204"/>
      <w:bookmarkEnd w:id="205"/>
      <w:bookmarkEnd w:id="206"/>
      <w:r w:rsidRPr="00C66231">
        <w:rPr>
          <w:rFonts w:ascii="Arial" w:hAnsi="Arial" w:cs="Arial"/>
          <w:b/>
          <w:sz w:val="40"/>
          <w:szCs w:val="40"/>
        </w:rPr>
        <w:t xml:space="preserve"> </w:t>
      </w:r>
    </w:p>
    <w:p w:rsidR="00E378B5" w:rsidRDefault="00E378B5" w:rsidP="00F712CF">
      <w:pPr>
        <w:spacing w:after="240"/>
        <w:rPr>
          <w:rFonts w:ascii="Arial" w:hAnsi="Arial" w:cs="Arial"/>
        </w:rPr>
      </w:pPr>
      <w:r w:rsidRPr="00856CE1">
        <w:rPr>
          <w:rFonts w:ascii="Arial" w:hAnsi="Arial" w:cs="Arial"/>
        </w:rPr>
        <w:t xml:space="preserve">The investment in this project has resulted in the establishment of an airfreight market for Australian nectarines in China. It is also expected to lead to the establishment of an airfreight peach market in China and airfreight nectarine and peach markets in Vietnam, Thailand, the Philippines and Taiwan. </w:t>
      </w:r>
    </w:p>
    <w:p w:rsidR="00E378B5" w:rsidRPr="0035351E" w:rsidRDefault="00E378B5" w:rsidP="00F712CF">
      <w:pPr>
        <w:spacing w:after="240"/>
        <w:rPr>
          <w:rFonts w:ascii="Arial" w:hAnsi="Arial" w:cs="Arial"/>
        </w:rPr>
      </w:pPr>
      <w:r w:rsidRPr="0035351E">
        <w:rPr>
          <w:rFonts w:ascii="Arial" w:hAnsi="Arial" w:cs="Arial"/>
        </w:rPr>
        <w:t>Given the base counterfactual scenario, funding for the project over the two years totalled $0.9 million (present value terms) and produced aggregate total expected benefits of $4.2 million (present value terms). This gave a net present value of $3.3 million, a benefit-cost ratio of 4.</w:t>
      </w:r>
      <w:r w:rsidR="0035351E" w:rsidRPr="0035351E">
        <w:rPr>
          <w:rFonts w:ascii="Arial" w:hAnsi="Arial" w:cs="Arial"/>
        </w:rPr>
        <w:t>6</w:t>
      </w:r>
      <w:r w:rsidRPr="0035351E">
        <w:rPr>
          <w:rFonts w:ascii="Arial" w:hAnsi="Arial" w:cs="Arial"/>
        </w:rPr>
        <w:t xml:space="preserve"> to 1, an internal rate of return of 24% and a modified internal rate of return of 11%.</w:t>
      </w:r>
    </w:p>
    <w:p w:rsidR="00E378B5" w:rsidRPr="0035351E" w:rsidRDefault="00E378B5" w:rsidP="00F712CF">
      <w:pPr>
        <w:spacing w:after="240"/>
        <w:rPr>
          <w:rFonts w:ascii="Arial" w:hAnsi="Arial" w:cs="Arial"/>
        </w:rPr>
      </w:pPr>
      <w:r w:rsidRPr="0035351E">
        <w:rPr>
          <w:rFonts w:ascii="Arial" w:hAnsi="Arial" w:cs="Arial"/>
        </w:rPr>
        <w:t>Using the alternative counterfactual, that methyl bromide based export protocols are replaced by irradiation in five years, the benefit-cost ratio was estimated as 0.6 to 1. Hence, it can be concluded that the performance of the investment as measured by the benefit-cost ratio was probably at least 0.6 to 1, and potentially as high as 4.</w:t>
      </w:r>
      <w:r w:rsidR="0035351E" w:rsidRPr="0035351E">
        <w:rPr>
          <w:rFonts w:ascii="Arial" w:hAnsi="Arial" w:cs="Arial"/>
        </w:rPr>
        <w:t>6</w:t>
      </w:r>
      <w:r w:rsidRPr="0035351E">
        <w:rPr>
          <w:rFonts w:ascii="Arial" w:hAnsi="Arial" w:cs="Arial"/>
        </w:rPr>
        <w:t xml:space="preserve"> to 1. </w:t>
      </w:r>
    </w:p>
    <w:p w:rsidR="00E378B5" w:rsidRDefault="00E378B5" w:rsidP="00F712CF">
      <w:pPr>
        <w:spacing w:after="240"/>
        <w:rPr>
          <w:rFonts w:ascii="Arial" w:hAnsi="Arial" w:cs="Arial"/>
        </w:rPr>
      </w:pPr>
      <w:r w:rsidRPr="005271ED">
        <w:rPr>
          <w:rFonts w:ascii="Arial" w:hAnsi="Arial" w:cs="Arial"/>
        </w:rPr>
        <w:t>The analysis provided a good example of a relatively small investment that has utilised and built research capacity in Queensland and delivered a net benefit for the nationally significant summerfruit industry.</w:t>
      </w:r>
    </w:p>
    <w:p w:rsidR="00E378B5" w:rsidRPr="00C66231" w:rsidRDefault="00E378B5" w:rsidP="00F712CF">
      <w:pPr>
        <w:spacing w:before="240" w:after="240"/>
        <w:rPr>
          <w:rFonts w:ascii="Arial" w:hAnsi="Arial" w:cs="Arial"/>
          <w:b/>
          <w:sz w:val="40"/>
          <w:szCs w:val="40"/>
        </w:rPr>
      </w:pPr>
      <w:bookmarkStart w:id="207" w:name="_Toc476387743"/>
      <w:bookmarkStart w:id="208" w:name="_Toc486145235"/>
      <w:bookmarkStart w:id="209" w:name="_Toc486145344"/>
      <w:bookmarkStart w:id="210" w:name="_Toc486146260"/>
      <w:r w:rsidRPr="00C66231">
        <w:rPr>
          <w:rFonts w:ascii="Arial" w:hAnsi="Arial" w:cs="Arial"/>
          <w:b/>
          <w:sz w:val="40"/>
          <w:szCs w:val="40"/>
        </w:rPr>
        <w:t>References</w:t>
      </w:r>
      <w:bookmarkEnd w:id="207"/>
      <w:bookmarkEnd w:id="208"/>
      <w:bookmarkEnd w:id="209"/>
      <w:bookmarkEnd w:id="210"/>
    </w:p>
    <w:p w:rsidR="00E378B5" w:rsidRPr="000C1968" w:rsidRDefault="00E378B5" w:rsidP="00E378B5">
      <w:pPr>
        <w:rPr>
          <w:rFonts w:ascii="Arial" w:hAnsi="Arial" w:cs="Arial"/>
        </w:rPr>
      </w:pPr>
      <w:r w:rsidRPr="000C1968">
        <w:rPr>
          <w:rFonts w:ascii="Arial" w:hAnsi="Arial" w:cs="Arial"/>
        </w:rPr>
        <w:t>CRRDC (2014) Impact Assessment Guidelines – Version 1, May 2014, CRRDC, Canberra</w:t>
      </w:r>
    </w:p>
    <w:p w:rsidR="00E378B5" w:rsidRPr="009C0D7D" w:rsidRDefault="00402DE3" w:rsidP="0042513E">
      <w:pPr>
        <w:ind w:left="720"/>
        <w:rPr>
          <w:rFonts w:ascii="Arial" w:hAnsi="Arial" w:cs="Arial"/>
        </w:rPr>
      </w:pPr>
      <w:hyperlink r:id="rId21" w:history="1">
        <w:r w:rsidR="0042513E" w:rsidRPr="00545B8D">
          <w:rPr>
            <w:rStyle w:val="Hyperlink"/>
            <w:rFonts w:ascii="Arial" w:hAnsi="Arial" w:cs="Arial"/>
          </w:rPr>
          <w:t>http://www.ruralrdc.com.au/wp-content/uploads/2016/04/CRRDC-Impact-Assessment-Guidelines-V.1-070514.pdf</w:t>
        </w:r>
      </w:hyperlink>
      <w:r w:rsidR="00E378B5" w:rsidRPr="009C0D7D">
        <w:rPr>
          <w:rFonts w:ascii="Arial" w:hAnsi="Arial" w:cs="Arial"/>
        </w:rPr>
        <w:t xml:space="preserve"> </w:t>
      </w:r>
    </w:p>
    <w:p w:rsidR="00E378B5" w:rsidRPr="00E43E3C" w:rsidRDefault="00E378B5" w:rsidP="00E378B5">
      <w:pPr>
        <w:rPr>
          <w:rFonts w:ascii="Arial" w:hAnsi="Arial" w:cs="Arial"/>
        </w:rPr>
      </w:pPr>
    </w:p>
    <w:p w:rsidR="0042513E" w:rsidRDefault="00E378B5" w:rsidP="00E378B5">
      <w:pPr>
        <w:rPr>
          <w:rFonts w:ascii="Arial" w:hAnsi="Arial" w:cs="Arial"/>
        </w:rPr>
      </w:pPr>
      <w:r w:rsidRPr="001419D7">
        <w:rPr>
          <w:rFonts w:ascii="Arial" w:hAnsi="Arial" w:cs="Arial"/>
        </w:rPr>
        <w:t xml:space="preserve">DAWR (2015) Rural Research and Development Priorities, Department of Agriculture and </w:t>
      </w:r>
    </w:p>
    <w:p w:rsidR="00E378B5" w:rsidRPr="001419D7" w:rsidRDefault="00E378B5" w:rsidP="0042513E">
      <w:pPr>
        <w:ind w:left="720"/>
        <w:rPr>
          <w:rStyle w:val="Hyperlink"/>
          <w:rFonts w:ascii="Arial" w:hAnsi="Arial" w:cs="Arial"/>
        </w:rPr>
      </w:pPr>
      <w:r w:rsidRPr="001419D7">
        <w:rPr>
          <w:rFonts w:ascii="Arial" w:hAnsi="Arial" w:cs="Arial"/>
        </w:rPr>
        <w:t xml:space="preserve">Water Resources, Canberra, ACT, accessed January 2016 at: </w:t>
      </w:r>
      <w:hyperlink r:id="rId22" w:history="1">
        <w:r w:rsidRPr="001419D7">
          <w:rPr>
            <w:rStyle w:val="Hyperlink"/>
            <w:rFonts w:ascii="Arial" w:hAnsi="Arial" w:cs="Arial"/>
          </w:rPr>
          <w:t>http://www.agriculture.gov.au/ag-farm-food/innovation/priorities</w:t>
        </w:r>
      </w:hyperlink>
    </w:p>
    <w:p w:rsidR="00E378B5" w:rsidRPr="00E43E3C" w:rsidRDefault="00E378B5" w:rsidP="00E378B5">
      <w:pPr>
        <w:rPr>
          <w:rFonts w:ascii="Arial" w:hAnsi="Arial" w:cs="Arial"/>
        </w:rPr>
      </w:pPr>
    </w:p>
    <w:p w:rsidR="0042513E" w:rsidRDefault="00E378B5" w:rsidP="00E378B5">
      <w:pPr>
        <w:rPr>
          <w:rFonts w:ascii="Arial" w:hAnsi="Arial" w:cs="Arial"/>
        </w:rPr>
      </w:pPr>
      <w:r w:rsidRPr="00E43E3C">
        <w:rPr>
          <w:rFonts w:ascii="Arial" w:hAnsi="Arial" w:cs="Arial"/>
        </w:rPr>
        <w:t xml:space="preserve">Ekman, J (2016) </w:t>
      </w:r>
      <w:r>
        <w:rPr>
          <w:rFonts w:ascii="Arial" w:hAnsi="Arial" w:cs="Arial"/>
        </w:rPr>
        <w:t>‘</w:t>
      </w:r>
      <w:r w:rsidRPr="00E43E3C">
        <w:rPr>
          <w:rFonts w:ascii="Arial" w:hAnsi="Arial" w:cs="Arial"/>
        </w:rPr>
        <w:t>Fumo Breakthrough – Dosing Down on Methyl Bromide</w:t>
      </w:r>
      <w:r>
        <w:rPr>
          <w:rFonts w:ascii="Arial" w:hAnsi="Arial" w:cs="Arial"/>
        </w:rPr>
        <w:t>’</w:t>
      </w:r>
      <w:r w:rsidRPr="00E43E3C">
        <w:rPr>
          <w:rFonts w:ascii="Arial" w:hAnsi="Arial" w:cs="Arial"/>
        </w:rPr>
        <w:t xml:space="preserve"> in Australian </w:t>
      </w:r>
    </w:p>
    <w:p w:rsidR="00E378B5" w:rsidRPr="00E43E3C" w:rsidRDefault="00E378B5" w:rsidP="0042513E">
      <w:pPr>
        <w:ind w:firstLine="720"/>
        <w:rPr>
          <w:rFonts w:ascii="Arial" w:hAnsi="Arial" w:cs="Arial"/>
        </w:rPr>
      </w:pPr>
      <w:r w:rsidRPr="00E43E3C">
        <w:rPr>
          <w:rFonts w:ascii="Arial" w:hAnsi="Arial" w:cs="Arial"/>
        </w:rPr>
        <w:t>Stonefruit Grower</w:t>
      </w:r>
      <w:r>
        <w:rPr>
          <w:rFonts w:ascii="Arial" w:hAnsi="Arial" w:cs="Arial"/>
        </w:rPr>
        <w:t>,</w:t>
      </w:r>
      <w:r w:rsidRPr="00E43E3C">
        <w:rPr>
          <w:rFonts w:ascii="Arial" w:hAnsi="Arial" w:cs="Arial"/>
        </w:rPr>
        <w:t xml:space="preserve"> Issue 3 </w:t>
      </w:r>
      <w:r>
        <w:rPr>
          <w:rFonts w:ascii="Arial" w:hAnsi="Arial" w:cs="Arial"/>
        </w:rPr>
        <w:t xml:space="preserve">December </w:t>
      </w:r>
      <w:r w:rsidRPr="00E43E3C">
        <w:rPr>
          <w:rFonts w:ascii="Arial" w:hAnsi="Arial" w:cs="Arial"/>
        </w:rPr>
        <w:t>2016</w:t>
      </w:r>
    </w:p>
    <w:p w:rsidR="00E378B5" w:rsidRDefault="00E378B5" w:rsidP="00E378B5">
      <w:pPr>
        <w:rPr>
          <w:rFonts w:ascii="Arial" w:hAnsi="Arial" w:cs="Arial"/>
        </w:rPr>
      </w:pPr>
    </w:p>
    <w:p w:rsidR="0042513E" w:rsidRDefault="00E378B5" w:rsidP="00E378B5">
      <w:pPr>
        <w:rPr>
          <w:rFonts w:ascii="Arial" w:hAnsi="Arial" w:cs="Arial"/>
        </w:rPr>
      </w:pPr>
      <w:r w:rsidRPr="00E43E3C">
        <w:rPr>
          <w:rFonts w:ascii="Arial" w:hAnsi="Arial" w:cs="Arial"/>
        </w:rPr>
        <w:t>Hort Innovation (2016)</w:t>
      </w:r>
      <w:r>
        <w:rPr>
          <w:rFonts w:ascii="Arial" w:hAnsi="Arial" w:cs="Arial"/>
        </w:rPr>
        <w:t xml:space="preserve"> Horticulture Innovation Australia Annual Report 2015-16 </w:t>
      </w:r>
    </w:p>
    <w:p w:rsidR="00E378B5" w:rsidRDefault="00402DE3" w:rsidP="0042513E">
      <w:pPr>
        <w:ind w:left="720"/>
        <w:rPr>
          <w:rFonts w:ascii="Arial" w:hAnsi="Arial" w:cs="Arial"/>
        </w:rPr>
      </w:pPr>
      <w:hyperlink r:id="rId23" w:history="1">
        <w:r w:rsidR="0042513E" w:rsidRPr="00545B8D">
          <w:rPr>
            <w:rStyle w:val="Hyperlink"/>
            <w:rFonts w:ascii="Arial" w:hAnsi="Arial" w:cs="Arial"/>
          </w:rPr>
          <w:t>http://horticulture.com.au/wp-content/uploads/2016/10/Hort-Innovation-Annual-</w:t>
        </w:r>
      </w:hyperlink>
      <w:r w:rsidR="00E378B5" w:rsidRPr="009C0D7D">
        <w:rPr>
          <w:rFonts w:ascii="Arial" w:hAnsi="Arial" w:cs="Arial"/>
        </w:rPr>
        <w:t>Report-2015-16-Web.pdf</w:t>
      </w:r>
      <w:r w:rsidR="00E378B5">
        <w:rPr>
          <w:rFonts w:ascii="Arial" w:hAnsi="Arial" w:cs="Arial"/>
        </w:rPr>
        <w:t xml:space="preserve"> </w:t>
      </w:r>
    </w:p>
    <w:p w:rsidR="00E378B5" w:rsidRPr="00E43E3C" w:rsidRDefault="00E378B5" w:rsidP="00E378B5">
      <w:pPr>
        <w:rPr>
          <w:rFonts w:ascii="Arial" w:hAnsi="Arial" w:cs="Arial"/>
        </w:rPr>
      </w:pPr>
    </w:p>
    <w:p w:rsidR="0042513E" w:rsidRDefault="00E378B5" w:rsidP="00E378B5">
      <w:pPr>
        <w:rPr>
          <w:rFonts w:ascii="Arial" w:hAnsi="Arial" w:cs="Arial"/>
        </w:rPr>
      </w:pPr>
      <w:r w:rsidRPr="00E43E3C">
        <w:rPr>
          <w:rFonts w:ascii="Arial" w:hAnsi="Arial" w:cs="Arial"/>
        </w:rPr>
        <w:t xml:space="preserve">Moore, J (2016) </w:t>
      </w:r>
      <w:r>
        <w:rPr>
          <w:rFonts w:ascii="Arial" w:hAnsi="Arial" w:cs="Arial"/>
        </w:rPr>
        <w:t>‘</w:t>
      </w:r>
      <w:r w:rsidRPr="00E43E3C">
        <w:rPr>
          <w:rFonts w:ascii="Arial" w:hAnsi="Arial" w:cs="Arial"/>
        </w:rPr>
        <w:t>Growing Trade with China</w:t>
      </w:r>
      <w:r>
        <w:rPr>
          <w:rFonts w:ascii="Arial" w:hAnsi="Arial" w:cs="Arial"/>
        </w:rPr>
        <w:t>’</w:t>
      </w:r>
      <w:r w:rsidRPr="00E43E3C">
        <w:rPr>
          <w:rFonts w:ascii="Arial" w:hAnsi="Arial" w:cs="Arial"/>
        </w:rPr>
        <w:t xml:space="preserve"> in Australian Stonefruit Grower</w:t>
      </w:r>
      <w:r>
        <w:rPr>
          <w:rFonts w:ascii="Arial" w:hAnsi="Arial" w:cs="Arial"/>
        </w:rPr>
        <w:t>,</w:t>
      </w:r>
      <w:r w:rsidRPr="00E43E3C">
        <w:rPr>
          <w:rFonts w:ascii="Arial" w:hAnsi="Arial" w:cs="Arial"/>
        </w:rPr>
        <w:t xml:space="preserve"> Issue 3 </w:t>
      </w:r>
    </w:p>
    <w:p w:rsidR="00E378B5" w:rsidRPr="00E43E3C" w:rsidRDefault="00E378B5" w:rsidP="0042513E">
      <w:pPr>
        <w:ind w:firstLine="720"/>
        <w:rPr>
          <w:rFonts w:ascii="Arial" w:hAnsi="Arial" w:cs="Arial"/>
        </w:rPr>
      </w:pPr>
      <w:r w:rsidRPr="00E43E3C">
        <w:rPr>
          <w:rFonts w:ascii="Arial" w:hAnsi="Arial" w:cs="Arial"/>
        </w:rPr>
        <w:t>December 2016</w:t>
      </w:r>
    </w:p>
    <w:p w:rsidR="00E378B5" w:rsidRPr="00E43E3C" w:rsidRDefault="00E378B5" w:rsidP="00E378B5">
      <w:pPr>
        <w:rPr>
          <w:rFonts w:ascii="Arial" w:hAnsi="Arial" w:cs="Arial"/>
        </w:rPr>
      </w:pPr>
    </w:p>
    <w:p w:rsidR="0042513E" w:rsidRDefault="00E378B5" w:rsidP="00E378B5">
      <w:pPr>
        <w:rPr>
          <w:rFonts w:ascii="Arial" w:hAnsi="Arial" w:cs="Arial"/>
        </w:rPr>
      </w:pPr>
      <w:r w:rsidRPr="001419D7">
        <w:rPr>
          <w:rFonts w:ascii="Arial" w:hAnsi="Arial" w:cs="Arial"/>
        </w:rPr>
        <w:t>OCS (2016) Science and Research Priorities</w:t>
      </w:r>
      <w:r w:rsidRPr="001419D7">
        <w:rPr>
          <w:rFonts w:ascii="Arial" w:hAnsi="Arial" w:cs="Arial"/>
          <w:i/>
        </w:rPr>
        <w:t xml:space="preserve">, </w:t>
      </w:r>
      <w:r w:rsidRPr="001419D7">
        <w:rPr>
          <w:rFonts w:ascii="Arial" w:hAnsi="Arial" w:cs="Arial"/>
        </w:rPr>
        <w:t xml:space="preserve">Office of the Chief Scientist, Department of </w:t>
      </w:r>
    </w:p>
    <w:p w:rsidR="00E378B5" w:rsidRPr="001419D7" w:rsidRDefault="00E378B5" w:rsidP="0042513E">
      <w:pPr>
        <w:ind w:left="720"/>
        <w:rPr>
          <w:rStyle w:val="Hyperlink"/>
          <w:rFonts w:ascii="Arial" w:hAnsi="Arial" w:cs="Arial"/>
        </w:rPr>
      </w:pPr>
      <w:r w:rsidRPr="001419D7">
        <w:rPr>
          <w:rFonts w:ascii="Arial" w:hAnsi="Arial" w:cs="Arial"/>
        </w:rPr>
        <w:t xml:space="preserve">Industry, Innovation and Science, Canberra, accessed 02 November 16 at: </w:t>
      </w:r>
      <w:hyperlink r:id="rId24" w:history="1">
        <w:r w:rsidRPr="001419D7">
          <w:rPr>
            <w:rStyle w:val="Hyperlink"/>
            <w:rFonts w:ascii="Arial" w:hAnsi="Arial" w:cs="Arial"/>
          </w:rPr>
          <w:t>http://science.gov.au/scienceGov/ScienceAndResearchPriorities/Pages/default.aspx</w:t>
        </w:r>
      </w:hyperlink>
    </w:p>
    <w:p w:rsidR="0042513E" w:rsidRDefault="0042513E" w:rsidP="00E378B5">
      <w:pPr>
        <w:autoSpaceDE w:val="0"/>
        <w:autoSpaceDN w:val="0"/>
        <w:adjustRightInd w:val="0"/>
        <w:rPr>
          <w:rFonts w:ascii="Arial" w:hAnsi="Arial" w:cs="Arial"/>
        </w:rPr>
      </w:pPr>
    </w:p>
    <w:p w:rsidR="0042513E" w:rsidRDefault="0042513E" w:rsidP="00E378B5">
      <w:pPr>
        <w:autoSpaceDE w:val="0"/>
        <w:autoSpaceDN w:val="0"/>
        <w:adjustRightInd w:val="0"/>
        <w:rPr>
          <w:rFonts w:ascii="Arial" w:hAnsi="Arial" w:cs="Arial"/>
        </w:rPr>
      </w:pPr>
    </w:p>
    <w:p w:rsidR="0042513E" w:rsidRDefault="0042513E" w:rsidP="00E378B5">
      <w:pPr>
        <w:autoSpaceDE w:val="0"/>
        <w:autoSpaceDN w:val="0"/>
        <w:adjustRightInd w:val="0"/>
        <w:rPr>
          <w:rFonts w:ascii="Arial" w:hAnsi="Arial" w:cs="Arial"/>
        </w:rPr>
      </w:pPr>
    </w:p>
    <w:p w:rsidR="0042513E" w:rsidRDefault="0042513E" w:rsidP="00E378B5">
      <w:pPr>
        <w:autoSpaceDE w:val="0"/>
        <w:autoSpaceDN w:val="0"/>
        <w:adjustRightInd w:val="0"/>
        <w:rPr>
          <w:rFonts w:ascii="Arial" w:hAnsi="Arial" w:cs="Arial"/>
        </w:rPr>
      </w:pPr>
    </w:p>
    <w:p w:rsidR="0042513E" w:rsidRDefault="00E378B5" w:rsidP="00E378B5">
      <w:pPr>
        <w:autoSpaceDE w:val="0"/>
        <w:autoSpaceDN w:val="0"/>
        <w:adjustRightInd w:val="0"/>
        <w:rPr>
          <w:rFonts w:ascii="Arial" w:hAnsi="Arial" w:cs="Arial"/>
        </w:rPr>
      </w:pPr>
      <w:r w:rsidRPr="001419D7">
        <w:rPr>
          <w:rFonts w:ascii="Arial" w:hAnsi="Arial" w:cs="Arial"/>
        </w:rPr>
        <w:t xml:space="preserve">Office of the Chief Scientist, Queensland Government (2015) Revised Queensland Science </w:t>
      </w:r>
    </w:p>
    <w:p w:rsidR="00E378B5" w:rsidRDefault="00E378B5" w:rsidP="0042513E">
      <w:pPr>
        <w:autoSpaceDE w:val="0"/>
        <w:autoSpaceDN w:val="0"/>
        <w:adjustRightInd w:val="0"/>
        <w:ind w:left="720"/>
        <w:rPr>
          <w:rFonts w:ascii="Arial" w:hAnsi="Arial" w:cs="Arial"/>
        </w:rPr>
      </w:pPr>
      <w:r w:rsidRPr="001419D7">
        <w:rPr>
          <w:rFonts w:ascii="Arial" w:hAnsi="Arial" w:cs="Arial"/>
        </w:rPr>
        <w:t>and Research Priorities, accessed 17 February 2017 at: http://www.chiefscientist.qld.gov.au/images/documents/chiefscientist/pubs/reports-other/qld-science-n-research-priorities-2015-2016.pdf</w:t>
      </w:r>
    </w:p>
    <w:p w:rsidR="00E378B5" w:rsidRDefault="00E378B5" w:rsidP="00E378B5">
      <w:pPr>
        <w:rPr>
          <w:rFonts w:ascii="Arial" w:hAnsi="Arial" w:cs="Arial"/>
        </w:rPr>
      </w:pPr>
    </w:p>
    <w:p w:rsidR="00E378B5" w:rsidRPr="00E43E3C" w:rsidRDefault="00E378B5" w:rsidP="00E378B5">
      <w:pPr>
        <w:rPr>
          <w:rFonts w:ascii="Arial" w:hAnsi="Arial" w:cs="Arial"/>
        </w:rPr>
      </w:pPr>
      <w:r w:rsidRPr="00E43E3C">
        <w:rPr>
          <w:rFonts w:ascii="Arial" w:hAnsi="Arial" w:cs="Arial"/>
        </w:rPr>
        <w:t>Summerfruit Australia (2016) The Summerfruit Manual</w:t>
      </w:r>
      <w:r>
        <w:rPr>
          <w:rFonts w:ascii="Arial" w:hAnsi="Arial" w:cs="Arial"/>
        </w:rPr>
        <w:t>,</w:t>
      </w:r>
      <w:r w:rsidRPr="00E43E3C">
        <w:rPr>
          <w:rFonts w:ascii="Arial" w:hAnsi="Arial" w:cs="Arial"/>
        </w:rPr>
        <w:t xml:space="preserve"> June (Draft)</w:t>
      </w:r>
    </w:p>
    <w:p w:rsidR="00E378B5" w:rsidRPr="00E43E3C" w:rsidRDefault="00E378B5" w:rsidP="00E378B5">
      <w:pPr>
        <w:rPr>
          <w:rFonts w:ascii="Arial" w:hAnsi="Arial" w:cs="Arial"/>
        </w:rPr>
      </w:pPr>
    </w:p>
    <w:p w:rsidR="0042513E" w:rsidRDefault="00E378B5" w:rsidP="00E378B5">
      <w:pPr>
        <w:rPr>
          <w:rFonts w:ascii="Arial" w:hAnsi="Arial" w:cs="Arial"/>
        </w:rPr>
      </w:pPr>
      <w:r w:rsidRPr="00E43E3C">
        <w:rPr>
          <w:rFonts w:ascii="Arial" w:hAnsi="Arial" w:cs="Arial"/>
        </w:rPr>
        <w:t xml:space="preserve">Wyatt, P., Eelkema, M., Wells, I., Joyce, D., Senior, L. and Leach, P. (2015) Low dose </w:t>
      </w:r>
    </w:p>
    <w:p w:rsidR="00E378B5" w:rsidRPr="00E43E3C" w:rsidRDefault="00E378B5" w:rsidP="0042513E">
      <w:pPr>
        <w:ind w:left="720"/>
        <w:rPr>
          <w:rFonts w:ascii="Arial" w:hAnsi="Arial" w:cs="Arial"/>
        </w:rPr>
      </w:pPr>
      <w:r w:rsidRPr="00E43E3C">
        <w:rPr>
          <w:rFonts w:ascii="Arial" w:hAnsi="Arial" w:cs="Arial"/>
        </w:rPr>
        <w:t>methyl bromide against fruit flies to improve market access for Summerfruit. Final Report. Project Number: SF12016</w:t>
      </w:r>
    </w:p>
    <w:p w:rsidR="003C0808" w:rsidRDefault="003C0808">
      <w:pPr>
        <w:spacing w:line="276" w:lineRule="auto"/>
        <w:rPr>
          <w:b/>
          <w:sz w:val="40"/>
          <w:szCs w:val="20"/>
        </w:rPr>
      </w:pPr>
      <w:r>
        <w:br w:type="page"/>
      </w:r>
    </w:p>
    <w:p w:rsidR="000D28B8" w:rsidRPr="00C1096A" w:rsidRDefault="00E41B9B" w:rsidP="00C66231">
      <w:pPr>
        <w:pStyle w:val="Heading2"/>
      </w:pPr>
      <w:bookmarkStart w:id="211" w:name="_Toc486145236"/>
      <w:bookmarkStart w:id="212" w:name="_Toc490036917"/>
      <w:r w:rsidRPr="00C1096A">
        <w:t xml:space="preserve">Appendix 3: </w:t>
      </w:r>
      <w:r w:rsidR="000D28B8" w:rsidRPr="00C1096A">
        <w:t>An Impact Assessment of DAF Investment into CRDC project DAQ1401:</w:t>
      </w:r>
      <w:bookmarkEnd w:id="211"/>
      <w:r w:rsidR="000D28B8" w:rsidRPr="00C1096A">
        <w:t xml:space="preserve"> Strengthening the Central Highlands Cotton Production System</w:t>
      </w:r>
      <w:bookmarkEnd w:id="212"/>
    </w:p>
    <w:p w:rsidR="000D28B8" w:rsidRPr="00AA726B" w:rsidRDefault="000D28B8" w:rsidP="00AA726B">
      <w:pPr>
        <w:spacing w:after="240"/>
        <w:rPr>
          <w:rFonts w:ascii="Arial" w:hAnsi="Arial" w:cs="Arial"/>
          <w:b/>
          <w:sz w:val="24"/>
        </w:rPr>
      </w:pPr>
      <w:bookmarkStart w:id="213" w:name="_Toc484441263"/>
      <w:bookmarkStart w:id="214" w:name="_Toc486145239"/>
      <w:bookmarkStart w:id="215" w:name="_Toc486145348"/>
      <w:bookmarkStart w:id="216" w:name="_Toc486146264"/>
      <w:r w:rsidRPr="00AA726B">
        <w:rPr>
          <w:rFonts w:ascii="Arial" w:hAnsi="Arial" w:cs="Arial"/>
          <w:b/>
          <w:sz w:val="24"/>
        </w:rPr>
        <w:t>Acknowledgments</w:t>
      </w:r>
      <w:bookmarkEnd w:id="213"/>
      <w:bookmarkEnd w:id="214"/>
      <w:bookmarkEnd w:id="215"/>
      <w:bookmarkEnd w:id="216"/>
    </w:p>
    <w:p w:rsidR="00CE0B53" w:rsidRPr="00C1096A" w:rsidRDefault="00CE0B53" w:rsidP="00E87BF4">
      <w:pPr>
        <w:spacing w:after="60"/>
        <w:rPr>
          <w:rFonts w:ascii="Arial" w:hAnsi="Arial" w:cs="Arial"/>
        </w:rPr>
      </w:pPr>
      <w:r w:rsidRPr="00C1096A">
        <w:rPr>
          <w:rFonts w:ascii="Arial" w:hAnsi="Arial" w:cs="Arial"/>
        </w:rPr>
        <w:t>Paul Grundy, Senior Research Scientist, Department of Agriculture and Fisheries</w:t>
      </w:r>
      <w:r w:rsidR="00225BB8">
        <w:rPr>
          <w:rFonts w:ascii="Arial" w:hAnsi="Arial" w:cs="Arial"/>
        </w:rPr>
        <w:t>, Queensland</w:t>
      </w:r>
    </w:p>
    <w:p w:rsidR="00225BB8" w:rsidRPr="008B25B1" w:rsidRDefault="00225BB8" w:rsidP="00E87BF4">
      <w:pPr>
        <w:spacing w:after="60"/>
        <w:rPr>
          <w:rFonts w:ascii="Arial" w:hAnsi="Arial" w:cs="Arial"/>
          <w:color w:val="000000" w:themeColor="text1"/>
        </w:rPr>
      </w:pPr>
      <w:r w:rsidRPr="008B25B1">
        <w:rPr>
          <w:rFonts w:ascii="Arial" w:hAnsi="Arial" w:cs="Arial"/>
          <w:color w:val="000000" w:themeColor="text1"/>
        </w:rPr>
        <w:t xml:space="preserve">Lynda Bull, </w:t>
      </w:r>
      <w:r w:rsidRPr="00E87BF4">
        <w:rPr>
          <w:rFonts w:ascii="Arial" w:hAnsi="Arial" w:cs="Arial"/>
        </w:rPr>
        <w:t>Executive</w:t>
      </w:r>
      <w:r w:rsidRPr="008B25B1">
        <w:rPr>
          <w:rFonts w:ascii="Arial" w:hAnsi="Arial" w:cs="Arial"/>
          <w:color w:val="000000" w:themeColor="text1"/>
        </w:rPr>
        <w:t xml:space="preserve"> Support Officer, Department of Agriculture and Fisheries, Queensland</w:t>
      </w:r>
    </w:p>
    <w:p w:rsidR="000D28B8" w:rsidRPr="00C1096A" w:rsidRDefault="00225BB8" w:rsidP="00E87BF4">
      <w:pPr>
        <w:spacing w:after="60"/>
        <w:rPr>
          <w:rFonts w:ascii="Arial" w:hAnsi="Arial" w:cs="Arial"/>
        </w:rPr>
      </w:pPr>
      <w:r>
        <w:rPr>
          <w:rFonts w:ascii="Arial" w:hAnsi="Arial" w:cs="Arial"/>
          <w:color w:val="000000" w:themeColor="text1"/>
        </w:rPr>
        <w:t xml:space="preserve">Wayne Hall, </w:t>
      </w:r>
      <w:r w:rsidRPr="00AB5F04">
        <w:rPr>
          <w:rFonts w:ascii="Arial" w:hAnsi="Arial" w:cs="Arial"/>
          <w:color w:val="000000" w:themeColor="text1"/>
        </w:rPr>
        <w:t xml:space="preserve">Executive Director, </w:t>
      </w:r>
      <w:r w:rsidRPr="00E87BF4">
        <w:rPr>
          <w:rFonts w:ascii="Arial" w:hAnsi="Arial" w:cs="Arial"/>
        </w:rPr>
        <w:t>Department</w:t>
      </w:r>
      <w:r w:rsidRPr="008B25B1">
        <w:rPr>
          <w:rFonts w:ascii="Arial" w:hAnsi="Arial" w:cs="Arial"/>
          <w:color w:val="000000" w:themeColor="text1"/>
        </w:rPr>
        <w:t xml:space="preserve"> of Agriculture and Fisheries, Queensland</w:t>
      </w:r>
    </w:p>
    <w:p w:rsidR="000D28B8" w:rsidRDefault="000D28B8" w:rsidP="00B35480">
      <w:pPr>
        <w:rPr>
          <w:rFonts w:ascii="Arial" w:hAnsi="Arial" w:cs="Arial"/>
        </w:rPr>
      </w:pPr>
    </w:p>
    <w:p w:rsidR="00F712CF" w:rsidRPr="00C1096A" w:rsidRDefault="00F712CF" w:rsidP="00B35480">
      <w:pPr>
        <w:rPr>
          <w:rFonts w:ascii="Arial" w:hAnsi="Arial" w:cs="Arial"/>
        </w:rPr>
      </w:pPr>
    </w:p>
    <w:p w:rsidR="000D28B8" w:rsidRPr="00AA726B" w:rsidRDefault="000D28B8" w:rsidP="00AA726B">
      <w:pPr>
        <w:spacing w:after="240"/>
        <w:rPr>
          <w:rFonts w:ascii="Arial" w:hAnsi="Arial" w:cs="Arial"/>
          <w:b/>
          <w:sz w:val="24"/>
        </w:rPr>
      </w:pPr>
      <w:bookmarkStart w:id="217" w:name="_Toc484441264"/>
      <w:bookmarkStart w:id="218" w:name="_Toc486145240"/>
      <w:bookmarkStart w:id="219" w:name="_Toc486145349"/>
      <w:bookmarkStart w:id="220" w:name="_Toc486146265"/>
      <w:r w:rsidRPr="00AA726B">
        <w:rPr>
          <w:rFonts w:ascii="Arial" w:hAnsi="Arial" w:cs="Arial"/>
          <w:b/>
          <w:sz w:val="24"/>
        </w:rPr>
        <w:t>Abbreviations</w:t>
      </w:r>
      <w:bookmarkEnd w:id="217"/>
      <w:bookmarkEnd w:id="218"/>
      <w:bookmarkEnd w:id="219"/>
      <w:bookmarkEnd w:id="2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7444"/>
      </w:tblGrid>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ABS</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Australian Bureau of Statistics</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APVMA</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Australian Pesticide and Veterinary Medicines Authority</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BCR</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Benefit-Cost Ratio</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BOM</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Bureau of Meteorology</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CBA</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Cost-Benefit Analysis</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CGA</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Cotton Growers’ Association</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CQ</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Central Queensland</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CRC</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Cooperative Research Centre</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CRDC</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Cotton Research and Development Corporation</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CRRDC</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Council of Rural Research and Development Corporations</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DAF</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Department of Agriculture and Fisheries – Queensland</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GDP</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Gross Domestic Product</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IRR</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Internal Rate of Return</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MIRR</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Modified Internal Rate of Return</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NPV</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Net Present Value</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NSW</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New South Wales</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PVB</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Present Value of Benefits</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PVC</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Present Value of Costs</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QLD</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Queensland</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R&amp;D</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Research and Development</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RD&amp;E</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Research, Development and Extension</w:t>
            </w:r>
          </w:p>
        </w:tc>
      </w:tr>
      <w:tr w:rsidR="000D28B8" w:rsidRPr="000029F1" w:rsidTr="000029F1">
        <w:trPr>
          <w:trHeight w:val="283"/>
        </w:trPr>
        <w:tc>
          <w:tcPr>
            <w:tcW w:w="1231" w:type="dxa"/>
            <w:tcBorders>
              <w:top w:val="nil"/>
              <w:left w:val="nil"/>
              <w:bottom w:val="nil"/>
              <w:right w:val="nil"/>
            </w:tcBorders>
            <w:shd w:val="clear" w:color="auto" w:fill="auto"/>
            <w:vAlign w:val="bottom"/>
          </w:tcPr>
          <w:p w:rsidR="000D28B8" w:rsidRPr="000029F1" w:rsidRDefault="000D28B8" w:rsidP="000029F1">
            <w:pPr>
              <w:rPr>
                <w:rFonts w:ascii="Arial" w:hAnsi="Arial" w:cs="Arial"/>
                <w:sz w:val="22"/>
                <w:szCs w:val="22"/>
              </w:rPr>
            </w:pPr>
            <w:r w:rsidRPr="000029F1">
              <w:rPr>
                <w:rFonts w:ascii="Arial" w:hAnsi="Arial" w:cs="Arial"/>
                <w:color w:val="000000"/>
                <w:sz w:val="22"/>
                <w:szCs w:val="22"/>
              </w:rPr>
              <w:t>RDC</w:t>
            </w:r>
          </w:p>
        </w:tc>
        <w:tc>
          <w:tcPr>
            <w:tcW w:w="7444" w:type="dxa"/>
            <w:vAlign w:val="center"/>
          </w:tcPr>
          <w:p w:rsidR="000D28B8" w:rsidRPr="000029F1" w:rsidRDefault="000D28B8" w:rsidP="000029F1">
            <w:pPr>
              <w:rPr>
                <w:rFonts w:ascii="Arial" w:hAnsi="Arial" w:cs="Arial"/>
                <w:sz w:val="22"/>
                <w:szCs w:val="22"/>
              </w:rPr>
            </w:pPr>
            <w:r w:rsidRPr="000029F1">
              <w:rPr>
                <w:rFonts w:ascii="Arial" w:hAnsi="Arial" w:cs="Arial"/>
                <w:sz w:val="22"/>
                <w:szCs w:val="22"/>
              </w:rPr>
              <w:t>Research and Development Corporation</w:t>
            </w:r>
          </w:p>
        </w:tc>
      </w:tr>
    </w:tbl>
    <w:p w:rsidR="000D28B8" w:rsidRPr="00C1096A" w:rsidRDefault="000D28B8" w:rsidP="00B35480">
      <w:pPr>
        <w:rPr>
          <w:rFonts w:ascii="Arial" w:hAnsi="Arial" w:cs="Arial"/>
        </w:rPr>
      </w:pPr>
    </w:p>
    <w:p w:rsidR="000D28B8" w:rsidRPr="00C1096A" w:rsidRDefault="000D28B8" w:rsidP="008C2A93"/>
    <w:p w:rsidR="008C2A93" w:rsidRDefault="008C2A93">
      <w:pPr>
        <w:spacing w:line="276" w:lineRule="auto"/>
        <w:rPr>
          <w:rFonts w:ascii="Arial" w:hAnsi="Arial" w:cs="Arial"/>
          <w:b/>
          <w:sz w:val="24"/>
        </w:rPr>
      </w:pPr>
      <w:bookmarkStart w:id="221" w:name="_Toc484441265"/>
      <w:bookmarkStart w:id="222" w:name="_Toc486145241"/>
      <w:bookmarkStart w:id="223" w:name="_Toc486145350"/>
      <w:bookmarkStart w:id="224" w:name="_Toc486146266"/>
      <w:r>
        <w:br w:type="page"/>
      </w:r>
    </w:p>
    <w:p w:rsidR="000D28B8" w:rsidRPr="008C2A93" w:rsidRDefault="000D28B8" w:rsidP="008C2A93">
      <w:pPr>
        <w:spacing w:after="240"/>
        <w:rPr>
          <w:rFonts w:ascii="Arial" w:hAnsi="Arial" w:cs="Arial"/>
          <w:b/>
          <w:sz w:val="40"/>
          <w:szCs w:val="40"/>
        </w:rPr>
      </w:pPr>
      <w:bookmarkStart w:id="225" w:name="_Toc484441266"/>
      <w:bookmarkStart w:id="226" w:name="_Toc486145242"/>
      <w:bookmarkStart w:id="227" w:name="_Toc486145351"/>
      <w:bookmarkStart w:id="228" w:name="_Toc486146267"/>
      <w:bookmarkEnd w:id="221"/>
      <w:bookmarkEnd w:id="222"/>
      <w:bookmarkEnd w:id="223"/>
      <w:bookmarkEnd w:id="224"/>
      <w:r w:rsidRPr="008C2A93">
        <w:rPr>
          <w:rFonts w:ascii="Arial" w:hAnsi="Arial" w:cs="Arial"/>
          <w:b/>
          <w:sz w:val="40"/>
          <w:szCs w:val="40"/>
        </w:rPr>
        <w:t>Executive Summary</w:t>
      </w:r>
      <w:bookmarkEnd w:id="225"/>
      <w:bookmarkEnd w:id="226"/>
      <w:bookmarkEnd w:id="227"/>
      <w:bookmarkEnd w:id="228"/>
    </w:p>
    <w:p w:rsidR="000D28B8" w:rsidRPr="00AA726B" w:rsidRDefault="000D28B8" w:rsidP="00AA726B">
      <w:pPr>
        <w:spacing w:after="240"/>
        <w:rPr>
          <w:rFonts w:ascii="Arial" w:hAnsi="Arial" w:cs="Arial"/>
          <w:b/>
          <w:sz w:val="24"/>
        </w:rPr>
      </w:pPr>
      <w:bookmarkStart w:id="229" w:name="_Toc484441267"/>
      <w:bookmarkStart w:id="230" w:name="_Toc486145243"/>
      <w:r w:rsidRPr="00AA726B">
        <w:rPr>
          <w:rFonts w:ascii="Arial" w:hAnsi="Arial" w:cs="Arial"/>
          <w:b/>
          <w:sz w:val="24"/>
        </w:rPr>
        <w:t>The Report</w:t>
      </w:r>
      <w:bookmarkEnd w:id="229"/>
      <w:bookmarkEnd w:id="230"/>
    </w:p>
    <w:p w:rsidR="000D28B8" w:rsidRPr="00C1096A" w:rsidRDefault="000D28B8" w:rsidP="008C2A93">
      <w:pPr>
        <w:spacing w:after="240"/>
        <w:rPr>
          <w:rFonts w:ascii="Arial" w:hAnsi="Arial" w:cs="Arial"/>
        </w:rPr>
      </w:pPr>
      <w:r w:rsidRPr="00C1096A">
        <w:rPr>
          <w:rFonts w:ascii="Arial" w:hAnsi="Arial" w:cs="Arial"/>
        </w:rPr>
        <w:t>This report presents the results of an impact assessment of a Queensland Department of Agriculture and Fisheries (DAF) investment in a project to strengthen the cotton production system in the Central Highlands. The project was jointly funded by DAF and the Cotton Research and Development Corporation (CRDC) from 1 July 2013 to 30 June 2017.</w:t>
      </w:r>
    </w:p>
    <w:p w:rsidR="000D28B8" w:rsidRPr="00AA726B" w:rsidRDefault="000D28B8" w:rsidP="00AA726B">
      <w:pPr>
        <w:spacing w:after="240"/>
        <w:rPr>
          <w:rFonts w:ascii="Arial" w:hAnsi="Arial" w:cs="Arial"/>
          <w:b/>
          <w:sz w:val="24"/>
        </w:rPr>
      </w:pPr>
      <w:bookmarkStart w:id="231" w:name="_Toc484441268"/>
      <w:bookmarkStart w:id="232" w:name="_Toc486145244"/>
      <w:r w:rsidRPr="00AA726B">
        <w:rPr>
          <w:rFonts w:ascii="Arial" w:hAnsi="Arial" w:cs="Arial"/>
          <w:b/>
          <w:sz w:val="24"/>
        </w:rPr>
        <w:t>Methods</w:t>
      </w:r>
      <w:bookmarkEnd w:id="231"/>
      <w:bookmarkEnd w:id="232"/>
    </w:p>
    <w:p w:rsidR="000D28B8" w:rsidRPr="00C1096A" w:rsidRDefault="000D28B8" w:rsidP="00AA726B">
      <w:pPr>
        <w:spacing w:after="240"/>
        <w:rPr>
          <w:rFonts w:ascii="Arial" w:hAnsi="Arial" w:cs="Arial"/>
        </w:rPr>
      </w:pPr>
      <w:r w:rsidRPr="00C1096A">
        <w:rPr>
          <w:rFonts w:ascii="Arial" w:hAnsi="Arial" w:cs="Arial"/>
        </w:rPr>
        <w:t>The project was first analysed qualitatively using a logical framework that included project objectives, activities and outputs, and actual and potential outcomes and impacts. Impacts were categorised into a triple bottom line framework. Principal impacts were then valued.</w:t>
      </w:r>
    </w:p>
    <w:p w:rsidR="000D28B8" w:rsidRDefault="000D28B8" w:rsidP="00AA726B">
      <w:pPr>
        <w:spacing w:after="240"/>
        <w:rPr>
          <w:rFonts w:ascii="Arial" w:hAnsi="Arial" w:cs="Arial"/>
        </w:rPr>
      </w:pPr>
      <w:r w:rsidRPr="00C1096A">
        <w:rPr>
          <w:rFonts w:ascii="Arial" w:hAnsi="Arial" w:cs="Arial"/>
        </w:rPr>
        <w:t>Benefits were estimated for a range of time frames up to 30 years from the last year of investment in the project. Past and future cash flows in 2016/17 dollar terms were discounted to the year 2016/17 (last year of investment) using a discount rate of 5% to estimate the investment criteria.</w:t>
      </w:r>
    </w:p>
    <w:p w:rsidR="000D28B8" w:rsidRPr="00C1096A" w:rsidRDefault="000D28B8" w:rsidP="008C2A93">
      <w:pPr>
        <w:spacing w:after="240"/>
        <w:rPr>
          <w:rFonts w:ascii="Arial" w:hAnsi="Arial" w:cs="Arial"/>
        </w:rPr>
      </w:pPr>
      <w:r w:rsidRPr="00C1096A">
        <w:rPr>
          <w:rFonts w:ascii="Arial" w:hAnsi="Arial" w:cs="Arial"/>
        </w:rPr>
        <w:t>The cost-benefit analysis (CBA) was conducted according to the Impact Assessment Guidelines of the Council of Rural Research and Development Corporations (CRRDC)</w:t>
      </w:r>
      <w:r w:rsidRPr="00C1096A">
        <w:rPr>
          <w:rFonts w:ascii="Arial" w:hAnsi="Arial" w:cs="Arial"/>
          <w:noProof/>
        </w:rPr>
        <w:t xml:space="preserve"> (May, 2014)</w:t>
      </w:r>
      <w:r w:rsidRPr="00C1096A">
        <w:rPr>
          <w:rFonts w:ascii="Arial" w:hAnsi="Arial" w:cs="Arial"/>
        </w:rPr>
        <w:t>.</w:t>
      </w:r>
    </w:p>
    <w:p w:rsidR="000D28B8" w:rsidRPr="00AA726B" w:rsidRDefault="000D28B8" w:rsidP="00AA726B">
      <w:pPr>
        <w:spacing w:after="240"/>
        <w:rPr>
          <w:rFonts w:ascii="Arial" w:hAnsi="Arial" w:cs="Arial"/>
          <w:b/>
          <w:sz w:val="24"/>
        </w:rPr>
      </w:pPr>
      <w:bookmarkStart w:id="233" w:name="_Toc484441269"/>
      <w:bookmarkStart w:id="234" w:name="_Toc486145245"/>
      <w:r w:rsidRPr="00AA726B">
        <w:rPr>
          <w:rFonts w:ascii="Arial" w:hAnsi="Arial" w:cs="Arial"/>
          <w:b/>
          <w:sz w:val="24"/>
        </w:rPr>
        <w:t>Impacts</w:t>
      </w:r>
      <w:bookmarkEnd w:id="233"/>
      <w:bookmarkEnd w:id="234"/>
    </w:p>
    <w:p w:rsidR="000D28B8" w:rsidRPr="00C1096A" w:rsidRDefault="000D28B8" w:rsidP="008C2A93">
      <w:pPr>
        <w:spacing w:after="240"/>
        <w:rPr>
          <w:rFonts w:ascii="Arial" w:hAnsi="Arial" w:cs="Arial"/>
        </w:rPr>
      </w:pPr>
      <w:r w:rsidRPr="00C1096A">
        <w:rPr>
          <w:rFonts w:ascii="Arial" w:hAnsi="Arial" w:cs="Arial"/>
        </w:rPr>
        <w:t>The major impacts identified were of a financial/economic nature. However, some social and environmental impacts were identified also but not valued. It is expected that the Central Highlands cotton industry will be the primary beneficiary of the investment.</w:t>
      </w:r>
    </w:p>
    <w:p w:rsidR="000D28B8" w:rsidRPr="00AA726B" w:rsidRDefault="000D28B8" w:rsidP="00AA726B">
      <w:pPr>
        <w:spacing w:after="240"/>
        <w:rPr>
          <w:rFonts w:ascii="Arial" w:hAnsi="Arial" w:cs="Arial"/>
          <w:b/>
          <w:sz w:val="24"/>
        </w:rPr>
      </w:pPr>
      <w:bookmarkStart w:id="235" w:name="_Toc484441270"/>
      <w:bookmarkStart w:id="236" w:name="_Toc486145246"/>
      <w:r w:rsidRPr="00AA726B">
        <w:rPr>
          <w:rFonts w:ascii="Arial" w:hAnsi="Arial" w:cs="Arial"/>
          <w:b/>
          <w:sz w:val="24"/>
        </w:rPr>
        <w:t>Investment Criteria</w:t>
      </w:r>
      <w:bookmarkEnd w:id="235"/>
      <w:bookmarkEnd w:id="236"/>
    </w:p>
    <w:p w:rsidR="000D28B8" w:rsidRPr="00C1096A" w:rsidRDefault="000D28B8" w:rsidP="00B35480">
      <w:pPr>
        <w:rPr>
          <w:rFonts w:ascii="Arial" w:hAnsi="Arial" w:cs="Arial"/>
        </w:rPr>
      </w:pPr>
      <w:r w:rsidRPr="00C1096A">
        <w:rPr>
          <w:rFonts w:ascii="Arial" w:hAnsi="Arial" w:cs="Arial"/>
        </w:rPr>
        <w:t>Total funding from all sources for the project was approximately $1.18 million (present value terms). The value of total benefits was estimated at $20.24 million (present value terms). This result generated an estimated net present value (NPV) of $19.06 million, and a benefit-cost ratio (BCR) of approximately 17.1 to 1.</w:t>
      </w:r>
    </w:p>
    <w:p w:rsidR="000D28B8" w:rsidRPr="00C1096A" w:rsidRDefault="000D28B8" w:rsidP="00B35480">
      <w:pPr>
        <w:rPr>
          <w:rFonts w:ascii="Arial" w:hAnsi="Arial" w:cs="Arial"/>
        </w:rPr>
      </w:pPr>
    </w:p>
    <w:p w:rsidR="000D28B8" w:rsidRPr="00C1096A" w:rsidRDefault="000D28B8">
      <w:pPr>
        <w:rPr>
          <w:rFonts w:ascii="Arial" w:hAnsi="Arial" w:cs="Arial"/>
        </w:rPr>
      </w:pPr>
      <w:r w:rsidRPr="00C1096A">
        <w:rPr>
          <w:rFonts w:ascii="Arial" w:hAnsi="Arial" w:cs="Arial"/>
        </w:rPr>
        <w:br w:type="page"/>
      </w:r>
    </w:p>
    <w:p w:rsidR="000D28B8" w:rsidRPr="008C2A93" w:rsidRDefault="008C2A93" w:rsidP="008C2A93">
      <w:pPr>
        <w:spacing w:after="240"/>
        <w:rPr>
          <w:rFonts w:ascii="Arial" w:hAnsi="Arial" w:cs="Arial"/>
          <w:b/>
          <w:sz w:val="40"/>
          <w:szCs w:val="40"/>
        </w:rPr>
      </w:pPr>
      <w:bookmarkStart w:id="237" w:name="_Toc484441271"/>
      <w:bookmarkStart w:id="238" w:name="_Toc486145247"/>
      <w:bookmarkStart w:id="239" w:name="_Toc486145352"/>
      <w:bookmarkStart w:id="240" w:name="_Toc486146268"/>
      <w:r w:rsidRPr="008C2A93">
        <w:rPr>
          <w:rFonts w:ascii="Arial" w:hAnsi="Arial" w:cs="Arial"/>
          <w:b/>
          <w:sz w:val="40"/>
          <w:szCs w:val="40"/>
        </w:rPr>
        <w:t xml:space="preserve">1. </w:t>
      </w:r>
      <w:r w:rsidR="000D28B8" w:rsidRPr="008C2A93">
        <w:rPr>
          <w:rFonts w:ascii="Arial" w:hAnsi="Arial" w:cs="Arial"/>
          <w:b/>
          <w:sz w:val="40"/>
          <w:szCs w:val="40"/>
        </w:rPr>
        <w:t>Method</w:t>
      </w:r>
      <w:bookmarkEnd w:id="237"/>
      <w:bookmarkEnd w:id="238"/>
      <w:bookmarkEnd w:id="239"/>
      <w:bookmarkEnd w:id="240"/>
    </w:p>
    <w:p w:rsidR="000D28B8" w:rsidRPr="00C1096A" w:rsidRDefault="000D28B8" w:rsidP="008C2A93">
      <w:pPr>
        <w:spacing w:after="240"/>
        <w:rPr>
          <w:rFonts w:ascii="Arial" w:hAnsi="Arial" w:cs="Arial"/>
        </w:rPr>
      </w:pPr>
      <w:r w:rsidRPr="00C1096A">
        <w:rPr>
          <w:rFonts w:ascii="Arial" w:hAnsi="Arial" w:cs="Arial"/>
        </w:rPr>
        <w:t xml:space="preserve">The evaluation approach follows general evaluation guidelines that are now well entrenched within the Australian primary industry research sector including Research and Development Corporations (RDCs), Cooperative Research Centres (CRCs), State Departments of Agriculture, and some Universities. This impact assessment uses Cost-Benefit Analysis (CBA) as its principal tool. The approach includes both qualitative and quantitative descriptions that are in accord with the evaluation guidelines of the Council of Research and Development Corporations (CRRDC) (May, 2014). </w:t>
      </w:r>
    </w:p>
    <w:p w:rsidR="000D28B8" w:rsidRPr="00C1096A" w:rsidRDefault="000D28B8" w:rsidP="008C2A93">
      <w:pPr>
        <w:spacing w:after="240"/>
        <w:rPr>
          <w:rFonts w:ascii="Arial" w:hAnsi="Arial" w:cs="Arial"/>
        </w:rPr>
      </w:pPr>
      <w:r w:rsidRPr="00C1096A">
        <w:rPr>
          <w:rFonts w:ascii="Arial" w:hAnsi="Arial" w:cs="Arial"/>
        </w:rPr>
        <w:t xml:space="preserve">The evaluation process involved identifying and briefly describing project objectives, activities and outputs, and potential and actual outcomes and impacts. The principal economic, environmental and social impacts are then summarised in a triple bottom line framework. </w:t>
      </w:r>
    </w:p>
    <w:p w:rsidR="000D28B8" w:rsidRPr="00C1096A" w:rsidRDefault="000D28B8" w:rsidP="008C2A93">
      <w:pPr>
        <w:spacing w:after="240"/>
        <w:rPr>
          <w:rFonts w:ascii="Arial" w:hAnsi="Arial" w:cs="Arial"/>
        </w:rPr>
      </w:pPr>
      <w:r w:rsidRPr="00C1096A">
        <w:rPr>
          <w:rFonts w:ascii="Arial" w:hAnsi="Arial" w:cs="Arial"/>
        </w:rPr>
        <w:t>Some, but not all, of the impacts identified were then valued in monetary terms. The decision not to value certain impacts was due either to a shortage of necessary evidence/data, or the likely low relative significance of the benefit compared to those that were valued. The impacts valued therefore are deemed to represent the principal ben</w:t>
      </w:r>
      <w:r w:rsidR="008C2A93">
        <w:rPr>
          <w:rFonts w:ascii="Arial" w:hAnsi="Arial" w:cs="Arial"/>
        </w:rPr>
        <w:t>efits delivered by the project.</w:t>
      </w:r>
    </w:p>
    <w:p w:rsidR="000D28B8" w:rsidRPr="008C2A93" w:rsidRDefault="008C2A93" w:rsidP="008C2A93">
      <w:pPr>
        <w:spacing w:after="240"/>
        <w:rPr>
          <w:rFonts w:ascii="Arial" w:hAnsi="Arial" w:cs="Arial"/>
          <w:b/>
          <w:sz w:val="40"/>
          <w:szCs w:val="40"/>
        </w:rPr>
      </w:pPr>
      <w:bookmarkStart w:id="241" w:name="_Toc484441272"/>
      <w:bookmarkStart w:id="242" w:name="_Toc486145248"/>
      <w:bookmarkStart w:id="243" w:name="_Toc486145353"/>
      <w:bookmarkStart w:id="244" w:name="_Toc486146269"/>
      <w:r>
        <w:rPr>
          <w:rFonts w:ascii="Arial" w:hAnsi="Arial" w:cs="Arial"/>
          <w:b/>
          <w:sz w:val="40"/>
          <w:szCs w:val="40"/>
        </w:rPr>
        <w:t xml:space="preserve">2. </w:t>
      </w:r>
      <w:r w:rsidR="000D28B8" w:rsidRPr="008C2A93">
        <w:rPr>
          <w:rFonts w:ascii="Arial" w:hAnsi="Arial" w:cs="Arial"/>
          <w:b/>
          <w:sz w:val="40"/>
          <w:szCs w:val="40"/>
        </w:rPr>
        <w:t>Background and Rationale</w:t>
      </w:r>
      <w:bookmarkEnd w:id="241"/>
      <w:bookmarkEnd w:id="242"/>
      <w:bookmarkEnd w:id="243"/>
      <w:bookmarkEnd w:id="244"/>
    </w:p>
    <w:p w:rsidR="000D28B8" w:rsidRPr="00AA726B" w:rsidRDefault="000D28B8" w:rsidP="00AA726B">
      <w:pPr>
        <w:spacing w:after="240"/>
        <w:rPr>
          <w:rFonts w:ascii="Arial" w:hAnsi="Arial" w:cs="Arial"/>
          <w:b/>
          <w:sz w:val="24"/>
        </w:rPr>
      </w:pPr>
      <w:bookmarkStart w:id="245" w:name="_Toc484441273"/>
      <w:bookmarkStart w:id="246" w:name="_Toc486145249"/>
      <w:r w:rsidRPr="00AA726B">
        <w:rPr>
          <w:rFonts w:ascii="Arial" w:hAnsi="Arial" w:cs="Arial"/>
          <w:b/>
          <w:sz w:val="24"/>
        </w:rPr>
        <w:t>Background</w:t>
      </w:r>
      <w:bookmarkEnd w:id="245"/>
      <w:bookmarkEnd w:id="246"/>
    </w:p>
    <w:p w:rsidR="000D28B8" w:rsidRPr="00C1096A" w:rsidRDefault="000D28B8" w:rsidP="008C2A93">
      <w:pPr>
        <w:spacing w:after="240"/>
        <w:rPr>
          <w:rFonts w:ascii="Arial" w:hAnsi="Arial" w:cs="Arial"/>
        </w:rPr>
      </w:pPr>
      <w:r w:rsidRPr="00C1096A">
        <w:rPr>
          <w:rFonts w:ascii="Arial" w:hAnsi="Arial" w:cs="Arial"/>
        </w:rPr>
        <w:t xml:space="preserve">The Australian cotton industry is one of Australia’s largest rural export earners and has an estimated annual average gross value of production of $2 billion. Australia produces both cotton lint and cottonseed. Cotton lint (fibre) makes up approximately 42% of picked cotton by weight and contributes about 85% of the total income from a cotton crop. The other 15% comes from cottonseed which is mostly used to make cottonseed oil and stock feed </w:t>
      </w:r>
      <w:sdt>
        <w:sdtPr>
          <w:rPr>
            <w:rFonts w:ascii="Arial" w:hAnsi="Arial" w:cs="Arial"/>
          </w:rPr>
          <w:id w:val="1311895841"/>
          <w:citation/>
        </w:sdtPr>
        <w:sdtEndPr/>
        <w:sdtContent>
          <w:r w:rsidRPr="00C1096A">
            <w:rPr>
              <w:rFonts w:ascii="Arial" w:hAnsi="Arial" w:cs="Arial"/>
            </w:rPr>
            <w:fldChar w:fldCharType="begin"/>
          </w:r>
          <w:r w:rsidRPr="00C1096A">
            <w:rPr>
              <w:rFonts w:ascii="Arial" w:hAnsi="Arial" w:cs="Arial"/>
            </w:rPr>
            <w:instrText xml:space="preserve">CITATION Cot16 \l 3081 </w:instrText>
          </w:r>
          <w:r w:rsidRPr="00C1096A">
            <w:rPr>
              <w:rFonts w:ascii="Arial" w:hAnsi="Arial" w:cs="Arial"/>
            </w:rPr>
            <w:fldChar w:fldCharType="separate"/>
          </w:r>
          <w:r w:rsidRPr="00C1096A">
            <w:rPr>
              <w:rFonts w:ascii="Arial" w:hAnsi="Arial" w:cs="Arial"/>
              <w:noProof/>
            </w:rPr>
            <w:t>(Cotton Australia, 2016a)</w:t>
          </w:r>
          <w:r w:rsidRPr="00C1096A">
            <w:rPr>
              <w:rFonts w:ascii="Arial" w:hAnsi="Arial" w:cs="Arial"/>
            </w:rPr>
            <w:fldChar w:fldCharType="end"/>
          </w:r>
        </w:sdtContent>
      </w:sdt>
      <w:r w:rsidRPr="00C1096A">
        <w:rPr>
          <w:rFonts w:ascii="Arial" w:hAnsi="Arial" w:cs="Arial"/>
        </w:rPr>
        <w:t xml:space="preserve">. </w:t>
      </w:r>
    </w:p>
    <w:p w:rsidR="000D28B8" w:rsidRPr="00C1096A" w:rsidRDefault="000D28B8" w:rsidP="008C2A93">
      <w:pPr>
        <w:spacing w:after="240"/>
        <w:rPr>
          <w:rFonts w:ascii="Arial" w:hAnsi="Arial" w:cs="Arial"/>
        </w:rPr>
      </w:pPr>
      <w:r w:rsidRPr="00C1096A">
        <w:rPr>
          <w:rFonts w:ascii="Arial" w:hAnsi="Arial" w:cs="Arial"/>
        </w:rPr>
        <w:t xml:space="preserve">Cotton is a summer crop and approximately 95% of the total area of cotton grown in Australia is grown under irrigation </w:t>
      </w:r>
      <w:sdt>
        <w:sdtPr>
          <w:rPr>
            <w:rFonts w:ascii="Arial" w:hAnsi="Arial" w:cs="Arial"/>
          </w:rPr>
          <w:id w:val="1654488446"/>
          <w:citation/>
        </w:sdtPr>
        <w:sdtEndPr/>
        <w:sdtContent>
          <w:r w:rsidRPr="00C1096A">
            <w:rPr>
              <w:rFonts w:ascii="Arial" w:hAnsi="Arial" w:cs="Arial"/>
            </w:rPr>
            <w:fldChar w:fldCharType="begin"/>
          </w:r>
          <w:r w:rsidRPr="00C1096A">
            <w:rPr>
              <w:rFonts w:ascii="Arial" w:hAnsi="Arial" w:cs="Arial"/>
            </w:rPr>
            <w:instrText xml:space="preserve"> CITATION Cot6b \l 3081 </w:instrText>
          </w:r>
          <w:r w:rsidRPr="00C1096A">
            <w:rPr>
              <w:rFonts w:ascii="Arial" w:hAnsi="Arial" w:cs="Arial"/>
            </w:rPr>
            <w:fldChar w:fldCharType="separate"/>
          </w:r>
          <w:r w:rsidRPr="00C1096A">
            <w:rPr>
              <w:rFonts w:ascii="Arial" w:hAnsi="Arial" w:cs="Arial"/>
              <w:noProof/>
            </w:rPr>
            <w:t>(Cotton Australia, 2016b)</w:t>
          </w:r>
          <w:r w:rsidRPr="00C1096A">
            <w:rPr>
              <w:rFonts w:ascii="Arial" w:hAnsi="Arial" w:cs="Arial"/>
            </w:rPr>
            <w:fldChar w:fldCharType="end"/>
          </w:r>
        </w:sdtContent>
      </w:sdt>
      <w:r w:rsidRPr="00C1096A">
        <w:rPr>
          <w:rFonts w:ascii="Arial" w:hAnsi="Arial" w:cs="Arial"/>
        </w:rPr>
        <w:t xml:space="preserve">. Australian irrigated lint yields are the highest of any major cotton producing country in the world and Australian cotton growers have produced, on average, an estimated 2.74 million bales of cotton lint per annum (where a standard Australian bale contains 227 kilograms of cotton lint) from an average cropping area of approximately 300,000 hectares </w:t>
      </w:r>
      <w:sdt>
        <w:sdtPr>
          <w:rPr>
            <w:rFonts w:ascii="Arial" w:hAnsi="Arial" w:cs="Arial"/>
          </w:rPr>
          <w:id w:val="-920724131"/>
          <w:citation/>
        </w:sdtPr>
        <w:sdtEndPr/>
        <w:sdtContent>
          <w:r w:rsidRPr="00C1096A">
            <w:rPr>
              <w:rFonts w:ascii="Arial" w:hAnsi="Arial" w:cs="Arial"/>
            </w:rPr>
            <w:fldChar w:fldCharType="begin"/>
          </w:r>
          <w:r w:rsidRPr="00C1096A">
            <w:rPr>
              <w:rFonts w:ascii="Arial" w:hAnsi="Arial" w:cs="Arial"/>
            </w:rPr>
            <w:instrText xml:space="preserve"> CITATION Cot17 \l 3081 </w:instrText>
          </w:r>
          <w:r w:rsidRPr="00C1096A">
            <w:rPr>
              <w:rFonts w:ascii="Arial" w:hAnsi="Arial" w:cs="Arial"/>
            </w:rPr>
            <w:fldChar w:fldCharType="separate"/>
          </w:r>
          <w:r w:rsidRPr="00C1096A">
            <w:rPr>
              <w:rFonts w:ascii="Arial" w:hAnsi="Arial" w:cs="Arial"/>
              <w:noProof/>
            </w:rPr>
            <w:t>(Cotton Australia, 2017)</w:t>
          </w:r>
          <w:r w:rsidRPr="00C1096A">
            <w:rPr>
              <w:rFonts w:ascii="Arial" w:hAnsi="Arial" w:cs="Arial"/>
            </w:rPr>
            <w:fldChar w:fldCharType="end"/>
          </w:r>
        </w:sdtContent>
      </w:sdt>
      <w:r w:rsidRPr="00C1096A">
        <w:rPr>
          <w:rFonts w:ascii="Arial" w:hAnsi="Arial" w:cs="Arial"/>
        </w:rPr>
        <w:t xml:space="preserve">. </w:t>
      </w:r>
    </w:p>
    <w:p w:rsidR="000D28B8" w:rsidRPr="00C1096A" w:rsidRDefault="000D28B8" w:rsidP="008C2A93">
      <w:pPr>
        <w:spacing w:after="240"/>
        <w:rPr>
          <w:rFonts w:ascii="Arial" w:hAnsi="Arial" w:cs="Arial"/>
        </w:rPr>
      </w:pPr>
      <w:r w:rsidRPr="00C1096A">
        <w:rPr>
          <w:rFonts w:ascii="Arial" w:hAnsi="Arial" w:cs="Arial"/>
        </w:rPr>
        <w:t>There are, approximately 1,200 cotton growers in Australia with about 60% of farms in New South Wales (NSW) and 40% in Queensland (QLD). The major production area in NSW stretches south from the Macintyre River on the QLD border and covers the Gwydir, Namoi and Macquarie valleys. In NSW, cotton is also grown along the Barwon and Darling rivers in the west and the Lachlan and Murrumbidgee rivers in the south.</w:t>
      </w:r>
    </w:p>
    <w:p w:rsidR="000D28B8" w:rsidRPr="00C1096A" w:rsidRDefault="000D28B8" w:rsidP="008C2A93">
      <w:pPr>
        <w:spacing w:after="240"/>
        <w:rPr>
          <w:rFonts w:ascii="Arial" w:hAnsi="Arial" w:cs="Arial"/>
        </w:rPr>
      </w:pPr>
      <w:r w:rsidRPr="00C1096A">
        <w:rPr>
          <w:rFonts w:ascii="Arial" w:hAnsi="Arial" w:cs="Arial"/>
        </w:rPr>
        <w:t xml:space="preserve">In QLD, cotton is grown mostly in the south in the Darling Downs, and in the St George, Dirranbandi and Macintyre Valley regions. The remainder is grown in Central Queensland (CQ) near Emerald, Theodore and Biloela. CQ represents approximately 20% of the QLD cotton production area and about 7% of total Australian cotton lint production (in terms of bales) (based on data collated from the annual Cotton Yearbook, 2010 to 2016, published by The Australian Cottongrower, Toowoomba). The major Australian cotton production regions are shown in </w:t>
      </w:r>
      <w:r w:rsidRPr="00C1096A">
        <w:rPr>
          <w:rFonts w:ascii="Arial" w:hAnsi="Arial" w:cs="Arial"/>
        </w:rPr>
        <w:fldChar w:fldCharType="begin"/>
      </w:r>
      <w:r w:rsidRPr="00C1096A">
        <w:rPr>
          <w:rFonts w:ascii="Arial" w:hAnsi="Arial" w:cs="Arial"/>
        </w:rPr>
        <w:instrText xml:space="preserve"> REF _Ref476898478 \h </w:instrText>
      </w:r>
      <w:r w:rsidR="00C1096A">
        <w:rPr>
          <w:rFonts w:ascii="Arial" w:hAnsi="Arial" w:cs="Arial"/>
        </w:rPr>
        <w:instrText xml:space="preserve"> \* MERGEFORMAT </w:instrText>
      </w:r>
      <w:r w:rsidRPr="00C1096A">
        <w:rPr>
          <w:rFonts w:ascii="Arial" w:hAnsi="Arial" w:cs="Arial"/>
        </w:rPr>
      </w:r>
      <w:r w:rsidRPr="00C1096A">
        <w:rPr>
          <w:rFonts w:ascii="Arial" w:hAnsi="Arial" w:cs="Arial"/>
        </w:rPr>
        <w:fldChar w:fldCharType="separate"/>
      </w:r>
      <w:r w:rsidR="00DF217D" w:rsidRPr="00C1096A">
        <w:rPr>
          <w:rFonts w:ascii="Arial" w:hAnsi="Arial" w:cs="Arial"/>
        </w:rPr>
        <w:t>Figure</w:t>
      </w:r>
      <w:r w:rsidR="00DF217D" w:rsidRPr="00C1096A">
        <w:rPr>
          <w:rFonts w:ascii="Arial" w:hAnsi="Arial" w:cs="Arial"/>
          <w:noProof/>
        </w:rPr>
        <w:t xml:space="preserve"> </w:t>
      </w:r>
      <w:r w:rsidRPr="00C1096A">
        <w:rPr>
          <w:rFonts w:ascii="Arial" w:hAnsi="Arial" w:cs="Arial"/>
        </w:rPr>
        <w:fldChar w:fldCharType="end"/>
      </w:r>
      <w:r w:rsidRPr="00C1096A">
        <w:rPr>
          <w:rFonts w:ascii="Arial" w:hAnsi="Arial" w:cs="Arial"/>
        </w:rPr>
        <w:t xml:space="preserve">. </w:t>
      </w:r>
    </w:p>
    <w:p w:rsidR="000D28B8" w:rsidRPr="00C1096A" w:rsidRDefault="000D28B8" w:rsidP="008C2A93">
      <w:pPr>
        <w:spacing w:after="240"/>
        <w:jc w:val="center"/>
        <w:rPr>
          <w:rFonts w:ascii="Arial" w:hAnsi="Arial" w:cs="Arial"/>
        </w:rPr>
      </w:pPr>
      <w:bookmarkStart w:id="247" w:name="_Ref476898478"/>
      <w:bookmarkStart w:id="248" w:name="_Toc484441224"/>
      <w:r w:rsidRPr="00C1096A">
        <w:rPr>
          <w:rFonts w:ascii="Arial" w:hAnsi="Arial" w:cs="Arial"/>
        </w:rPr>
        <w:t xml:space="preserve">Figure </w:t>
      </w:r>
      <w:bookmarkEnd w:id="247"/>
      <w:r w:rsidR="003147F5">
        <w:rPr>
          <w:rFonts w:ascii="Arial" w:hAnsi="Arial" w:cs="Arial"/>
        </w:rPr>
        <w:t>1</w:t>
      </w:r>
      <w:r w:rsidRPr="00C1096A">
        <w:rPr>
          <w:rFonts w:ascii="Arial" w:hAnsi="Arial" w:cs="Arial"/>
        </w:rPr>
        <w:t>: Map of Key Cotton Production Regions in Australia</w:t>
      </w:r>
      <w:bookmarkEnd w:id="248"/>
    </w:p>
    <w:p w:rsidR="000D28B8" w:rsidRPr="00C1096A" w:rsidRDefault="000D28B8" w:rsidP="00B35480">
      <w:pPr>
        <w:jc w:val="center"/>
        <w:rPr>
          <w:rFonts w:ascii="Arial" w:hAnsi="Arial" w:cs="Arial"/>
        </w:rPr>
      </w:pPr>
      <w:r w:rsidRPr="00C1096A">
        <w:rPr>
          <w:rFonts w:ascii="Arial" w:hAnsi="Arial" w:cs="Arial"/>
          <w:noProof/>
          <w:lang w:eastAsia="en-AU"/>
        </w:rPr>
        <w:drawing>
          <wp:inline distT="0" distB="0" distL="0" distR="0" wp14:anchorId="2D33336D" wp14:editId="2048AAE6">
            <wp:extent cx="4406898" cy="4535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tton Regions Map.png"/>
                    <pic:cNvPicPr/>
                  </pic:nvPicPr>
                  <pic:blipFill>
                    <a:blip r:embed="rId25">
                      <a:extLst>
                        <a:ext uri="{28A0092B-C50C-407E-A947-70E740481C1C}">
                          <a14:useLocalDpi xmlns:a14="http://schemas.microsoft.com/office/drawing/2010/main" val="0"/>
                        </a:ext>
                      </a:extLst>
                    </a:blip>
                    <a:stretch>
                      <a:fillRect/>
                    </a:stretch>
                  </pic:blipFill>
                  <pic:spPr>
                    <a:xfrm>
                      <a:off x="0" y="0"/>
                      <a:ext cx="4480476" cy="4611147"/>
                    </a:xfrm>
                    <a:prstGeom prst="rect">
                      <a:avLst/>
                    </a:prstGeom>
                  </pic:spPr>
                </pic:pic>
              </a:graphicData>
            </a:graphic>
          </wp:inline>
        </w:drawing>
      </w:r>
    </w:p>
    <w:p w:rsidR="000D28B8" w:rsidRPr="00C1096A" w:rsidRDefault="000D28B8" w:rsidP="00B35480">
      <w:pPr>
        <w:jc w:val="center"/>
        <w:rPr>
          <w:rFonts w:ascii="Arial" w:hAnsi="Arial" w:cs="Arial"/>
          <w:sz w:val="18"/>
        </w:rPr>
      </w:pPr>
      <w:r w:rsidRPr="00C1096A">
        <w:rPr>
          <w:rFonts w:ascii="Arial" w:hAnsi="Arial" w:cs="Arial"/>
          <w:sz w:val="18"/>
        </w:rPr>
        <w:t>Source: Cotton Australia, 2017 URL: http://cottonaustralia.com.au/australian-cotton/basics/where-is-it-grown</w:t>
      </w:r>
    </w:p>
    <w:p w:rsidR="000D28B8" w:rsidRDefault="000D28B8" w:rsidP="00B35480">
      <w:pPr>
        <w:rPr>
          <w:rFonts w:ascii="Arial" w:hAnsi="Arial" w:cs="Arial"/>
        </w:rPr>
      </w:pPr>
    </w:p>
    <w:p w:rsidR="000D28B8" w:rsidRPr="00AA726B" w:rsidRDefault="000D28B8" w:rsidP="00AA726B">
      <w:pPr>
        <w:spacing w:after="240"/>
        <w:rPr>
          <w:rFonts w:ascii="Arial" w:hAnsi="Arial" w:cs="Arial"/>
          <w:b/>
          <w:sz w:val="24"/>
        </w:rPr>
      </w:pPr>
      <w:bookmarkStart w:id="249" w:name="_Toc484441274"/>
      <w:bookmarkStart w:id="250" w:name="_Toc486145250"/>
      <w:r w:rsidRPr="00AA726B">
        <w:rPr>
          <w:rFonts w:ascii="Arial" w:hAnsi="Arial" w:cs="Arial"/>
          <w:b/>
          <w:sz w:val="24"/>
        </w:rPr>
        <w:t>Rationale for the Investment</w:t>
      </w:r>
      <w:bookmarkEnd w:id="249"/>
      <w:bookmarkEnd w:id="250"/>
    </w:p>
    <w:p w:rsidR="000D28B8" w:rsidRPr="00C1096A" w:rsidRDefault="000D28B8" w:rsidP="00B35480">
      <w:pPr>
        <w:rPr>
          <w:rFonts w:ascii="Arial" w:hAnsi="Arial" w:cs="Arial"/>
        </w:rPr>
      </w:pPr>
      <w:r w:rsidRPr="00C1096A">
        <w:rPr>
          <w:rFonts w:ascii="Arial" w:hAnsi="Arial" w:cs="Arial"/>
        </w:rPr>
        <w:t>Central Queensland has had a long history of cotton production. The hot tropical climate of CQ presents both constraints and opportunities for cotton producers. Over the past decade, a combination of a variable climate, characterised by frequent weather extremes, and specific or exacerbated pest and disease incidence have contributed to a situation of largely static yields and a high frequency of bale quality discounts. On the other hand, the warm climate translates into a relatively long growing season, which in turn facilitates flexibility in sowing times.</w:t>
      </w:r>
    </w:p>
    <w:p w:rsidR="000D28B8" w:rsidRPr="00C1096A" w:rsidRDefault="000D28B8" w:rsidP="00B35480">
      <w:pPr>
        <w:rPr>
          <w:rFonts w:ascii="Arial" w:hAnsi="Arial" w:cs="Arial"/>
        </w:rPr>
      </w:pPr>
      <w:r w:rsidRPr="00C1096A">
        <w:rPr>
          <w:rFonts w:ascii="Arial" w:hAnsi="Arial" w:cs="Arial"/>
        </w:rPr>
        <w:t>Due to a warmer climate in the north, cotton crops in CQ are planted from mid-September and the cotton is picked from late February. This crop cycle means that January is a critical time in cotton plant development. During the January period, cotton crops reach peak flowering and boll fill and variable and sometimes extreme climatic conditions experienced from late January due to monsoonal influences can cause lint yield and quality losses. It was recognised that the climate in CQ could be amendable to earlier planting for cotton crops potentially leading to earlier harvest, thus minimising the risk of a crop being exposed to late summer variable weather conditions during critical growth periods.</w:t>
      </w:r>
    </w:p>
    <w:p w:rsidR="000D28B8" w:rsidRPr="00C1096A" w:rsidRDefault="000D28B8" w:rsidP="003147F5">
      <w:pPr>
        <w:spacing w:after="240"/>
        <w:rPr>
          <w:rFonts w:ascii="Arial" w:hAnsi="Arial" w:cs="Arial"/>
        </w:rPr>
      </w:pPr>
      <w:r w:rsidRPr="00C1096A">
        <w:rPr>
          <w:rFonts w:ascii="Arial" w:hAnsi="Arial" w:cs="Arial"/>
        </w:rPr>
        <w:t>Project DAQ1401 “Strengthening the Central Highlands Cotton Production System”, jointly funded by the Department of Agriculture and Fisheries QLD (DAF) and the Cotton Research and Development Corporation (CRDC), was planned to investigate tactics that may enable early flowering of cotton crops in spring, potentially bringing forward the time at which crops mature thus avoiding boll-fill during periods of variable conditions for the Central Highlands in CQ.</w:t>
      </w:r>
    </w:p>
    <w:p w:rsidR="000D28B8" w:rsidRPr="008C2A93" w:rsidRDefault="008C2A93" w:rsidP="008C2A93">
      <w:pPr>
        <w:spacing w:after="240"/>
        <w:rPr>
          <w:rFonts w:ascii="Arial" w:hAnsi="Arial" w:cs="Arial"/>
          <w:b/>
          <w:sz w:val="40"/>
          <w:szCs w:val="40"/>
        </w:rPr>
      </w:pPr>
      <w:bookmarkStart w:id="251" w:name="_Toc484441275"/>
      <w:bookmarkStart w:id="252" w:name="_Toc486145251"/>
      <w:bookmarkStart w:id="253" w:name="_Toc486145354"/>
      <w:bookmarkStart w:id="254" w:name="_Toc486146270"/>
      <w:r>
        <w:rPr>
          <w:rFonts w:ascii="Arial" w:hAnsi="Arial" w:cs="Arial"/>
          <w:b/>
          <w:sz w:val="40"/>
          <w:szCs w:val="40"/>
        </w:rPr>
        <w:t xml:space="preserve">3. </w:t>
      </w:r>
      <w:r w:rsidR="000D28B8" w:rsidRPr="008C2A93">
        <w:rPr>
          <w:rFonts w:ascii="Arial" w:hAnsi="Arial" w:cs="Arial"/>
          <w:b/>
          <w:sz w:val="40"/>
          <w:szCs w:val="40"/>
        </w:rPr>
        <w:t>Project Details</w:t>
      </w:r>
      <w:bookmarkEnd w:id="251"/>
      <w:bookmarkEnd w:id="252"/>
      <w:bookmarkEnd w:id="253"/>
      <w:bookmarkEnd w:id="254"/>
    </w:p>
    <w:p w:rsidR="000D28B8" w:rsidRPr="00AA726B" w:rsidRDefault="000D28B8" w:rsidP="00AA726B">
      <w:pPr>
        <w:spacing w:after="240"/>
        <w:rPr>
          <w:rFonts w:ascii="Arial" w:hAnsi="Arial" w:cs="Arial"/>
          <w:b/>
          <w:sz w:val="24"/>
        </w:rPr>
      </w:pPr>
      <w:bookmarkStart w:id="255" w:name="_Toc484441276"/>
      <w:bookmarkStart w:id="256" w:name="_Toc486145252"/>
      <w:r w:rsidRPr="00AA726B">
        <w:rPr>
          <w:rFonts w:ascii="Arial" w:hAnsi="Arial" w:cs="Arial"/>
          <w:b/>
          <w:sz w:val="24"/>
        </w:rPr>
        <w:t>Summary</w:t>
      </w:r>
      <w:bookmarkEnd w:id="255"/>
      <w:bookmarkEnd w:id="256"/>
    </w:p>
    <w:p w:rsidR="000D28B8" w:rsidRPr="00C1096A" w:rsidRDefault="000D28B8" w:rsidP="008C2A93">
      <w:pPr>
        <w:pBdr>
          <w:top w:val="single" w:sz="4" w:space="1" w:color="auto"/>
          <w:left w:val="single" w:sz="4" w:space="4" w:color="auto"/>
          <w:bottom w:val="single" w:sz="4" w:space="1" w:color="auto"/>
          <w:right w:val="single" w:sz="4" w:space="4" w:color="auto"/>
        </w:pBdr>
        <w:spacing w:after="240"/>
        <w:rPr>
          <w:rFonts w:ascii="Arial" w:hAnsi="Arial" w:cs="Arial"/>
        </w:rPr>
      </w:pPr>
      <w:r w:rsidRPr="00C1096A">
        <w:rPr>
          <w:rFonts w:ascii="Arial" w:hAnsi="Arial" w:cs="Arial"/>
        </w:rPr>
        <w:t>Project Title: Strengthening the Central Highlands Cotton Production System</w:t>
      </w:r>
    </w:p>
    <w:p w:rsidR="000D28B8" w:rsidRPr="00C1096A" w:rsidRDefault="000D28B8" w:rsidP="008C2A93">
      <w:pPr>
        <w:pBdr>
          <w:top w:val="single" w:sz="4" w:space="1" w:color="auto"/>
          <w:left w:val="single" w:sz="4" w:space="4" w:color="auto"/>
          <w:bottom w:val="single" w:sz="4" w:space="1" w:color="auto"/>
          <w:right w:val="single" w:sz="4" w:space="4" w:color="auto"/>
        </w:pBdr>
        <w:spacing w:after="240"/>
        <w:rPr>
          <w:rFonts w:ascii="Arial" w:hAnsi="Arial" w:cs="Arial"/>
        </w:rPr>
      </w:pPr>
      <w:r w:rsidRPr="00C1096A">
        <w:rPr>
          <w:rFonts w:ascii="Arial" w:hAnsi="Arial" w:cs="Arial"/>
        </w:rPr>
        <w:t>Research Organisation: Department of Agriculture and Fisheries, Queensland</w:t>
      </w:r>
    </w:p>
    <w:p w:rsidR="000D28B8" w:rsidRPr="00C1096A" w:rsidRDefault="000D28B8" w:rsidP="008C2A93">
      <w:pPr>
        <w:pBdr>
          <w:top w:val="single" w:sz="4" w:space="1" w:color="auto"/>
          <w:left w:val="single" w:sz="4" w:space="4" w:color="auto"/>
          <w:bottom w:val="single" w:sz="4" w:space="1" w:color="auto"/>
          <w:right w:val="single" w:sz="4" w:space="4" w:color="auto"/>
        </w:pBdr>
        <w:spacing w:after="240"/>
        <w:rPr>
          <w:rFonts w:ascii="Arial" w:hAnsi="Arial" w:cs="Arial"/>
        </w:rPr>
      </w:pPr>
      <w:r w:rsidRPr="00C1096A">
        <w:rPr>
          <w:rFonts w:ascii="Arial" w:hAnsi="Arial" w:cs="Arial"/>
        </w:rPr>
        <w:t>Principal Investigator: Paul Grundy</w:t>
      </w:r>
    </w:p>
    <w:p w:rsidR="000D28B8" w:rsidRPr="00C1096A" w:rsidRDefault="000D28B8" w:rsidP="00B35480">
      <w:pPr>
        <w:pBdr>
          <w:top w:val="single" w:sz="4" w:space="1" w:color="auto"/>
          <w:left w:val="single" w:sz="4" w:space="4" w:color="auto"/>
          <w:bottom w:val="single" w:sz="4" w:space="1" w:color="auto"/>
          <w:right w:val="single" w:sz="4" w:space="4" w:color="auto"/>
        </w:pBdr>
        <w:rPr>
          <w:rFonts w:ascii="Arial" w:hAnsi="Arial" w:cs="Arial"/>
        </w:rPr>
      </w:pPr>
      <w:r w:rsidRPr="00C1096A">
        <w:rPr>
          <w:rFonts w:ascii="Arial" w:hAnsi="Arial" w:cs="Arial"/>
        </w:rPr>
        <w:t>Period of Funding: July 2013 to June 2017</w:t>
      </w:r>
    </w:p>
    <w:p w:rsidR="000D28B8" w:rsidRPr="00C1096A" w:rsidRDefault="000D28B8" w:rsidP="00B35480">
      <w:pPr>
        <w:rPr>
          <w:rFonts w:ascii="Arial" w:hAnsi="Arial" w:cs="Arial"/>
        </w:rPr>
      </w:pPr>
    </w:p>
    <w:p w:rsidR="000D28B8" w:rsidRPr="00AA726B" w:rsidRDefault="000D28B8" w:rsidP="00AA726B">
      <w:pPr>
        <w:spacing w:after="240"/>
        <w:rPr>
          <w:rFonts w:ascii="Arial" w:hAnsi="Arial" w:cs="Arial"/>
          <w:b/>
          <w:sz w:val="24"/>
        </w:rPr>
      </w:pPr>
      <w:bookmarkStart w:id="257" w:name="_Toc484441277"/>
      <w:bookmarkStart w:id="258" w:name="_Toc486145253"/>
      <w:r w:rsidRPr="00AA726B">
        <w:rPr>
          <w:rFonts w:ascii="Arial" w:hAnsi="Arial" w:cs="Arial"/>
          <w:b/>
          <w:sz w:val="24"/>
        </w:rPr>
        <w:t>Objectives</w:t>
      </w:r>
      <w:bookmarkEnd w:id="257"/>
      <w:bookmarkEnd w:id="258"/>
    </w:p>
    <w:p w:rsidR="000D28B8" w:rsidRPr="00C1096A" w:rsidRDefault="000D28B8" w:rsidP="00B35480">
      <w:pPr>
        <w:rPr>
          <w:rFonts w:ascii="Arial" w:hAnsi="Arial" w:cs="Arial"/>
        </w:rPr>
      </w:pPr>
      <w:r w:rsidRPr="00C1096A">
        <w:rPr>
          <w:rFonts w:ascii="Arial" w:hAnsi="Arial" w:cs="Arial"/>
        </w:rPr>
        <w:t>The objectives of the project were:</w:t>
      </w:r>
    </w:p>
    <w:p w:rsidR="000D28B8" w:rsidRPr="00C1096A" w:rsidRDefault="000D28B8" w:rsidP="000D5A34">
      <w:pPr>
        <w:pStyle w:val="ListParagraph"/>
        <w:numPr>
          <w:ilvl w:val="0"/>
          <w:numId w:val="25"/>
        </w:numPr>
        <w:spacing w:after="160" w:line="259" w:lineRule="auto"/>
        <w:rPr>
          <w:rFonts w:ascii="Arial" w:hAnsi="Arial" w:cs="Arial"/>
        </w:rPr>
      </w:pPr>
      <w:r w:rsidRPr="00C1096A">
        <w:rPr>
          <w:rFonts w:ascii="Arial" w:hAnsi="Arial" w:cs="Arial"/>
        </w:rPr>
        <w:t xml:space="preserve">To better define yield potential in relation to climate variability and genotype. </w:t>
      </w:r>
    </w:p>
    <w:p w:rsidR="000D28B8" w:rsidRPr="00C1096A" w:rsidRDefault="000D28B8" w:rsidP="000D5A34">
      <w:pPr>
        <w:pStyle w:val="ListParagraph"/>
        <w:numPr>
          <w:ilvl w:val="0"/>
          <w:numId w:val="25"/>
        </w:numPr>
        <w:spacing w:after="160" w:line="259" w:lineRule="auto"/>
        <w:rPr>
          <w:rFonts w:ascii="Arial" w:hAnsi="Arial" w:cs="Arial"/>
        </w:rPr>
      </w:pPr>
      <w:r w:rsidRPr="00C1096A">
        <w:rPr>
          <w:rFonts w:ascii="Arial" w:hAnsi="Arial" w:cs="Arial"/>
        </w:rPr>
        <w:t xml:space="preserve">To develop and test agronomic tactics aimed at increasing the reliability of yield potential and best bet strategies that reduce climate risks. </w:t>
      </w:r>
    </w:p>
    <w:p w:rsidR="000D28B8" w:rsidRPr="00C1096A" w:rsidRDefault="000D28B8" w:rsidP="000D5A34">
      <w:pPr>
        <w:pStyle w:val="ListParagraph"/>
        <w:numPr>
          <w:ilvl w:val="0"/>
          <w:numId w:val="25"/>
        </w:numPr>
        <w:spacing w:after="160" w:line="259" w:lineRule="auto"/>
        <w:rPr>
          <w:rFonts w:ascii="Arial" w:hAnsi="Arial" w:cs="Arial"/>
        </w:rPr>
      </w:pPr>
      <w:r w:rsidRPr="00C1096A">
        <w:rPr>
          <w:rFonts w:ascii="Arial" w:hAnsi="Arial" w:cs="Arial"/>
        </w:rPr>
        <w:t>To better understand the interactions that are occurring between climate, causal agents and crop development that may be influencing the incidence and severity of boll rots and then to exploit this knowledge where possible to reduce boll rot yield losses.</w:t>
      </w:r>
    </w:p>
    <w:p w:rsidR="000D28B8" w:rsidRPr="00C1096A" w:rsidRDefault="000D28B8" w:rsidP="000D5A34">
      <w:pPr>
        <w:pStyle w:val="ListParagraph"/>
        <w:numPr>
          <w:ilvl w:val="0"/>
          <w:numId w:val="25"/>
        </w:numPr>
        <w:spacing w:after="160" w:line="259" w:lineRule="auto"/>
        <w:rPr>
          <w:rFonts w:ascii="Arial" w:hAnsi="Arial" w:cs="Arial"/>
        </w:rPr>
      </w:pPr>
      <w:r w:rsidRPr="00C1096A">
        <w:rPr>
          <w:rFonts w:ascii="Arial" w:hAnsi="Arial" w:cs="Arial"/>
        </w:rPr>
        <w:t xml:space="preserve">To investigate the ecology and management of Symphyla, a recurring soil borne pest in the Dawson farming system. </w:t>
      </w:r>
    </w:p>
    <w:p w:rsidR="000D28B8" w:rsidRPr="00C1096A" w:rsidRDefault="000D28B8" w:rsidP="00B35480">
      <w:pPr>
        <w:pStyle w:val="ListParagraph"/>
        <w:rPr>
          <w:rFonts w:ascii="Arial" w:hAnsi="Arial" w:cs="Arial"/>
        </w:rPr>
      </w:pPr>
    </w:p>
    <w:p w:rsidR="000D28B8" w:rsidRPr="00AA726B" w:rsidRDefault="000D28B8" w:rsidP="00AA726B">
      <w:pPr>
        <w:spacing w:after="240"/>
        <w:rPr>
          <w:rFonts w:ascii="Arial" w:hAnsi="Arial" w:cs="Arial"/>
          <w:b/>
          <w:sz w:val="24"/>
        </w:rPr>
      </w:pPr>
      <w:bookmarkStart w:id="259" w:name="_Toc484441278"/>
      <w:bookmarkStart w:id="260" w:name="_Toc486145254"/>
      <w:r w:rsidRPr="00AA726B">
        <w:rPr>
          <w:rFonts w:ascii="Arial" w:hAnsi="Arial" w:cs="Arial"/>
          <w:b/>
          <w:sz w:val="24"/>
        </w:rPr>
        <w:t>Logical Framework</w:t>
      </w:r>
      <w:bookmarkEnd w:id="259"/>
      <w:bookmarkEnd w:id="260"/>
    </w:p>
    <w:p w:rsidR="000D28B8" w:rsidRPr="00C1096A" w:rsidRDefault="003147F5" w:rsidP="00B35480">
      <w:pPr>
        <w:rPr>
          <w:rFonts w:ascii="Arial" w:hAnsi="Arial" w:cs="Arial"/>
        </w:rPr>
      </w:pPr>
      <w:r>
        <w:rPr>
          <w:rFonts w:ascii="Arial" w:hAnsi="Arial" w:cs="Arial"/>
        </w:rPr>
        <w:t>Table 1</w:t>
      </w:r>
      <w:r w:rsidR="000D28B8" w:rsidRPr="00C1096A">
        <w:rPr>
          <w:rFonts w:ascii="Arial" w:hAnsi="Arial" w:cs="Arial"/>
        </w:rPr>
        <w:t xml:space="preserve"> provides a description of the project in a logical framework developed for the project.</w:t>
      </w:r>
    </w:p>
    <w:p w:rsidR="000D28B8" w:rsidRPr="00C1096A" w:rsidRDefault="000D28B8" w:rsidP="008C2A93">
      <w:pPr>
        <w:spacing w:after="240"/>
        <w:jc w:val="center"/>
        <w:rPr>
          <w:rFonts w:ascii="Arial" w:hAnsi="Arial" w:cs="Arial"/>
        </w:rPr>
      </w:pPr>
      <w:bookmarkStart w:id="261" w:name="_Ref479757962"/>
      <w:bookmarkStart w:id="262" w:name="_Toc484441228"/>
      <w:r w:rsidRPr="00C1096A">
        <w:rPr>
          <w:rFonts w:ascii="Arial" w:hAnsi="Arial" w:cs="Arial"/>
        </w:rPr>
        <w:t xml:space="preserve">Table </w:t>
      </w:r>
      <w:bookmarkEnd w:id="261"/>
      <w:r w:rsidR="003147F5">
        <w:rPr>
          <w:rFonts w:ascii="Arial" w:hAnsi="Arial" w:cs="Arial"/>
        </w:rPr>
        <w:t>1</w:t>
      </w:r>
      <w:r w:rsidRPr="00C1096A">
        <w:rPr>
          <w:rFonts w:ascii="Arial" w:hAnsi="Arial" w:cs="Arial"/>
        </w:rPr>
        <w:t>: Logical Framework for Project DAQ1401</w:t>
      </w:r>
      <w:bookmarkEnd w:id="262"/>
    </w:p>
    <w:tbl>
      <w:tblPr>
        <w:tblStyle w:val="TableGrid"/>
        <w:tblW w:w="9209" w:type="dxa"/>
        <w:jc w:val="center"/>
        <w:tblLook w:val="04A0" w:firstRow="1" w:lastRow="0" w:firstColumn="1" w:lastColumn="0" w:noHBand="0" w:noVBand="1"/>
      </w:tblPr>
      <w:tblGrid>
        <w:gridCol w:w="1555"/>
        <w:gridCol w:w="7654"/>
      </w:tblGrid>
      <w:tr w:rsidR="000D28B8" w:rsidRPr="008C2A93" w:rsidTr="008C2A93">
        <w:trPr>
          <w:jc w:val="center"/>
        </w:trPr>
        <w:tc>
          <w:tcPr>
            <w:tcW w:w="1555" w:type="dxa"/>
          </w:tcPr>
          <w:p w:rsidR="000D28B8" w:rsidRPr="008C2A93" w:rsidRDefault="000D28B8" w:rsidP="00B35480">
            <w:pPr>
              <w:rPr>
                <w:rFonts w:ascii="Arial" w:hAnsi="Arial" w:cs="Arial"/>
                <w:sz w:val="22"/>
                <w:szCs w:val="22"/>
              </w:rPr>
            </w:pPr>
            <w:r w:rsidRPr="008C2A93">
              <w:rPr>
                <w:rFonts w:ascii="Arial" w:hAnsi="Arial" w:cs="Arial"/>
                <w:sz w:val="22"/>
                <w:szCs w:val="22"/>
              </w:rPr>
              <w:t>Activities and Outputs</w:t>
            </w:r>
          </w:p>
        </w:tc>
        <w:tc>
          <w:tcPr>
            <w:tcW w:w="7654" w:type="dxa"/>
          </w:tcPr>
          <w:p w:rsidR="000D28B8" w:rsidRPr="008C2A93" w:rsidRDefault="000D28B8" w:rsidP="00B35480">
            <w:pPr>
              <w:rPr>
                <w:rFonts w:ascii="Arial" w:hAnsi="Arial" w:cs="Arial"/>
                <w:i/>
                <w:sz w:val="22"/>
                <w:szCs w:val="22"/>
              </w:rPr>
            </w:pPr>
            <w:r w:rsidRPr="008C2A93">
              <w:rPr>
                <w:rFonts w:ascii="Arial" w:hAnsi="Arial" w:cs="Arial"/>
                <w:i/>
                <w:sz w:val="22"/>
                <w:szCs w:val="22"/>
              </w:rPr>
              <w:t>Climate Data Analyses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An analysis of existing Central Highlands data and modelling scenarios was carried out that substantiated the difficulties reported by growers in the region who have been trying to maximise yield potential in a variable climate.</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Analysis and basic modelling for the entire Central Highlands Bureau of Meteorology (BOM) weather data set was conducted to test various climatic risk scenarios for the region and identify gaps and opportunities for cotton research.</w:t>
            </w:r>
          </w:p>
          <w:p w:rsidR="000D28B8" w:rsidRPr="008C2A93" w:rsidRDefault="000D28B8" w:rsidP="00B35480">
            <w:pPr>
              <w:rPr>
                <w:rFonts w:ascii="Arial" w:hAnsi="Arial" w:cs="Arial"/>
                <w:i/>
                <w:sz w:val="22"/>
                <w:szCs w:val="22"/>
              </w:rPr>
            </w:pPr>
          </w:p>
          <w:p w:rsidR="000D28B8" w:rsidRPr="008C2A93" w:rsidRDefault="000D28B8" w:rsidP="00B35480">
            <w:pPr>
              <w:rPr>
                <w:rFonts w:ascii="Arial" w:hAnsi="Arial" w:cs="Arial"/>
                <w:i/>
                <w:sz w:val="22"/>
                <w:szCs w:val="22"/>
              </w:rPr>
            </w:pPr>
            <w:r w:rsidRPr="008C2A93">
              <w:rPr>
                <w:rFonts w:ascii="Arial" w:hAnsi="Arial" w:cs="Arial"/>
                <w:i/>
                <w:sz w:val="22"/>
                <w:szCs w:val="22"/>
              </w:rPr>
              <w:t>Early Crop Establishment Trials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 fully replicated pilot experiment was implemented and completed during the 2013/14 season. The experiment tested the impact of early establishment with the use of biodegradable films and collected a set of crop responses to different climatic conditions throughout the season. Trial plots were planted at four different sowing dates from the beginning of August (5</w:t>
            </w:r>
            <w:r w:rsidRPr="008C2A93">
              <w:rPr>
                <w:rFonts w:ascii="Arial" w:hAnsi="Arial" w:cs="Arial"/>
                <w:sz w:val="22"/>
                <w:szCs w:val="22"/>
                <w:vertAlign w:val="superscript"/>
              </w:rPr>
              <w:t>th</w:t>
            </w:r>
            <w:r w:rsidRPr="008C2A93">
              <w:rPr>
                <w:rFonts w:ascii="Arial" w:hAnsi="Arial" w:cs="Arial"/>
                <w:sz w:val="22"/>
                <w:szCs w:val="22"/>
              </w:rPr>
              <w:t xml:space="preserve"> and 19</w:t>
            </w:r>
            <w:r w:rsidRPr="008C2A93">
              <w:rPr>
                <w:rFonts w:ascii="Arial" w:hAnsi="Arial" w:cs="Arial"/>
                <w:sz w:val="22"/>
                <w:szCs w:val="22"/>
                <w:vertAlign w:val="superscript"/>
              </w:rPr>
              <w:t>th</w:t>
            </w:r>
            <w:r w:rsidRPr="008C2A93">
              <w:rPr>
                <w:rFonts w:ascii="Arial" w:hAnsi="Arial" w:cs="Arial"/>
                <w:sz w:val="22"/>
                <w:szCs w:val="22"/>
              </w:rPr>
              <w:t xml:space="preserve"> of August, and 2</w:t>
            </w:r>
            <w:r w:rsidRPr="008C2A93">
              <w:rPr>
                <w:rFonts w:ascii="Arial" w:hAnsi="Arial" w:cs="Arial"/>
                <w:sz w:val="22"/>
                <w:szCs w:val="22"/>
                <w:vertAlign w:val="superscript"/>
              </w:rPr>
              <w:t>nd</w:t>
            </w:r>
            <w:r w:rsidRPr="008C2A93">
              <w:rPr>
                <w:rFonts w:ascii="Arial" w:hAnsi="Arial" w:cs="Arial"/>
                <w:sz w:val="22"/>
                <w:szCs w:val="22"/>
              </w:rPr>
              <w:t xml:space="preserve"> and 15</w:t>
            </w:r>
            <w:r w:rsidRPr="008C2A93">
              <w:rPr>
                <w:rFonts w:ascii="Arial" w:hAnsi="Arial" w:cs="Arial"/>
                <w:sz w:val="22"/>
                <w:szCs w:val="22"/>
                <w:vertAlign w:val="superscript"/>
              </w:rPr>
              <w:t>th</w:t>
            </w:r>
            <w:r w:rsidRPr="008C2A93">
              <w:rPr>
                <w:rFonts w:ascii="Arial" w:hAnsi="Arial" w:cs="Arial"/>
                <w:sz w:val="22"/>
                <w:szCs w:val="22"/>
              </w:rPr>
              <w:t xml:space="preserve"> of September).</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Extensive plant development measurements (leaf area, light interception, dry matter accumulation and partitioning, total retention, nodes, nodes above white flower, height and maturity) were made throughout the season.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 problem was encountered with the first films tested for the August sowings. The film suffered from premature breakdown which negated many of the potential benefits. A new version of film was acquired which lasted 5-6 weeks before beginning to break down.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Where the films remained intact the first season results showed that crop development was hastened by about 7 to 9 days.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project was varied in early 2014 to allow capital expenditure on a custom-built Film Layer and degradable film (in collaboration with DC Envrioplas) to be used for the following three seasons. The film was then laid mechanically on hills which overcame many of the deployment problems experienced in the first trial.</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Trials for the first three seasons of the project (2013/14 to 2015/16) were planted using the Bollgard II® variety. This variety of cotton is commercially restricted to a specific planting window (between September 15 and October 26 for the Central Highlands and the Dawson-Callide Valleys </w:t>
            </w:r>
            <w:sdt>
              <w:sdtPr>
                <w:rPr>
                  <w:rFonts w:ascii="Arial" w:hAnsi="Arial" w:cs="Arial"/>
                  <w:szCs w:val="22"/>
                </w:rPr>
                <w:id w:val="1703132398"/>
                <w:citation/>
              </w:sdtPr>
              <w:sdtEndPr/>
              <w:sdtContent>
                <w:r w:rsidRPr="008C2A93">
                  <w:rPr>
                    <w:rFonts w:ascii="Arial" w:hAnsi="Arial" w:cs="Arial"/>
                    <w:szCs w:val="22"/>
                  </w:rPr>
                  <w:fldChar w:fldCharType="begin"/>
                </w:r>
                <w:r w:rsidRPr="008C2A93">
                  <w:rPr>
                    <w:rFonts w:ascii="Arial" w:hAnsi="Arial" w:cs="Arial"/>
                    <w:sz w:val="22"/>
                    <w:szCs w:val="22"/>
                  </w:rPr>
                  <w:instrText xml:space="preserve"> CITATION Mon12 \l 3081 </w:instrText>
                </w:r>
                <w:r w:rsidRPr="008C2A93">
                  <w:rPr>
                    <w:rFonts w:ascii="Arial" w:hAnsi="Arial" w:cs="Arial"/>
                    <w:szCs w:val="22"/>
                  </w:rPr>
                  <w:fldChar w:fldCharType="separate"/>
                </w:r>
                <w:r w:rsidRPr="008C2A93">
                  <w:rPr>
                    <w:rFonts w:ascii="Arial" w:hAnsi="Arial" w:cs="Arial"/>
                    <w:noProof/>
                    <w:sz w:val="22"/>
                    <w:szCs w:val="22"/>
                  </w:rPr>
                  <w:t>(Monsanto Australia Limited, 2012)</w:t>
                </w:r>
                <w:r w:rsidRPr="008C2A93">
                  <w:rPr>
                    <w:rFonts w:ascii="Arial" w:hAnsi="Arial" w:cs="Arial"/>
                    <w:szCs w:val="22"/>
                  </w:rPr>
                  <w:fldChar w:fldCharType="end"/>
                </w:r>
              </w:sdtContent>
            </w:sdt>
            <w:r w:rsidRPr="008C2A93">
              <w:rPr>
                <w:rFonts w:ascii="Arial" w:hAnsi="Arial" w:cs="Arial"/>
                <w:sz w:val="22"/>
                <w:szCs w:val="22"/>
              </w:rPr>
              <w:t xml:space="preserve">) by the Australian Pesticide and Veterinary Medicines Authority (APVMA). </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project findings (up to 2014) were included in submissions to the APVMA seeking a permit to widen the planting window for CQ.</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A permit was granted by the APVMA to vary the planting window for Bollgard II® that allowed commercial scale trials to be undertaken for the early sowing dates from the 2014/15 season </w:t>
            </w:r>
            <w:sdt>
              <w:sdtPr>
                <w:rPr>
                  <w:rFonts w:ascii="Arial" w:hAnsi="Arial" w:cs="Arial"/>
                  <w:szCs w:val="22"/>
                </w:rPr>
                <w:id w:val="-1279559481"/>
                <w:citation/>
              </w:sdtPr>
              <w:sdtEndPr/>
              <w:sdtContent>
                <w:r w:rsidRPr="008C2A93">
                  <w:rPr>
                    <w:rFonts w:ascii="Arial" w:hAnsi="Arial" w:cs="Arial"/>
                    <w:szCs w:val="22"/>
                  </w:rPr>
                  <w:fldChar w:fldCharType="begin"/>
                </w:r>
                <w:r w:rsidRPr="008C2A93">
                  <w:rPr>
                    <w:rFonts w:ascii="Arial" w:hAnsi="Arial" w:cs="Arial"/>
                    <w:sz w:val="22"/>
                    <w:szCs w:val="22"/>
                  </w:rPr>
                  <w:instrText xml:space="preserve"> CITATION Cot14 \l 3081 </w:instrText>
                </w:r>
                <w:r w:rsidRPr="008C2A93">
                  <w:rPr>
                    <w:rFonts w:ascii="Arial" w:hAnsi="Arial" w:cs="Arial"/>
                    <w:szCs w:val="22"/>
                  </w:rPr>
                  <w:fldChar w:fldCharType="separate"/>
                </w:r>
                <w:r w:rsidRPr="008C2A93">
                  <w:rPr>
                    <w:rFonts w:ascii="Arial" w:hAnsi="Arial" w:cs="Arial"/>
                    <w:noProof/>
                    <w:sz w:val="22"/>
                    <w:szCs w:val="22"/>
                  </w:rPr>
                  <w:t>(Cotton Australia, 2014)</w:t>
                </w:r>
                <w:r w:rsidRPr="008C2A93">
                  <w:rPr>
                    <w:rFonts w:ascii="Arial" w:hAnsi="Arial" w:cs="Arial"/>
                    <w:szCs w:val="22"/>
                  </w:rPr>
                  <w:fldChar w:fldCharType="end"/>
                </w:r>
              </w:sdtContent>
            </w:sdt>
            <w:r w:rsidRPr="008C2A93">
              <w:rPr>
                <w:rFonts w:ascii="Arial" w:hAnsi="Arial" w:cs="Arial"/>
                <w:sz w:val="22"/>
                <w:szCs w:val="22"/>
              </w:rPr>
              <w: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second trial, the first at a commercial scale, commenced 3 August 2014. This experiment built on the results from the first season field work investigating the potential of late winter sowing with and without degradable films as a tactic for improving the timing of boll fill (so that this growth phase would occur during more reliable spring time weather conditions).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Four sowing dates were again trialled and, despite recording only two days free of cold shocks, the August sown cotton (with and without film) continued to develop and the early sowings were successful and yielded over 10 bales/ha.</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There were no significant differences for yield between any of the sowing dates or cotton sown with or without the biodegradable film.</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While biomass data indicated that the film sown treatments had quicker early season development, treatment differences dissipated during flowering as the without-film treatments caught up.</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Analysis of crop growth and development data showed separate issues for cotton sown both early and at the normal time for the past two seasons. The early sown crops grew in a very compact but efficient manner in terms of yield partitioning. However, biomass and light interception measurements indicated that these sowings did not fully exploit the radiation available during flowering and boll fill during November and early December due to the crop rows not fully closing. </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In contrast, the growth and development of the mid-September sowings were more typical of Central Highlands crops, fully intercepting sunlight (row closure) by cut-out</w:t>
            </w:r>
            <w:r w:rsidRPr="008C2A93">
              <w:rPr>
                <w:rStyle w:val="FootnoteReference"/>
                <w:rFonts w:ascii="Arial" w:hAnsi="Arial" w:cs="Arial"/>
                <w:sz w:val="22"/>
                <w:szCs w:val="22"/>
              </w:rPr>
              <w:footnoteReference w:id="2"/>
            </w:r>
            <w:r w:rsidRPr="008C2A93">
              <w:rPr>
                <w:rFonts w:ascii="Arial" w:hAnsi="Arial" w:cs="Arial"/>
                <w:sz w:val="22"/>
                <w:szCs w:val="22"/>
              </w:rPr>
              <w:t xml:space="preserve"> and exhibiting a higher growth rate per day due to warmer conditions prior to flowering.</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On this basis, the September sowings should have out-performed the August sowings each season and yet, due to variable weather conditions encountered from December onwards, finished with either the same or less yield than the earlier sowings.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second commercial-scale experiment testing late winter sowing was established at Orana, Emerald for the 2015/16 season. Air temperatures were cooler than previous seasons with the first three weeks of August being well below 12</w:t>
            </w:r>
            <w:r w:rsidRPr="008C2A93">
              <w:rPr>
                <w:rFonts w:ascii="Arial" w:hAnsi="Arial" w:cs="Arial"/>
                <w:sz w:val="22"/>
                <w:szCs w:val="22"/>
                <w:vertAlign w:val="superscript"/>
              </w:rPr>
              <w:t>o</w:t>
            </w:r>
            <w:r w:rsidRPr="008C2A93">
              <w:rPr>
                <w:rFonts w:ascii="Arial" w:hAnsi="Arial" w:cs="Arial"/>
                <w:sz w:val="22"/>
                <w:szCs w:val="22"/>
              </w:rPr>
              <w:t>C every night. Despite this, soil temperatures remained at or above the critical threshold of 12</w:t>
            </w:r>
            <w:r w:rsidRPr="008C2A93">
              <w:rPr>
                <w:rFonts w:ascii="Arial" w:hAnsi="Arial" w:cs="Arial"/>
                <w:sz w:val="22"/>
                <w:szCs w:val="22"/>
                <w:vertAlign w:val="superscript"/>
              </w:rPr>
              <w:t>o</w:t>
            </w:r>
            <w:r w:rsidRPr="008C2A93">
              <w:rPr>
                <w:rFonts w:ascii="Arial" w:hAnsi="Arial" w:cs="Arial"/>
                <w:sz w:val="22"/>
                <w:szCs w:val="22"/>
              </w:rPr>
              <w:t>C.</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An additional site was sown at a property near Comet, Queensland with a single bulk planting of cotton sown on 1 August 2015. This crop was benchmarked as the primary early sown crop throughout the 2015/16 season against the main experiment where multiple planting dates (with and without biodegradable film) were tested.</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Alternative management practices were implemented during the 2015/16 trials that would encourage greater early season vegetative expansion of cotton on 1m row spacings through changes to water, nitrogen and insect management.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2015/16 early sowings achieved a much larger canopy that fully intercepted sunlight by cut-out in contrast with earlier experiments.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increased crop biomass and light interception during spring and early summer conditions resulted in a high number of large bolls culminating in yields just over 14 bales/ha for both early sowings at the end of the season.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mid-September sowing yielded significantly less (9.2b/ha) when picked on 23 February after a significant rainfall event. Significant losses occurred due to tight locked bolls and boll rots. Lint quality was also poor due to discolouration and reduced fibre strength.</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Bollgard 3® became available for the 2016/17 season. Bollgard 3® has a more flexible planting window, allowing crops in CQ to be planted between 1 August and 31 October </w:t>
            </w:r>
            <w:sdt>
              <w:sdtPr>
                <w:rPr>
                  <w:rFonts w:ascii="Arial" w:hAnsi="Arial" w:cs="Arial"/>
                  <w:szCs w:val="22"/>
                </w:rPr>
                <w:id w:val="1313366978"/>
                <w:citation/>
              </w:sdtPr>
              <w:sdtEndPr/>
              <w:sdtContent>
                <w:r w:rsidRPr="008C2A93">
                  <w:rPr>
                    <w:rFonts w:ascii="Arial" w:hAnsi="Arial" w:cs="Arial"/>
                    <w:szCs w:val="22"/>
                  </w:rPr>
                  <w:fldChar w:fldCharType="begin"/>
                </w:r>
                <w:r w:rsidRPr="008C2A93">
                  <w:rPr>
                    <w:rFonts w:ascii="Arial" w:hAnsi="Arial" w:cs="Arial"/>
                    <w:sz w:val="22"/>
                    <w:szCs w:val="22"/>
                  </w:rPr>
                  <w:instrText xml:space="preserve"> CITATION Mon16 \l 3081 </w:instrText>
                </w:r>
                <w:r w:rsidRPr="008C2A93">
                  <w:rPr>
                    <w:rFonts w:ascii="Arial" w:hAnsi="Arial" w:cs="Arial"/>
                    <w:szCs w:val="22"/>
                  </w:rPr>
                  <w:fldChar w:fldCharType="separate"/>
                </w:r>
                <w:r w:rsidRPr="008C2A93">
                  <w:rPr>
                    <w:rFonts w:ascii="Arial" w:hAnsi="Arial" w:cs="Arial"/>
                    <w:noProof/>
                    <w:sz w:val="22"/>
                    <w:szCs w:val="22"/>
                  </w:rPr>
                  <w:t>(Monsanto Australia Pty Ltd, 2016)</w:t>
                </w:r>
                <w:r w:rsidRPr="008C2A93">
                  <w:rPr>
                    <w:rFonts w:ascii="Arial" w:hAnsi="Arial" w:cs="Arial"/>
                    <w:szCs w:val="22"/>
                  </w:rPr>
                  <w:fldChar w:fldCharType="end"/>
                </w:r>
              </w:sdtContent>
            </w:sdt>
            <w:r w:rsidRPr="008C2A93">
              <w:rPr>
                <w:rFonts w:ascii="Arial" w:hAnsi="Arial" w:cs="Arial"/>
                <w:sz w:val="22"/>
                <w:szCs w:val="22"/>
              </w:rPr>
              <w: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project was extended to allow for additional trials in the 2016/17 season using Bollgard 3®.</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Degradable film was not used in the 2016/17 field experiments.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Three August sowing dates were planted as well as three December dates. This late planting tactic also serves the purpose of minimising the chance of a wet pick but has associated challenges around crop establishment and flowering if conditions in January/February are wet or hot/humid.</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Yields for the August sown 2016/17 season trials were approximately 12 bales/ha and 9.5 bales/ha for the September sown trials.</w:t>
            </w:r>
          </w:p>
          <w:p w:rsidR="000D28B8" w:rsidRPr="008C2A93" w:rsidRDefault="000D28B8" w:rsidP="00B35480">
            <w:pPr>
              <w:rPr>
                <w:rFonts w:ascii="Arial" w:hAnsi="Arial" w:cs="Arial"/>
                <w:sz w:val="22"/>
                <w:szCs w:val="22"/>
              </w:rPr>
            </w:pPr>
          </w:p>
          <w:p w:rsidR="000D28B8" w:rsidRPr="008C2A93" w:rsidRDefault="000D28B8" w:rsidP="00B35480">
            <w:pPr>
              <w:rPr>
                <w:rFonts w:ascii="Arial" w:hAnsi="Arial" w:cs="Arial"/>
                <w:i/>
                <w:sz w:val="22"/>
                <w:szCs w:val="22"/>
              </w:rPr>
            </w:pPr>
            <w:r w:rsidRPr="008C2A93">
              <w:rPr>
                <w:rFonts w:ascii="Arial" w:hAnsi="Arial" w:cs="Arial"/>
                <w:i/>
                <w:sz w:val="22"/>
                <w:szCs w:val="22"/>
              </w:rPr>
              <w:t>Boll Rot Treatment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 field experiment was conducted during the 2014/15 season at Emerald to test potential infection pathways for tight locking pathogens (boll rot).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2014/15 experiment had a cross-section of treatments implemented on groups of flowers. Treatments ranged from full protection from pathogen spore invasion through to the purposeful introduction of pathogen spores to open flowers. The treatments were applied to flowers over a 4-week period with 1,440 flowers in total being treated. Each flower was followed through to harvest and remaining bolls were hand-picked for further examination.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bolls were visually assessed and seeds from tight lock affected bolls were examined for pathogen content and fungal species composition.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Results suggested a very high level of </w:t>
            </w:r>
            <w:r w:rsidRPr="008C2A93">
              <w:rPr>
                <w:rFonts w:ascii="Arial" w:hAnsi="Arial" w:cs="Arial"/>
                <w:i/>
                <w:sz w:val="22"/>
                <w:szCs w:val="22"/>
              </w:rPr>
              <w:t>Alternaria</w:t>
            </w:r>
            <w:r w:rsidRPr="008C2A93">
              <w:rPr>
                <w:rFonts w:ascii="Arial" w:hAnsi="Arial" w:cs="Arial"/>
                <w:sz w:val="22"/>
                <w:szCs w:val="22"/>
              </w:rPr>
              <w:t xml:space="preserve"> spp. within most tight locked bolls regardless of the inoculation regime utilised in the experiment.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Following from the findings of the 2014/15 experiments, field experiments were conducted in the 2015/16 and 2016/17 seasons. The experiments tested the potential for using the </w:t>
            </w:r>
            <w:bookmarkStart w:id="263" w:name="_Hlk480448058"/>
            <w:r w:rsidRPr="008C2A93">
              <w:rPr>
                <w:rFonts w:ascii="Arial" w:hAnsi="Arial" w:cs="Arial"/>
                <w:sz w:val="22"/>
                <w:szCs w:val="22"/>
              </w:rPr>
              <w:t>fungicide Presaro 420 SC (210 g/L Prothioconazole &amp; 210 g/L Tebuconazole) and Bion® to reduce the incidence of tight locking in cotton</w:t>
            </w:r>
            <w:bookmarkEnd w:id="263"/>
            <w:r w:rsidRPr="008C2A93">
              <w:rPr>
                <w:rFonts w:ascii="Arial" w:hAnsi="Arial" w:cs="Arial"/>
                <w:sz w:val="22"/>
                <w:szCs w:val="22"/>
              </w:rPr>
              <w: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2015/16 and 2016/17 fungicide experiments showed little promise in terms of reduce the incidence of tight locked bolls.</w:t>
            </w:r>
          </w:p>
          <w:p w:rsidR="000D28B8" w:rsidRPr="008C2A93" w:rsidRDefault="000D28B8" w:rsidP="00B35480">
            <w:pPr>
              <w:rPr>
                <w:rFonts w:ascii="Arial" w:hAnsi="Arial" w:cs="Arial"/>
                <w:sz w:val="22"/>
                <w:szCs w:val="22"/>
              </w:rPr>
            </w:pPr>
          </w:p>
          <w:p w:rsidR="000D28B8" w:rsidRPr="008C2A93" w:rsidRDefault="000D28B8" w:rsidP="00B35480">
            <w:pPr>
              <w:rPr>
                <w:rFonts w:ascii="Arial" w:hAnsi="Arial" w:cs="Arial"/>
                <w:i/>
                <w:sz w:val="22"/>
                <w:szCs w:val="22"/>
              </w:rPr>
            </w:pPr>
            <w:r w:rsidRPr="008C2A93">
              <w:rPr>
                <w:rFonts w:ascii="Arial" w:hAnsi="Arial" w:cs="Arial"/>
                <w:i/>
                <w:sz w:val="22"/>
                <w:szCs w:val="22"/>
              </w:rPr>
              <w:t>Symphyla Management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There had been reports of crop establishment issues in Central Queensland cotton attributed to Symphylid organisms.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Collections of Symphyla were made from the Dawson Valley, Darling Downs and Moree cotton regions to establish a laboratory colony so that basic experimentation could be conducted to determine better sampling techniques, thresholds and management techniques.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Attempts to establish a lab colony were unsuccessful, thus the project focus shifted to in-field experimentation.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Several fields with high numbers of Symphyla were identified on the Darling Downs and experiments were carried out on sampling techniques using targeted baits. </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A large number of fields (&gt;20) were sampled for Symphyla and the health and vigour of the crops visually assessed to correlate the presence of Symphyla with signs of early season crop damage. </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Several fields were found to host significant populations of Symphyla with no apparent impact on crop establishment or vigour.</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Findings suggest that Symphyla are not solely responsible for poor crop establishment and that, instead, a complex of soil pests may be responsible.</w:t>
            </w:r>
          </w:p>
          <w:p w:rsidR="000D28B8" w:rsidRPr="008C2A93" w:rsidRDefault="000D28B8" w:rsidP="00B35480">
            <w:pPr>
              <w:rPr>
                <w:rFonts w:ascii="Arial" w:hAnsi="Arial" w:cs="Arial"/>
                <w:sz w:val="22"/>
                <w:szCs w:val="22"/>
              </w:rPr>
            </w:pPr>
          </w:p>
          <w:p w:rsidR="000D28B8" w:rsidRPr="008C2A93" w:rsidRDefault="000D28B8" w:rsidP="00B35480">
            <w:pPr>
              <w:rPr>
                <w:rFonts w:ascii="Arial" w:hAnsi="Arial" w:cs="Arial"/>
                <w:i/>
                <w:sz w:val="22"/>
                <w:szCs w:val="22"/>
              </w:rPr>
            </w:pPr>
            <w:r w:rsidRPr="008C2A93">
              <w:rPr>
                <w:rFonts w:ascii="Arial" w:hAnsi="Arial" w:cs="Arial"/>
                <w:i/>
                <w:sz w:val="22"/>
                <w:szCs w:val="22"/>
              </w:rPr>
              <w:t>Extension &amp; Communication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Multiple field days were conducted with growers at the research sites during each growing season (2013/14 to 2016/17) as part of a regular program that aimed to inform the local industry of results as they occurred.</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Research results were presented to the Emerald Cotton Growers’ Association (CGA) in May 2014, presentations regarding the research with Symphyla and soil pests generally were made at the Goondiwindi CGA meeting in July 2014, the Australian Cotton Conference 2014 and Toowoomba FUSCOM November 2014.</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Articles from the project team were published in publications including Spotlight and the Cotton Grower magazine.</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A cotton production workshop focusing on new sowing window options for Bollgard 3® and how this may relate to the Central Highlands climate was held in June 2016. The workshop was well supported with most Central Highlands growers and advisors attending.</w:t>
            </w:r>
          </w:p>
        </w:tc>
      </w:tr>
      <w:tr w:rsidR="000D28B8" w:rsidRPr="008C2A93" w:rsidTr="008C2A93">
        <w:trPr>
          <w:jc w:val="center"/>
        </w:trPr>
        <w:tc>
          <w:tcPr>
            <w:tcW w:w="1555" w:type="dxa"/>
          </w:tcPr>
          <w:p w:rsidR="000D28B8" w:rsidRPr="008C2A93" w:rsidRDefault="000D28B8" w:rsidP="00B35480">
            <w:pPr>
              <w:rPr>
                <w:rFonts w:ascii="Arial" w:hAnsi="Arial" w:cs="Arial"/>
                <w:sz w:val="22"/>
                <w:szCs w:val="22"/>
              </w:rPr>
            </w:pPr>
            <w:r w:rsidRPr="008C2A93">
              <w:rPr>
                <w:rFonts w:ascii="Arial" w:hAnsi="Arial" w:cs="Arial"/>
                <w:sz w:val="22"/>
                <w:szCs w:val="22"/>
              </w:rPr>
              <w:t>Outcomes</w:t>
            </w:r>
          </w:p>
        </w:tc>
        <w:tc>
          <w:tcPr>
            <w:tcW w:w="7654" w:type="dxa"/>
          </w:tcPr>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Project findings and the Principal Investigator (PI) contributed to the development of the Bollgard 3® growing regulations as part of the resistance management plan.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Contributions were made to the advisory committee for chemical and transgenic crop registration issues that provides advice to the APVMA via Cotton Australia. </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In particular, the project findings and advice supplied to the APVMA contributed to the decision to extend the Bollgard 3® planting window to include all of August for future CQ plantings.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project outputs are expected to give confidence to CQ cotton growers to potentially plant their cotton crops as early as August 1 to take advantage of stable conditions during boll fill and avoid variable climatic conditions around harvest.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Growers may implement alternative management strategies to encourage early season vegetative expansion to optimise plant growth for early sown cotton crops.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Boll Rot remains an issue for growers, particularly in wet seasons. However, the project outputs may be used as a foundation for further research and development (R&amp;D) in relation to other potential fungicides for use against the range of pathogens that cause tight locking of bolls.</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The project found that Symphyla alone are unlikely to be solely responsible for poor crop establishment in some fields. These findings may be used as a base for future R&amp;D into soil borne pests that are assumed to affect cotton crop establishment.</w:t>
            </w:r>
          </w:p>
        </w:tc>
      </w:tr>
      <w:tr w:rsidR="000D28B8" w:rsidRPr="008C2A93" w:rsidTr="008C2A93">
        <w:trPr>
          <w:jc w:val="center"/>
        </w:trPr>
        <w:tc>
          <w:tcPr>
            <w:tcW w:w="1555" w:type="dxa"/>
          </w:tcPr>
          <w:p w:rsidR="000D28B8" w:rsidRPr="008C2A93" w:rsidRDefault="000D28B8" w:rsidP="00B35480">
            <w:pPr>
              <w:rPr>
                <w:rFonts w:ascii="Arial" w:hAnsi="Arial" w:cs="Arial"/>
                <w:sz w:val="22"/>
                <w:szCs w:val="22"/>
              </w:rPr>
            </w:pPr>
            <w:r w:rsidRPr="008C2A93">
              <w:rPr>
                <w:rFonts w:ascii="Arial" w:hAnsi="Arial" w:cs="Arial"/>
                <w:sz w:val="22"/>
                <w:szCs w:val="22"/>
              </w:rPr>
              <w:t>Impacts</w:t>
            </w:r>
          </w:p>
        </w:tc>
        <w:tc>
          <w:tcPr>
            <w:tcW w:w="7654" w:type="dxa"/>
          </w:tcPr>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Potentially increased average yields from early planting through cotton crops being exposed to more favourable conditions during boll fill.</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Potentially reduced harvest losses from early planting that result from variable weather conditions in February and March by bringing forward harvest to January or early February.</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Potential reduction in quality discounts that result from cotton exposed to wet weather before harvest in some years by bringing forward harvest to January and early February.</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Potential opportunity to grow a rotation crop after cotton if harvested in January, should wet weather occur in February (e.g. Mungbean).</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Potentially reduced variability of yields from early planting if there is wet weather prior to picking. There is potential to grow the crop on and compensate for reduced yield.</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Potentially increased input costs from early planting due to changed agronomic management practices (e.g. higher seeding rates, nutrient management etc.).</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 xml:space="preserve">Improved grower well-being through reduced stress in terms of crop management resulting from an early sown crop growing slower and increasing decision making time </w:t>
            </w:r>
            <w:r w:rsidRPr="008C2A93">
              <w:rPr>
                <w:rFonts w:ascii="Arial" w:hAnsi="Arial" w:cs="Arial"/>
                <w:noProof/>
                <w:sz w:val="22"/>
                <w:szCs w:val="22"/>
              </w:rPr>
              <w:t>(CRDC, 2017)</w:t>
            </w:r>
            <w:r w:rsidRPr="008C2A93">
              <w:rPr>
                <w:rFonts w:ascii="Arial" w:hAnsi="Arial" w:cs="Arial"/>
                <w:sz w:val="22"/>
                <w:szCs w:val="22"/>
              </w:rPr>
              <w:t>.</w:t>
            </w:r>
          </w:p>
          <w:p w:rsidR="000D28B8" w:rsidRPr="008C2A93" w:rsidRDefault="000D28B8" w:rsidP="000D5A34">
            <w:pPr>
              <w:pStyle w:val="ListParagraph"/>
              <w:numPr>
                <w:ilvl w:val="0"/>
                <w:numId w:val="26"/>
              </w:numPr>
              <w:ind w:left="463" w:hanging="426"/>
              <w:rPr>
                <w:rFonts w:ascii="Arial" w:hAnsi="Arial" w:cs="Arial"/>
                <w:sz w:val="22"/>
                <w:szCs w:val="22"/>
              </w:rPr>
            </w:pPr>
            <w:r w:rsidRPr="008C2A93">
              <w:rPr>
                <w:rFonts w:ascii="Arial" w:hAnsi="Arial" w:cs="Arial"/>
                <w:sz w:val="22"/>
                <w:szCs w:val="22"/>
              </w:rPr>
              <w:t>Improved community well-being through spill-over benefits from increased grower productivity and/or profitability.</w:t>
            </w:r>
          </w:p>
        </w:tc>
      </w:tr>
    </w:tbl>
    <w:p w:rsidR="000D28B8" w:rsidRPr="00C1096A" w:rsidRDefault="000D28B8" w:rsidP="00B35480">
      <w:pPr>
        <w:rPr>
          <w:rFonts w:ascii="Arial" w:hAnsi="Arial" w:cs="Arial"/>
        </w:rPr>
      </w:pPr>
    </w:p>
    <w:p w:rsidR="008C2A93" w:rsidRDefault="008C2A93">
      <w:pPr>
        <w:spacing w:line="276" w:lineRule="auto"/>
      </w:pPr>
      <w:bookmarkStart w:id="264" w:name="_Toc484441279"/>
      <w:bookmarkStart w:id="265" w:name="_Toc486145255"/>
      <w:bookmarkStart w:id="266" w:name="_Toc486145355"/>
      <w:bookmarkStart w:id="267" w:name="_Toc486146271"/>
    </w:p>
    <w:p w:rsidR="00F712CF" w:rsidRDefault="00F712CF">
      <w:pPr>
        <w:spacing w:line="276" w:lineRule="auto"/>
        <w:rPr>
          <w:rFonts w:ascii="Arial" w:hAnsi="Arial" w:cs="Arial"/>
          <w:b/>
          <w:sz w:val="40"/>
          <w:szCs w:val="40"/>
        </w:rPr>
      </w:pPr>
      <w:r>
        <w:rPr>
          <w:rFonts w:ascii="Arial" w:hAnsi="Arial" w:cs="Arial"/>
          <w:b/>
          <w:sz w:val="40"/>
          <w:szCs w:val="40"/>
        </w:rPr>
        <w:br w:type="page"/>
      </w:r>
    </w:p>
    <w:p w:rsidR="000D28B8" w:rsidRPr="008C2A93" w:rsidRDefault="00C7408A" w:rsidP="008C2A93">
      <w:pPr>
        <w:spacing w:after="240"/>
        <w:rPr>
          <w:rFonts w:ascii="Arial" w:hAnsi="Arial" w:cs="Arial"/>
          <w:b/>
          <w:sz w:val="40"/>
          <w:szCs w:val="40"/>
        </w:rPr>
      </w:pPr>
      <w:r>
        <w:rPr>
          <w:rFonts w:ascii="Arial" w:hAnsi="Arial" w:cs="Arial"/>
          <w:b/>
          <w:sz w:val="40"/>
          <w:szCs w:val="40"/>
        </w:rPr>
        <w:t xml:space="preserve">4. </w:t>
      </w:r>
      <w:r w:rsidR="000D28B8" w:rsidRPr="008C2A93">
        <w:rPr>
          <w:rFonts w:ascii="Arial" w:hAnsi="Arial" w:cs="Arial"/>
          <w:b/>
          <w:sz w:val="40"/>
          <w:szCs w:val="40"/>
        </w:rPr>
        <w:t>Project Investment</w:t>
      </w:r>
      <w:bookmarkEnd w:id="264"/>
      <w:bookmarkEnd w:id="265"/>
      <w:bookmarkEnd w:id="266"/>
      <w:bookmarkEnd w:id="267"/>
    </w:p>
    <w:p w:rsidR="000D28B8" w:rsidRPr="00AA726B" w:rsidRDefault="000D28B8" w:rsidP="00AA726B">
      <w:pPr>
        <w:spacing w:after="240"/>
        <w:rPr>
          <w:rFonts w:ascii="Arial" w:hAnsi="Arial" w:cs="Arial"/>
          <w:b/>
          <w:sz w:val="24"/>
        </w:rPr>
      </w:pPr>
      <w:bookmarkStart w:id="268" w:name="_Toc484441280"/>
      <w:bookmarkStart w:id="269" w:name="_Toc486145256"/>
      <w:r w:rsidRPr="00AA726B">
        <w:rPr>
          <w:rFonts w:ascii="Arial" w:hAnsi="Arial" w:cs="Arial"/>
          <w:b/>
          <w:sz w:val="24"/>
        </w:rPr>
        <w:t>Nominal Investment</w:t>
      </w:r>
      <w:bookmarkEnd w:id="268"/>
      <w:bookmarkEnd w:id="269"/>
    </w:p>
    <w:p w:rsidR="000D28B8" w:rsidRPr="00C1096A" w:rsidRDefault="003147F5" w:rsidP="008C2A93">
      <w:pPr>
        <w:spacing w:after="240"/>
        <w:rPr>
          <w:rFonts w:ascii="Arial" w:hAnsi="Arial" w:cs="Arial"/>
        </w:rPr>
      </w:pPr>
      <w:r>
        <w:rPr>
          <w:rFonts w:ascii="Arial" w:hAnsi="Arial" w:cs="Arial"/>
        </w:rPr>
        <w:t>Table 2</w:t>
      </w:r>
      <w:r w:rsidR="000D28B8" w:rsidRPr="00C1096A">
        <w:rPr>
          <w:rFonts w:ascii="Arial" w:hAnsi="Arial" w:cs="Arial"/>
        </w:rPr>
        <w:t>shows the annual investment (cash and in-kind) for the project funded by DAF, CRDC and other investors.</w:t>
      </w:r>
    </w:p>
    <w:p w:rsidR="000D28B8" w:rsidRDefault="000D28B8" w:rsidP="008C2A93">
      <w:pPr>
        <w:spacing w:after="240"/>
        <w:jc w:val="center"/>
        <w:rPr>
          <w:rFonts w:ascii="Arial" w:hAnsi="Arial" w:cs="Arial"/>
        </w:rPr>
      </w:pPr>
      <w:bookmarkStart w:id="270" w:name="_Ref479846661"/>
      <w:bookmarkStart w:id="271" w:name="_Toc484441229"/>
      <w:r w:rsidRPr="00C1096A">
        <w:rPr>
          <w:rFonts w:ascii="Arial" w:hAnsi="Arial" w:cs="Arial"/>
        </w:rPr>
        <w:t xml:space="preserve">Table </w:t>
      </w:r>
      <w:bookmarkEnd w:id="270"/>
      <w:r w:rsidR="003147F5">
        <w:rPr>
          <w:rFonts w:ascii="Arial" w:hAnsi="Arial" w:cs="Arial"/>
        </w:rPr>
        <w:t>2</w:t>
      </w:r>
      <w:r w:rsidRPr="00C1096A">
        <w:rPr>
          <w:rFonts w:ascii="Arial" w:hAnsi="Arial" w:cs="Arial"/>
        </w:rPr>
        <w:t>: Annual Investment in Project DAQ1401</w:t>
      </w:r>
      <w:r w:rsidRPr="00C1096A">
        <w:rPr>
          <w:rFonts w:ascii="Arial" w:hAnsi="Arial" w:cs="Arial"/>
          <w:vertAlign w:val="superscript"/>
        </w:rPr>
        <w:t>(a)</w:t>
      </w:r>
      <w:r w:rsidRPr="00C1096A">
        <w:rPr>
          <w:rFonts w:ascii="Arial" w:hAnsi="Arial" w:cs="Arial"/>
        </w:rPr>
        <w:t xml:space="preserve"> (nominal $)</w:t>
      </w:r>
      <w:bookmarkEnd w:id="271"/>
    </w:p>
    <w:tbl>
      <w:tblPr>
        <w:tblStyle w:val="TableGrid"/>
        <w:tblW w:w="0" w:type="auto"/>
        <w:jc w:val="center"/>
        <w:tblLook w:val="04A0" w:firstRow="1" w:lastRow="0" w:firstColumn="1" w:lastColumn="0" w:noHBand="0" w:noVBand="1"/>
      </w:tblPr>
      <w:tblGrid>
        <w:gridCol w:w="1566"/>
        <w:gridCol w:w="1548"/>
        <w:gridCol w:w="1559"/>
        <w:gridCol w:w="1559"/>
        <w:gridCol w:w="1418"/>
      </w:tblGrid>
      <w:tr w:rsidR="000029F1" w:rsidRPr="000029F1" w:rsidTr="000029F1">
        <w:trPr>
          <w:jc w:val="center"/>
        </w:trPr>
        <w:tc>
          <w:tcPr>
            <w:tcW w:w="1566" w:type="dxa"/>
          </w:tcPr>
          <w:p w:rsidR="000029F1" w:rsidRPr="000029F1" w:rsidRDefault="000029F1" w:rsidP="000029F1">
            <w:pPr>
              <w:rPr>
                <w:rFonts w:ascii="Arial" w:hAnsi="Arial" w:cs="Arial"/>
                <w:b/>
                <w:sz w:val="22"/>
                <w:szCs w:val="22"/>
              </w:rPr>
            </w:pPr>
            <w:r w:rsidRPr="000029F1">
              <w:rPr>
                <w:rFonts w:ascii="Arial" w:hAnsi="Arial" w:cs="Arial"/>
                <w:b/>
                <w:sz w:val="22"/>
                <w:szCs w:val="22"/>
              </w:rPr>
              <w:t>Year Ended 30 June</w:t>
            </w:r>
          </w:p>
        </w:tc>
        <w:tc>
          <w:tcPr>
            <w:tcW w:w="1548" w:type="dxa"/>
          </w:tcPr>
          <w:p w:rsidR="000029F1" w:rsidRPr="000029F1" w:rsidRDefault="000029F1" w:rsidP="000029F1">
            <w:pPr>
              <w:jc w:val="center"/>
              <w:rPr>
                <w:rFonts w:ascii="Arial" w:hAnsi="Arial" w:cs="Arial"/>
                <w:b/>
                <w:sz w:val="22"/>
                <w:szCs w:val="22"/>
              </w:rPr>
            </w:pPr>
            <w:r w:rsidRPr="000029F1">
              <w:rPr>
                <w:rFonts w:ascii="Arial" w:hAnsi="Arial" w:cs="Arial"/>
                <w:b/>
                <w:sz w:val="22"/>
                <w:szCs w:val="22"/>
              </w:rPr>
              <w:t>DAF ($)</w:t>
            </w:r>
          </w:p>
        </w:tc>
        <w:tc>
          <w:tcPr>
            <w:tcW w:w="1559" w:type="dxa"/>
          </w:tcPr>
          <w:p w:rsidR="000029F1" w:rsidRPr="000029F1" w:rsidRDefault="000029F1" w:rsidP="000029F1">
            <w:pPr>
              <w:jc w:val="center"/>
              <w:rPr>
                <w:rFonts w:ascii="Arial" w:hAnsi="Arial" w:cs="Arial"/>
                <w:b/>
                <w:sz w:val="22"/>
                <w:szCs w:val="22"/>
              </w:rPr>
            </w:pPr>
            <w:r w:rsidRPr="000029F1">
              <w:rPr>
                <w:rFonts w:ascii="Arial" w:hAnsi="Arial" w:cs="Arial"/>
                <w:b/>
                <w:sz w:val="22"/>
                <w:szCs w:val="22"/>
              </w:rPr>
              <w:t>CRDC ($)</w:t>
            </w:r>
          </w:p>
        </w:tc>
        <w:tc>
          <w:tcPr>
            <w:tcW w:w="1559" w:type="dxa"/>
          </w:tcPr>
          <w:p w:rsidR="000029F1" w:rsidRPr="000029F1" w:rsidRDefault="000029F1" w:rsidP="000029F1">
            <w:pPr>
              <w:jc w:val="center"/>
              <w:rPr>
                <w:rFonts w:ascii="Arial" w:hAnsi="Arial" w:cs="Arial"/>
                <w:b/>
                <w:sz w:val="22"/>
                <w:szCs w:val="22"/>
              </w:rPr>
            </w:pPr>
            <w:r w:rsidRPr="000029F1">
              <w:rPr>
                <w:rFonts w:ascii="Arial" w:hAnsi="Arial" w:cs="Arial"/>
                <w:b/>
                <w:sz w:val="22"/>
                <w:szCs w:val="22"/>
              </w:rPr>
              <w:t>Others ($)</w:t>
            </w:r>
          </w:p>
        </w:tc>
        <w:tc>
          <w:tcPr>
            <w:tcW w:w="1418" w:type="dxa"/>
          </w:tcPr>
          <w:p w:rsidR="000029F1" w:rsidRPr="000029F1" w:rsidRDefault="000029F1" w:rsidP="000029F1">
            <w:pPr>
              <w:jc w:val="center"/>
              <w:rPr>
                <w:rFonts w:ascii="Arial" w:hAnsi="Arial" w:cs="Arial"/>
                <w:b/>
                <w:sz w:val="22"/>
                <w:szCs w:val="22"/>
              </w:rPr>
            </w:pPr>
            <w:r w:rsidRPr="000029F1">
              <w:rPr>
                <w:rFonts w:ascii="Arial" w:hAnsi="Arial" w:cs="Arial"/>
                <w:b/>
                <w:sz w:val="22"/>
                <w:szCs w:val="22"/>
              </w:rPr>
              <w:t>Total</w:t>
            </w:r>
          </w:p>
        </w:tc>
      </w:tr>
      <w:tr w:rsidR="000029F1" w:rsidRPr="000029F1" w:rsidTr="000029F1">
        <w:trPr>
          <w:jc w:val="center"/>
        </w:trPr>
        <w:tc>
          <w:tcPr>
            <w:tcW w:w="1566" w:type="dxa"/>
          </w:tcPr>
          <w:p w:rsidR="000029F1" w:rsidRPr="000029F1" w:rsidRDefault="000029F1" w:rsidP="000029F1">
            <w:pPr>
              <w:rPr>
                <w:rFonts w:ascii="Arial" w:hAnsi="Arial" w:cs="Arial"/>
                <w:sz w:val="22"/>
                <w:szCs w:val="22"/>
              </w:rPr>
            </w:pPr>
            <w:r w:rsidRPr="000029F1">
              <w:rPr>
                <w:rFonts w:ascii="Arial" w:hAnsi="Arial" w:cs="Arial"/>
                <w:sz w:val="22"/>
                <w:szCs w:val="22"/>
              </w:rPr>
              <w:t>2014</w:t>
            </w:r>
          </w:p>
        </w:tc>
        <w:tc>
          <w:tcPr>
            <w:tcW w:w="1548"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122,083</w:t>
            </w:r>
          </w:p>
        </w:tc>
        <w:tc>
          <w:tcPr>
            <w:tcW w:w="1559" w:type="dxa"/>
            <w:vAlign w:val="center"/>
          </w:tcPr>
          <w:p w:rsidR="000029F1" w:rsidRPr="000029F1" w:rsidRDefault="000029F1" w:rsidP="000029F1">
            <w:pPr>
              <w:jc w:val="right"/>
              <w:rPr>
                <w:rFonts w:ascii="Arial" w:hAnsi="Arial" w:cs="Arial"/>
                <w:sz w:val="22"/>
                <w:szCs w:val="22"/>
              </w:rPr>
            </w:pPr>
            <w:r w:rsidRPr="000029F1">
              <w:rPr>
                <w:rFonts w:ascii="Arial" w:hAnsi="Arial" w:cs="Arial"/>
                <w:sz w:val="22"/>
                <w:szCs w:val="22"/>
              </w:rPr>
              <w:t>128,267</w:t>
            </w:r>
            <w:r w:rsidRPr="000029F1">
              <w:rPr>
                <w:rFonts w:ascii="Arial" w:hAnsi="Arial" w:cs="Arial"/>
                <w:sz w:val="22"/>
                <w:szCs w:val="22"/>
                <w:vertAlign w:val="superscript"/>
              </w:rPr>
              <w:t>(d)</w:t>
            </w:r>
          </w:p>
        </w:tc>
        <w:tc>
          <w:tcPr>
            <w:tcW w:w="1559"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55,500</w:t>
            </w:r>
          </w:p>
        </w:tc>
        <w:tc>
          <w:tcPr>
            <w:tcW w:w="1418"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305,850</w:t>
            </w:r>
          </w:p>
        </w:tc>
      </w:tr>
      <w:tr w:rsidR="000029F1" w:rsidRPr="000029F1" w:rsidTr="000029F1">
        <w:trPr>
          <w:jc w:val="center"/>
        </w:trPr>
        <w:tc>
          <w:tcPr>
            <w:tcW w:w="1566" w:type="dxa"/>
          </w:tcPr>
          <w:p w:rsidR="000029F1" w:rsidRPr="000029F1" w:rsidRDefault="000029F1" w:rsidP="000029F1">
            <w:pPr>
              <w:rPr>
                <w:rFonts w:ascii="Arial" w:hAnsi="Arial" w:cs="Arial"/>
                <w:sz w:val="22"/>
                <w:szCs w:val="22"/>
              </w:rPr>
            </w:pPr>
            <w:r w:rsidRPr="000029F1">
              <w:rPr>
                <w:rFonts w:ascii="Arial" w:hAnsi="Arial" w:cs="Arial"/>
                <w:sz w:val="22"/>
                <w:szCs w:val="22"/>
              </w:rPr>
              <w:t>2015</w:t>
            </w:r>
          </w:p>
        </w:tc>
        <w:tc>
          <w:tcPr>
            <w:tcW w:w="1548"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126,818</w:t>
            </w:r>
          </w:p>
        </w:tc>
        <w:tc>
          <w:tcPr>
            <w:tcW w:w="1559"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132,361</w:t>
            </w:r>
          </w:p>
        </w:tc>
        <w:tc>
          <w:tcPr>
            <w:tcW w:w="1559"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55,500</w:t>
            </w:r>
          </w:p>
        </w:tc>
        <w:tc>
          <w:tcPr>
            <w:tcW w:w="1418"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314,679</w:t>
            </w:r>
          </w:p>
        </w:tc>
      </w:tr>
      <w:tr w:rsidR="000029F1" w:rsidRPr="000029F1" w:rsidTr="000029F1">
        <w:trPr>
          <w:jc w:val="center"/>
        </w:trPr>
        <w:tc>
          <w:tcPr>
            <w:tcW w:w="1566" w:type="dxa"/>
          </w:tcPr>
          <w:p w:rsidR="000029F1" w:rsidRPr="000029F1" w:rsidRDefault="000029F1" w:rsidP="000029F1">
            <w:pPr>
              <w:rPr>
                <w:rFonts w:ascii="Arial" w:hAnsi="Arial" w:cs="Arial"/>
                <w:sz w:val="22"/>
                <w:szCs w:val="22"/>
              </w:rPr>
            </w:pPr>
            <w:r w:rsidRPr="000029F1">
              <w:rPr>
                <w:rFonts w:ascii="Arial" w:hAnsi="Arial" w:cs="Arial"/>
                <w:sz w:val="22"/>
                <w:szCs w:val="22"/>
              </w:rPr>
              <w:t>2016</w:t>
            </w:r>
          </w:p>
        </w:tc>
        <w:tc>
          <w:tcPr>
            <w:tcW w:w="1548"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88,127</w:t>
            </w:r>
            <w:r w:rsidRPr="000029F1">
              <w:rPr>
                <w:rFonts w:ascii="Arial" w:hAnsi="Arial" w:cs="Arial"/>
                <w:sz w:val="22"/>
                <w:szCs w:val="22"/>
                <w:vertAlign w:val="superscript"/>
              </w:rPr>
              <w:t>(b)</w:t>
            </w:r>
          </w:p>
        </w:tc>
        <w:tc>
          <w:tcPr>
            <w:tcW w:w="1559"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135,749</w:t>
            </w:r>
          </w:p>
        </w:tc>
        <w:tc>
          <w:tcPr>
            <w:tcW w:w="1559"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55,500</w:t>
            </w:r>
          </w:p>
        </w:tc>
        <w:tc>
          <w:tcPr>
            <w:tcW w:w="1418"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279,376</w:t>
            </w:r>
          </w:p>
        </w:tc>
      </w:tr>
      <w:tr w:rsidR="000029F1" w:rsidRPr="000029F1" w:rsidTr="000029F1">
        <w:trPr>
          <w:jc w:val="center"/>
        </w:trPr>
        <w:tc>
          <w:tcPr>
            <w:tcW w:w="1566" w:type="dxa"/>
          </w:tcPr>
          <w:p w:rsidR="000029F1" w:rsidRPr="000029F1" w:rsidRDefault="000029F1" w:rsidP="000029F1">
            <w:pPr>
              <w:rPr>
                <w:rFonts w:ascii="Arial" w:hAnsi="Arial" w:cs="Arial"/>
                <w:sz w:val="22"/>
                <w:szCs w:val="22"/>
              </w:rPr>
            </w:pPr>
            <w:r w:rsidRPr="000029F1">
              <w:rPr>
                <w:rFonts w:ascii="Arial" w:hAnsi="Arial" w:cs="Arial"/>
                <w:sz w:val="22"/>
                <w:szCs w:val="22"/>
              </w:rPr>
              <w:t>2017</w:t>
            </w:r>
          </w:p>
        </w:tc>
        <w:tc>
          <w:tcPr>
            <w:tcW w:w="1548"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67,029</w:t>
            </w:r>
            <w:r w:rsidRPr="000029F1">
              <w:rPr>
                <w:rFonts w:ascii="Arial" w:hAnsi="Arial" w:cs="Arial"/>
                <w:sz w:val="22"/>
                <w:szCs w:val="22"/>
                <w:vertAlign w:val="superscript"/>
              </w:rPr>
              <w:t>(c</w:t>
            </w:r>
          </w:p>
        </w:tc>
        <w:tc>
          <w:tcPr>
            <w:tcW w:w="1559"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36,262</w:t>
            </w:r>
          </w:p>
        </w:tc>
        <w:tc>
          <w:tcPr>
            <w:tcW w:w="1559"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0</w:t>
            </w:r>
          </w:p>
        </w:tc>
        <w:tc>
          <w:tcPr>
            <w:tcW w:w="1418" w:type="dxa"/>
          </w:tcPr>
          <w:p w:rsidR="000029F1" w:rsidRPr="000029F1" w:rsidRDefault="000029F1" w:rsidP="000029F1">
            <w:pPr>
              <w:jc w:val="right"/>
              <w:rPr>
                <w:rFonts w:ascii="Arial" w:hAnsi="Arial" w:cs="Arial"/>
                <w:sz w:val="22"/>
                <w:szCs w:val="22"/>
              </w:rPr>
            </w:pPr>
            <w:r w:rsidRPr="000029F1">
              <w:rPr>
                <w:rFonts w:ascii="Arial" w:hAnsi="Arial" w:cs="Arial"/>
                <w:sz w:val="22"/>
                <w:szCs w:val="22"/>
              </w:rPr>
              <w:t>103,261</w:t>
            </w:r>
          </w:p>
        </w:tc>
      </w:tr>
      <w:tr w:rsidR="000029F1" w:rsidRPr="000029F1" w:rsidTr="000029F1">
        <w:trPr>
          <w:jc w:val="center"/>
        </w:trPr>
        <w:tc>
          <w:tcPr>
            <w:tcW w:w="1566" w:type="dxa"/>
            <w:shd w:val="clear" w:color="auto" w:fill="D9D9D9" w:themeFill="background1" w:themeFillShade="D9"/>
          </w:tcPr>
          <w:p w:rsidR="000029F1" w:rsidRPr="000029F1" w:rsidRDefault="000029F1" w:rsidP="000029F1">
            <w:pPr>
              <w:rPr>
                <w:rFonts w:ascii="Arial" w:hAnsi="Arial" w:cs="Arial"/>
                <w:sz w:val="22"/>
                <w:szCs w:val="22"/>
              </w:rPr>
            </w:pPr>
            <w:r w:rsidRPr="000029F1">
              <w:rPr>
                <w:rFonts w:ascii="Arial" w:hAnsi="Arial" w:cs="Arial"/>
                <w:sz w:val="22"/>
                <w:szCs w:val="22"/>
              </w:rPr>
              <w:t>Total</w:t>
            </w:r>
          </w:p>
        </w:tc>
        <w:tc>
          <w:tcPr>
            <w:tcW w:w="1548" w:type="dxa"/>
            <w:shd w:val="clear" w:color="auto" w:fill="D9D9D9" w:themeFill="background1" w:themeFillShade="D9"/>
          </w:tcPr>
          <w:p w:rsidR="000029F1" w:rsidRPr="000029F1" w:rsidRDefault="000029F1" w:rsidP="000029F1">
            <w:pPr>
              <w:jc w:val="right"/>
              <w:rPr>
                <w:rFonts w:ascii="Arial" w:hAnsi="Arial" w:cs="Arial"/>
                <w:sz w:val="22"/>
                <w:szCs w:val="22"/>
              </w:rPr>
            </w:pPr>
            <w:r w:rsidRPr="000029F1">
              <w:rPr>
                <w:rFonts w:ascii="Arial" w:hAnsi="Arial" w:cs="Arial"/>
                <w:sz w:val="22"/>
                <w:szCs w:val="22"/>
              </w:rPr>
              <w:t>404,057</w:t>
            </w:r>
          </w:p>
        </w:tc>
        <w:tc>
          <w:tcPr>
            <w:tcW w:w="1559" w:type="dxa"/>
            <w:shd w:val="clear" w:color="auto" w:fill="D9D9D9" w:themeFill="background1" w:themeFillShade="D9"/>
          </w:tcPr>
          <w:p w:rsidR="000029F1" w:rsidRPr="000029F1" w:rsidRDefault="000029F1" w:rsidP="000029F1">
            <w:pPr>
              <w:jc w:val="right"/>
              <w:rPr>
                <w:rFonts w:ascii="Arial" w:hAnsi="Arial" w:cs="Arial"/>
                <w:sz w:val="22"/>
                <w:szCs w:val="22"/>
              </w:rPr>
            </w:pPr>
            <w:r w:rsidRPr="000029F1">
              <w:rPr>
                <w:rFonts w:ascii="Arial" w:hAnsi="Arial" w:cs="Arial"/>
                <w:sz w:val="22"/>
                <w:szCs w:val="22"/>
              </w:rPr>
              <w:t>432,609</w:t>
            </w:r>
          </w:p>
        </w:tc>
        <w:tc>
          <w:tcPr>
            <w:tcW w:w="1559" w:type="dxa"/>
            <w:shd w:val="clear" w:color="auto" w:fill="D9D9D9" w:themeFill="background1" w:themeFillShade="D9"/>
          </w:tcPr>
          <w:p w:rsidR="000029F1" w:rsidRPr="000029F1" w:rsidRDefault="000029F1" w:rsidP="000029F1">
            <w:pPr>
              <w:jc w:val="right"/>
              <w:rPr>
                <w:rFonts w:ascii="Arial" w:hAnsi="Arial" w:cs="Arial"/>
                <w:sz w:val="22"/>
                <w:szCs w:val="22"/>
              </w:rPr>
            </w:pPr>
            <w:r w:rsidRPr="000029F1">
              <w:rPr>
                <w:rFonts w:ascii="Arial" w:hAnsi="Arial" w:cs="Arial"/>
                <w:sz w:val="22"/>
                <w:szCs w:val="22"/>
              </w:rPr>
              <w:t>166,500</w:t>
            </w:r>
          </w:p>
        </w:tc>
        <w:tc>
          <w:tcPr>
            <w:tcW w:w="1418" w:type="dxa"/>
            <w:shd w:val="clear" w:color="auto" w:fill="D9D9D9" w:themeFill="background1" w:themeFillShade="D9"/>
          </w:tcPr>
          <w:p w:rsidR="000029F1" w:rsidRPr="000029F1" w:rsidRDefault="000029F1" w:rsidP="000029F1">
            <w:pPr>
              <w:jc w:val="right"/>
              <w:rPr>
                <w:rFonts w:ascii="Arial" w:hAnsi="Arial" w:cs="Arial"/>
                <w:sz w:val="22"/>
                <w:szCs w:val="22"/>
              </w:rPr>
            </w:pPr>
            <w:r w:rsidRPr="000029F1">
              <w:rPr>
                <w:rFonts w:ascii="Arial" w:hAnsi="Arial" w:cs="Arial"/>
                <w:sz w:val="22"/>
                <w:szCs w:val="22"/>
              </w:rPr>
              <w:t>1,003,166</w:t>
            </w:r>
          </w:p>
        </w:tc>
      </w:tr>
    </w:tbl>
    <w:p w:rsidR="000D28B8" w:rsidRPr="00C1096A" w:rsidRDefault="000D28B8" w:rsidP="00B35480">
      <w:pPr>
        <w:pStyle w:val="ListParagraph"/>
        <w:rPr>
          <w:rFonts w:ascii="Arial" w:hAnsi="Arial" w:cs="Arial"/>
          <w:sz w:val="18"/>
        </w:rPr>
      </w:pPr>
      <w:r w:rsidRPr="00C1096A">
        <w:rPr>
          <w:rFonts w:ascii="Arial" w:hAnsi="Arial" w:cs="Arial"/>
          <w:sz w:val="18"/>
        </w:rPr>
        <w:t>Source: Project documentation (including original contract and subsequent variations) and input from PI Paul Grundy.</w:t>
      </w:r>
    </w:p>
    <w:p w:rsidR="000D28B8" w:rsidRPr="00C1096A" w:rsidRDefault="000D28B8" w:rsidP="000D5A34">
      <w:pPr>
        <w:pStyle w:val="ListParagraph"/>
        <w:numPr>
          <w:ilvl w:val="0"/>
          <w:numId w:val="27"/>
        </w:numPr>
        <w:spacing w:after="160" w:line="259" w:lineRule="auto"/>
        <w:rPr>
          <w:rFonts w:ascii="Arial" w:hAnsi="Arial" w:cs="Arial"/>
          <w:sz w:val="18"/>
        </w:rPr>
      </w:pPr>
      <w:r w:rsidRPr="00C1096A">
        <w:rPr>
          <w:rFonts w:ascii="Arial" w:hAnsi="Arial" w:cs="Arial"/>
          <w:sz w:val="18"/>
        </w:rPr>
        <w:t>Paul Grundy also managed a second project, DAQ1502, at Emerald. This project included partial funding for a technical officer who spent time on the DAQ1401 project. Investment cost figures for both DAF and CRDC in each year include the budgeted costs for the DAQ1401 contribution by the technical officer (cash and in-kind).</w:t>
      </w:r>
    </w:p>
    <w:p w:rsidR="000D28B8" w:rsidRPr="00C1096A" w:rsidRDefault="000D28B8" w:rsidP="000D5A34">
      <w:pPr>
        <w:pStyle w:val="ListParagraph"/>
        <w:numPr>
          <w:ilvl w:val="0"/>
          <w:numId w:val="27"/>
        </w:numPr>
        <w:spacing w:after="160" w:line="259" w:lineRule="auto"/>
        <w:rPr>
          <w:rFonts w:ascii="Arial" w:hAnsi="Arial" w:cs="Arial"/>
          <w:sz w:val="18"/>
        </w:rPr>
      </w:pPr>
      <w:r w:rsidRPr="00C1096A">
        <w:rPr>
          <w:rFonts w:ascii="Arial" w:hAnsi="Arial" w:cs="Arial"/>
          <w:sz w:val="18"/>
        </w:rPr>
        <w:t>DAF committed to providing an additional $20,000 to DAQ1401 for 2015/16 and CRDC decreased funding by $20,000 in 2015/16 (Schedule 1, Project Variation Executed Agreement, 18</w:t>
      </w:r>
      <w:r w:rsidRPr="00C1096A">
        <w:rPr>
          <w:rFonts w:ascii="Arial" w:hAnsi="Arial" w:cs="Arial"/>
          <w:sz w:val="18"/>
          <w:vertAlign w:val="superscript"/>
        </w:rPr>
        <w:t>th</w:t>
      </w:r>
      <w:r w:rsidRPr="00C1096A">
        <w:rPr>
          <w:rFonts w:ascii="Arial" w:hAnsi="Arial" w:cs="Arial"/>
          <w:sz w:val="18"/>
        </w:rPr>
        <w:t xml:space="preserve"> July 2016). The adjustment to the project was then returned by CRDC under a new capital purchase project.</w:t>
      </w:r>
    </w:p>
    <w:p w:rsidR="000D28B8" w:rsidRPr="00C1096A" w:rsidRDefault="000D28B8" w:rsidP="000D5A34">
      <w:pPr>
        <w:pStyle w:val="ListParagraph"/>
        <w:numPr>
          <w:ilvl w:val="0"/>
          <w:numId w:val="27"/>
        </w:numPr>
        <w:spacing w:after="160" w:line="259" w:lineRule="auto"/>
        <w:rPr>
          <w:rFonts w:ascii="Arial" w:hAnsi="Arial" w:cs="Arial"/>
          <w:sz w:val="18"/>
        </w:rPr>
      </w:pPr>
      <w:r w:rsidRPr="00C1096A">
        <w:rPr>
          <w:rFonts w:ascii="Arial" w:hAnsi="Arial" w:cs="Arial"/>
          <w:sz w:val="18"/>
        </w:rPr>
        <w:t>Projected was extended for 12 months with no additional funding. 2016/17 investment was carry-over of uncommitted funds (Item I, DAQ1401 CRDC Financial Statement for the year ending 30 June, 2016).</w:t>
      </w:r>
    </w:p>
    <w:p w:rsidR="000D28B8" w:rsidRPr="00C1096A" w:rsidRDefault="000D28B8" w:rsidP="000D5A34">
      <w:pPr>
        <w:pStyle w:val="ListParagraph"/>
        <w:numPr>
          <w:ilvl w:val="0"/>
          <w:numId w:val="27"/>
        </w:numPr>
        <w:spacing w:after="160" w:line="259" w:lineRule="auto"/>
        <w:rPr>
          <w:rFonts w:ascii="Arial" w:hAnsi="Arial" w:cs="Arial"/>
          <w:sz w:val="18"/>
        </w:rPr>
      </w:pPr>
      <w:r w:rsidRPr="00C1096A">
        <w:rPr>
          <w:rFonts w:ascii="Arial" w:hAnsi="Arial" w:cs="Arial"/>
          <w:sz w:val="18"/>
        </w:rPr>
        <w:t>Includes $11,000 for Major Capital Item “Biodegradable Film Layer” given project code DAQ1401C.</w:t>
      </w:r>
    </w:p>
    <w:p w:rsidR="000D28B8" w:rsidRPr="00AA726B" w:rsidRDefault="000D28B8" w:rsidP="00AA726B">
      <w:pPr>
        <w:spacing w:after="240"/>
        <w:rPr>
          <w:rFonts w:ascii="Arial" w:hAnsi="Arial" w:cs="Arial"/>
          <w:b/>
          <w:sz w:val="24"/>
        </w:rPr>
      </w:pPr>
      <w:bookmarkStart w:id="272" w:name="_Toc484441281"/>
      <w:bookmarkStart w:id="273" w:name="_Toc486145257"/>
      <w:r w:rsidRPr="00AA726B">
        <w:rPr>
          <w:rFonts w:ascii="Arial" w:hAnsi="Arial" w:cs="Arial"/>
          <w:b/>
          <w:sz w:val="24"/>
        </w:rPr>
        <w:t>Program Management Costs</w:t>
      </w:r>
      <w:bookmarkEnd w:id="272"/>
      <w:bookmarkEnd w:id="273"/>
    </w:p>
    <w:p w:rsidR="000D28B8" w:rsidRPr="00C1096A" w:rsidRDefault="000D28B8" w:rsidP="00B35480">
      <w:pPr>
        <w:rPr>
          <w:rFonts w:ascii="Arial" w:hAnsi="Arial" w:cs="Arial"/>
        </w:rPr>
      </w:pPr>
      <w:r w:rsidRPr="00C1096A">
        <w:rPr>
          <w:rFonts w:ascii="Arial" w:hAnsi="Arial" w:cs="Arial"/>
        </w:rPr>
        <w:t xml:space="preserve">For the DAF and other investment, the management and administration costs for the project are already built into the nominal $ amounts appearing in </w:t>
      </w:r>
      <w:r w:rsidRPr="00C1096A">
        <w:rPr>
          <w:rFonts w:ascii="Arial" w:hAnsi="Arial" w:cs="Arial"/>
        </w:rPr>
        <w:fldChar w:fldCharType="begin"/>
      </w:r>
      <w:r w:rsidRPr="00C1096A">
        <w:rPr>
          <w:rFonts w:ascii="Arial" w:hAnsi="Arial" w:cs="Arial"/>
        </w:rPr>
        <w:instrText xml:space="preserve"> REF _Ref479846661 \h </w:instrText>
      </w:r>
      <w:r w:rsidR="00C1096A">
        <w:rPr>
          <w:rFonts w:ascii="Arial" w:hAnsi="Arial" w:cs="Arial"/>
        </w:rPr>
        <w:instrText xml:space="preserve"> \* MERGEFORMAT </w:instrText>
      </w:r>
      <w:r w:rsidRPr="00C1096A">
        <w:rPr>
          <w:rFonts w:ascii="Arial" w:hAnsi="Arial" w:cs="Arial"/>
        </w:rPr>
      </w:r>
      <w:r w:rsidRPr="00C1096A">
        <w:rPr>
          <w:rFonts w:ascii="Arial" w:hAnsi="Arial" w:cs="Arial"/>
        </w:rPr>
        <w:fldChar w:fldCharType="separate"/>
      </w:r>
      <w:r w:rsidR="00DF217D" w:rsidRPr="00C1096A">
        <w:rPr>
          <w:rFonts w:ascii="Arial" w:hAnsi="Arial" w:cs="Arial"/>
        </w:rPr>
        <w:t xml:space="preserve">Table </w:t>
      </w:r>
      <w:r w:rsidRPr="00C1096A">
        <w:rPr>
          <w:rFonts w:ascii="Arial" w:hAnsi="Arial" w:cs="Arial"/>
        </w:rPr>
        <w:fldChar w:fldCharType="end"/>
      </w:r>
      <w:r w:rsidRPr="00C1096A">
        <w:rPr>
          <w:rFonts w:ascii="Arial" w:hAnsi="Arial" w:cs="Arial"/>
        </w:rPr>
        <w:t>. The salary multipliers that had been used (Wayne Hall, pers. comm., 2017) were:</w:t>
      </w:r>
    </w:p>
    <w:p w:rsidR="000D28B8" w:rsidRPr="00C1096A" w:rsidRDefault="000D28B8" w:rsidP="000F22FE">
      <w:pPr>
        <w:numPr>
          <w:ilvl w:val="0"/>
          <w:numId w:val="19"/>
        </w:numPr>
        <w:autoSpaceDE w:val="0"/>
        <w:autoSpaceDN w:val="0"/>
        <w:contextualSpacing/>
        <w:rPr>
          <w:rFonts w:ascii="Arial" w:eastAsia="Calibri" w:hAnsi="Arial" w:cs="Arial"/>
        </w:rPr>
      </w:pPr>
      <w:r w:rsidRPr="00C1096A">
        <w:rPr>
          <w:rFonts w:ascii="Arial" w:eastAsia="Calibri" w:hAnsi="Arial" w:cs="Arial"/>
          <w:lang w:eastAsia="en-AU"/>
        </w:rPr>
        <w:t xml:space="preserve">2.85 multiplier for salaries contributed by DAF </w:t>
      </w:r>
    </w:p>
    <w:p w:rsidR="000D28B8" w:rsidRPr="00C1096A" w:rsidRDefault="000D28B8" w:rsidP="000F22FE">
      <w:pPr>
        <w:numPr>
          <w:ilvl w:val="0"/>
          <w:numId w:val="19"/>
        </w:numPr>
        <w:autoSpaceDE w:val="0"/>
        <w:autoSpaceDN w:val="0"/>
        <w:spacing w:after="160"/>
        <w:contextualSpacing/>
        <w:rPr>
          <w:rFonts w:ascii="Arial" w:eastAsia="Calibri" w:hAnsi="Arial" w:cs="Arial"/>
        </w:rPr>
      </w:pPr>
      <w:r w:rsidRPr="00C1096A">
        <w:rPr>
          <w:rFonts w:ascii="Arial" w:eastAsia="Calibri" w:hAnsi="Arial" w:cs="Arial"/>
          <w:lang w:eastAsia="en-AU"/>
        </w:rPr>
        <w:t>1.85 multiplier for salaries paid for by other parties</w:t>
      </w:r>
    </w:p>
    <w:p w:rsidR="00C7408A" w:rsidRDefault="00C7408A" w:rsidP="00B35480">
      <w:pPr>
        <w:autoSpaceDE w:val="0"/>
        <w:autoSpaceDN w:val="0"/>
        <w:spacing w:before="240"/>
        <w:contextualSpacing/>
        <w:rPr>
          <w:rFonts w:ascii="Arial" w:eastAsia="Calibri" w:hAnsi="Arial" w:cs="Arial"/>
        </w:rPr>
      </w:pPr>
    </w:p>
    <w:p w:rsidR="005173A2" w:rsidRDefault="000D28B8" w:rsidP="005173A2">
      <w:pPr>
        <w:spacing w:after="240"/>
        <w:rPr>
          <w:rFonts w:ascii="Arial" w:hAnsi="Arial" w:cs="Arial"/>
        </w:rPr>
      </w:pPr>
      <w:r w:rsidRPr="00C1096A">
        <w:rPr>
          <w:rFonts w:ascii="Arial" w:eastAsia="Calibri" w:hAnsi="Arial" w:cs="Arial"/>
        </w:rPr>
        <w:t>For CRDC investment, the cost of managing the CRDC funding was added to the CRDC contribution via a management cost multiplier (1.1325);</w:t>
      </w:r>
      <w:r w:rsidRPr="00C1096A">
        <w:rPr>
          <w:rFonts w:ascii="Arial" w:hAnsi="Arial" w:cs="Arial"/>
        </w:rPr>
        <w:t xml:space="preserve"> this was estimated based on the average reported share of ‘employee benefits’ &amp; ‘supplier’ expenses in total CRDC expenditure for 2014/15 and 2015/16</w:t>
      </w:r>
      <w:r w:rsidRPr="00C1096A">
        <w:rPr>
          <w:rFonts w:ascii="Arial" w:hAnsi="Arial" w:cs="Arial"/>
          <w:noProof/>
        </w:rPr>
        <w:t xml:space="preserve"> (CRDC, 2016)</w:t>
      </w:r>
      <w:r w:rsidRPr="00C1096A">
        <w:rPr>
          <w:rFonts w:ascii="Arial" w:hAnsi="Arial" w:cs="Arial"/>
        </w:rPr>
        <w:t xml:space="preserve">. </w:t>
      </w:r>
      <w:bookmarkStart w:id="274" w:name="_Toc484441282"/>
      <w:bookmarkStart w:id="275" w:name="_Toc486145258"/>
    </w:p>
    <w:p w:rsidR="000D28B8" w:rsidRDefault="000D28B8" w:rsidP="005173A2">
      <w:pPr>
        <w:spacing w:after="240"/>
        <w:rPr>
          <w:rFonts w:ascii="Arial" w:hAnsi="Arial" w:cs="Arial"/>
          <w:b/>
          <w:sz w:val="24"/>
        </w:rPr>
      </w:pPr>
      <w:r w:rsidRPr="00AA726B">
        <w:rPr>
          <w:rFonts w:ascii="Arial" w:hAnsi="Arial" w:cs="Arial"/>
          <w:b/>
          <w:sz w:val="24"/>
        </w:rPr>
        <w:t>Real Investment and Extension Costs</w:t>
      </w:r>
      <w:bookmarkEnd w:id="274"/>
      <w:bookmarkEnd w:id="275"/>
    </w:p>
    <w:p w:rsidR="000D28B8" w:rsidRPr="00C1096A" w:rsidRDefault="000D28B8" w:rsidP="00B35480">
      <w:pPr>
        <w:rPr>
          <w:rFonts w:ascii="Arial" w:hAnsi="Arial" w:cs="Arial"/>
        </w:rPr>
      </w:pPr>
      <w:r w:rsidRPr="00C1096A">
        <w:rPr>
          <w:rFonts w:ascii="Arial" w:hAnsi="Arial" w:cs="Arial"/>
        </w:rPr>
        <w:t>For the purposes of the investment analysis, the investment costs of all parties were expressed in 2016/17 $ terms using the Implicit GDP Deflator index</w:t>
      </w:r>
      <w:r w:rsidRPr="00C1096A">
        <w:rPr>
          <w:rFonts w:ascii="Arial" w:hAnsi="Arial" w:cs="Arial"/>
          <w:noProof/>
        </w:rPr>
        <w:t xml:space="preserve"> (ABS, 2016)</w:t>
      </w:r>
      <w:r w:rsidRPr="00C1096A">
        <w:rPr>
          <w:rFonts w:ascii="Arial" w:hAnsi="Arial" w:cs="Arial"/>
        </w:rPr>
        <w:t>. No additional costs of extension were included as the project already encompassed an extension component and involved a high level of industry participation.</w:t>
      </w:r>
    </w:p>
    <w:p w:rsidR="00C7408A" w:rsidRDefault="00C7408A" w:rsidP="00C7408A">
      <w:bookmarkStart w:id="276" w:name="_Toc484441283"/>
      <w:bookmarkStart w:id="277" w:name="_Toc486145259"/>
      <w:bookmarkStart w:id="278" w:name="_Toc486145356"/>
      <w:bookmarkStart w:id="279" w:name="_Toc486146272"/>
    </w:p>
    <w:p w:rsidR="00C7408A" w:rsidRDefault="00C7408A">
      <w:pPr>
        <w:spacing w:line="276" w:lineRule="auto"/>
        <w:rPr>
          <w:rFonts w:ascii="Arial" w:hAnsi="Arial" w:cs="Arial"/>
          <w:b/>
          <w:sz w:val="40"/>
          <w:szCs w:val="40"/>
        </w:rPr>
      </w:pPr>
      <w:r>
        <w:br w:type="page"/>
      </w:r>
    </w:p>
    <w:p w:rsidR="000D28B8" w:rsidRPr="00C7408A" w:rsidRDefault="00C7408A" w:rsidP="00C7408A">
      <w:pPr>
        <w:spacing w:after="240"/>
        <w:rPr>
          <w:rFonts w:ascii="Arial" w:hAnsi="Arial" w:cs="Arial"/>
          <w:b/>
          <w:sz w:val="40"/>
          <w:szCs w:val="40"/>
        </w:rPr>
      </w:pPr>
      <w:r>
        <w:rPr>
          <w:rFonts w:ascii="Arial" w:hAnsi="Arial" w:cs="Arial"/>
          <w:b/>
          <w:sz w:val="40"/>
          <w:szCs w:val="40"/>
        </w:rPr>
        <w:t xml:space="preserve">5. </w:t>
      </w:r>
      <w:r w:rsidR="000D28B8" w:rsidRPr="00C7408A">
        <w:rPr>
          <w:rFonts w:ascii="Arial" w:hAnsi="Arial" w:cs="Arial"/>
          <w:b/>
          <w:sz w:val="40"/>
          <w:szCs w:val="40"/>
        </w:rPr>
        <w:t>Impacts</w:t>
      </w:r>
      <w:bookmarkEnd w:id="276"/>
      <w:bookmarkEnd w:id="277"/>
      <w:bookmarkEnd w:id="278"/>
      <w:bookmarkEnd w:id="279"/>
      <w:r w:rsidR="000D28B8" w:rsidRPr="00C7408A">
        <w:rPr>
          <w:rFonts w:ascii="Arial" w:hAnsi="Arial" w:cs="Arial"/>
          <w:b/>
          <w:sz w:val="40"/>
          <w:szCs w:val="40"/>
        </w:rPr>
        <w:t xml:space="preserve"> </w:t>
      </w:r>
    </w:p>
    <w:p w:rsidR="000D28B8" w:rsidRPr="00C1096A" w:rsidRDefault="000D28B8" w:rsidP="00B35480">
      <w:pPr>
        <w:rPr>
          <w:rFonts w:ascii="Arial" w:hAnsi="Arial" w:cs="Arial"/>
        </w:rPr>
      </w:pPr>
      <w:r w:rsidRPr="00C1096A">
        <w:rPr>
          <w:rFonts w:ascii="Arial" w:hAnsi="Arial" w:cs="Arial"/>
        </w:rPr>
        <w:t>The principal potential impacts from the positive results exhibited by the project for early planting of cotton crops include:</w:t>
      </w:r>
    </w:p>
    <w:p w:rsidR="000D28B8" w:rsidRPr="00C1096A" w:rsidRDefault="000D28B8" w:rsidP="000D5A34">
      <w:pPr>
        <w:pStyle w:val="ListParagraph"/>
        <w:numPr>
          <w:ilvl w:val="0"/>
          <w:numId w:val="26"/>
        </w:numPr>
        <w:spacing w:after="160" w:line="259" w:lineRule="auto"/>
        <w:ind w:left="463" w:hanging="426"/>
        <w:rPr>
          <w:rFonts w:ascii="Arial" w:hAnsi="Arial" w:cs="Arial"/>
        </w:rPr>
      </w:pPr>
      <w:r w:rsidRPr="00C1096A">
        <w:rPr>
          <w:rFonts w:ascii="Arial" w:hAnsi="Arial" w:cs="Arial"/>
        </w:rPr>
        <w:t>Increased average yields as a result of cotton crops in the Central Highlands being exposed to more favourable conditions during boll fill.</w:t>
      </w:r>
    </w:p>
    <w:p w:rsidR="000D28B8" w:rsidRPr="00C1096A" w:rsidRDefault="000D28B8" w:rsidP="000D5A34">
      <w:pPr>
        <w:pStyle w:val="ListParagraph"/>
        <w:numPr>
          <w:ilvl w:val="0"/>
          <w:numId w:val="26"/>
        </w:numPr>
        <w:spacing w:after="160" w:line="259" w:lineRule="auto"/>
        <w:ind w:left="463" w:hanging="426"/>
        <w:rPr>
          <w:rFonts w:ascii="Arial" w:hAnsi="Arial" w:cs="Arial"/>
        </w:rPr>
      </w:pPr>
      <w:r w:rsidRPr="00C1096A">
        <w:rPr>
          <w:rFonts w:ascii="Arial" w:hAnsi="Arial" w:cs="Arial"/>
        </w:rPr>
        <w:t>Avoided yield losses in years with severe weather events (e.g. flooding) occurring in February and March by bringing forward harvest to January or early February in the Central Highlands.</w:t>
      </w:r>
    </w:p>
    <w:p w:rsidR="000D28B8" w:rsidRPr="00C1096A" w:rsidRDefault="000D28B8" w:rsidP="000D5A34">
      <w:pPr>
        <w:pStyle w:val="ListParagraph"/>
        <w:numPr>
          <w:ilvl w:val="0"/>
          <w:numId w:val="26"/>
        </w:numPr>
        <w:spacing w:after="160" w:line="259" w:lineRule="auto"/>
        <w:ind w:left="463" w:hanging="426"/>
        <w:rPr>
          <w:rFonts w:ascii="Arial" w:hAnsi="Arial" w:cs="Arial"/>
        </w:rPr>
      </w:pPr>
      <w:r w:rsidRPr="00C1096A">
        <w:rPr>
          <w:rFonts w:ascii="Arial" w:hAnsi="Arial" w:cs="Arial"/>
        </w:rPr>
        <w:t>Reduced losses from quality discounts that result from cotton exposed to wet weather before harvest in some years by bringing forward harvest to January and early February in the Central Highlands.</w:t>
      </w:r>
    </w:p>
    <w:p w:rsidR="000D28B8" w:rsidRPr="00C1096A" w:rsidRDefault="000D28B8" w:rsidP="00C7408A">
      <w:pPr>
        <w:spacing w:after="240"/>
        <w:rPr>
          <w:rFonts w:ascii="Arial" w:hAnsi="Arial" w:cs="Arial"/>
        </w:rPr>
      </w:pPr>
      <w:r w:rsidRPr="00C1096A">
        <w:rPr>
          <w:rFonts w:ascii="Arial" w:hAnsi="Arial" w:cs="Arial"/>
        </w:rPr>
        <w:fldChar w:fldCharType="begin"/>
      </w:r>
      <w:r w:rsidRPr="00C1096A">
        <w:rPr>
          <w:rFonts w:ascii="Arial" w:hAnsi="Arial" w:cs="Arial"/>
        </w:rPr>
        <w:instrText xml:space="preserve"> REF _Ref479855143 \h </w:instrText>
      </w:r>
      <w:r w:rsidR="00C1096A">
        <w:rPr>
          <w:rFonts w:ascii="Arial" w:hAnsi="Arial" w:cs="Arial"/>
        </w:rPr>
        <w:instrText xml:space="preserve"> \* MERGEFORMAT </w:instrText>
      </w:r>
      <w:r w:rsidRPr="00C1096A">
        <w:rPr>
          <w:rFonts w:ascii="Arial" w:hAnsi="Arial" w:cs="Arial"/>
        </w:rPr>
      </w:r>
      <w:r w:rsidRPr="00C1096A">
        <w:rPr>
          <w:rFonts w:ascii="Arial" w:hAnsi="Arial" w:cs="Arial"/>
        </w:rPr>
        <w:fldChar w:fldCharType="separate"/>
      </w:r>
      <w:r w:rsidR="00DF217D" w:rsidRPr="00C1096A">
        <w:rPr>
          <w:rFonts w:ascii="Arial" w:hAnsi="Arial" w:cs="Arial"/>
        </w:rPr>
        <w:t xml:space="preserve">Table </w:t>
      </w:r>
      <w:r w:rsidRPr="00C1096A">
        <w:rPr>
          <w:rFonts w:ascii="Arial" w:hAnsi="Arial" w:cs="Arial"/>
        </w:rPr>
        <w:fldChar w:fldCharType="end"/>
      </w:r>
      <w:r w:rsidR="003147F5">
        <w:rPr>
          <w:rFonts w:ascii="Arial" w:hAnsi="Arial" w:cs="Arial"/>
        </w:rPr>
        <w:t xml:space="preserve">Table 3 </w:t>
      </w:r>
      <w:r w:rsidRPr="00C1096A">
        <w:rPr>
          <w:rFonts w:ascii="Arial" w:hAnsi="Arial" w:cs="Arial"/>
        </w:rPr>
        <w:t>provides a summary of the types of impacts categorised into economic, environmental and social impacts.</w:t>
      </w:r>
    </w:p>
    <w:p w:rsidR="000D28B8" w:rsidRPr="00C1096A" w:rsidRDefault="000D28B8" w:rsidP="00C7408A">
      <w:pPr>
        <w:spacing w:after="240"/>
        <w:jc w:val="center"/>
        <w:rPr>
          <w:rFonts w:ascii="Arial" w:hAnsi="Arial" w:cs="Arial"/>
        </w:rPr>
      </w:pPr>
      <w:bookmarkStart w:id="280" w:name="_Ref479855143"/>
      <w:bookmarkStart w:id="281" w:name="_Toc484441230"/>
      <w:r w:rsidRPr="00C1096A">
        <w:rPr>
          <w:rFonts w:ascii="Arial" w:hAnsi="Arial" w:cs="Arial"/>
        </w:rPr>
        <w:t xml:space="preserve">Table </w:t>
      </w:r>
      <w:bookmarkEnd w:id="280"/>
      <w:r w:rsidR="003147F5">
        <w:rPr>
          <w:rFonts w:ascii="Arial" w:hAnsi="Arial" w:cs="Arial"/>
        </w:rPr>
        <w:t>3</w:t>
      </w:r>
      <w:r w:rsidRPr="00C1096A">
        <w:rPr>
          <w:rFonts w:ascii="Arial" w:hAnsi="Arial" w:cs="Arial"/>
        </w:rPr>
        <w:t>: Triple Bottom Line Categories of Potential Impacts from DAQ1401</w:t>
      </w:r>
      <w:bookmarkEnd w:id="281"/>
    </w:p>
    <w:tbl>
      <w:tblPr>
        <w:tblStyle w:val="TableGrid"/>
        <w:tblW w:w="0" w:type="auto"/>
        <w:jc w:val="center"/>
        <w:tblLook w:val="04A0" w:firstRow="1" w:lastRow="0" w:firstColumn="1" w:lastColumn="0" w:noHBand="0" w:noVBand="1"/>
      </w:tblPr>
      <w:tblGrid>
        <w:gridCol w:w="1745"/>
        <w:gridCol w:w="6472"/>
      </w:tblGrid>
      <w:tr w:rsidR="000D28B8" w:rsidRPr="000029F1" w:rsidTr="00B35480">
        <w:trPr>
          <w:jc w:val="center"/>
        </w:trPr>
        <w:tc>
          <w:tcPr>
            <w:tcW w:w="1745" w:type="dxa"/>
          </w:tcPr>
          <w:p w:rsidR="000D28B8" w:rsidRPr="000029F1" w:rsidRDefault="000D28B8" w:rsidP="00B35480">
            <w:pPr>
              <w:pStyle w:val="ListParagraph"/>
              <w:suppressAutoHyphens/>
              <w:ind w:left="0"/>
              <w:contextualSpacing w:val="0"/>
              <w:rPr>
                <w:rFonts w:ascii="Arial" w:hAnsi="Arial" w:cs="Arial"/>
                <w:sz w:val="22"/>
                <w:szCs w:val="22"/>
              </w:rPr>
            </w:pPr>
            <w:r w:rsidRPr="000029F1">
              <w:rPr>
                <w:rFonts w:ascii="Arial" w:hAnsi="Arial" w:cs="Arial"/>
                <w:sz w:val="22"/>
                <w:szCs w:val="22"/>
              </w:rPr>
              <w:t>Economic</w:t>
            </w:r>
          </w:p>
        </w:tc>
        <w:tc>
          <w:tcPr>
            <w:tcW w:w="6472" w:type="dxa"/>
          </w:tcPr>
          <w:p w:rsidR="000D28B8" w:rsidRPr="000029F1" w:rsidRDefault="000D28B8" w:rsidP="000D5A34">
            <w:pPr>
              <w:pStyle w:val="ListParagraph"/>
              <w:numPr>
                <w:ilvl w:val="0"/>
                <w:numId w:val="26"/>
              </w:numPr>
              <w:ind w:left="463" w:hanging="426"/>
              <w:rPr>
                <w:rFonts w:ascii="Arial" w:hAnsi="Arial" w:cs="Arial"/>
                <w:sz w:val="22"/>
                <w:szCs w:val="22"/>
              </w:rPr>
            </w:pPr>
            <w:r w:rsidRPr="000029F1">
              <w:rPr>
                <w:rFonts w:ascii="Arial" w:hAnsi="Arial" w:cs="Arial"/>
                <w:sz w:val="22"/>
                <w:szCs w:val="22"/>
              </w:rPr>
              <w:t xml:space="preserve">Increased average yields through crops exposed to more favourable growing conditions and less variable yields. </w:t>
            </w:r>
          </w:p>
          <w:p w:rsidR="000D28B8" w:rsidRPr="000029F1" w:rsidRDefault="000D28B8" w:rsidP="000D5A34">
            <w:pPr>
              <w:pStyle w:val="ListParagraph"/>
              <w:numPr>
                <w:ilvl w:val="0"/>
                <w:numId w:val="26"/>
              </w:numPr>
              <w:ind w:left="463" w:hanging="426"/>
              <w:rPr>
                <w:rFonts w:ascii="Arial" w:hAnsi="Arial" w:cs="Arial"/>
                <w:sz w:val="22"/>
                <w:szCs w:val="22"/>
              </w:rPr>
            </w:pPr>
            <w:r w:rsidRPr="000029F1">
              <w:rPr>
                <w:rFonts w:ascii="Arial" w:hAnsi="Arial" w:cs="Arial"/>
                <w:sz w:val="22"/>
                <w:szCs w:val="22"/>
              </w:rPr>
              <w:t>Reduced harvest losses from severe weather events (e.g. floods).</w:t>
            </w:r>
          </w:p>
          <w:p w:rsidR="000D28B8" w:rsidRPr="000029F1" w:rsidRDefault="000D28B8" w:rsidP="000D5A34">
            <w:pPr>
              <w:pStyle w:val="ListParagraph"/>
              <w:numPr>
                <w:ilvl w:val="0"/>
                <w:numId w:val="26"/>
              </w:numPr>
              <w:ind w:left="463" w:hanging="426"/>
              <w:rPr>
                <w:rFonts w:ascii="Arial" w:hAnsi="Arial" w:cs="Arial"/>
                <w:sz w:val="22"/>
                <w:szCs w:val="22"/>
              </w:rPr>
            </w:pPr>
            <w:r w:rsidRPr="000029F1">
              <w:rPr>
                <w:rFonts w:ascii="Arial" w:hAnsi="Arial" w:cs="Arial"/>
                <w:sz w:val="22"/>
                <w:szCs w:val="22"/>
              </w:rPr>
              <w:t>Increased profitability for growers from reduced cotton quality discounts and opportunities to grow additional rotation crops.</w:t>
            </w:r>
          </w:p>
          <w:p w:rsidR="000D28B8" w:rsidRPr="000029F1" w:rsidRDefault="000D28B8" w:rsidP="000D5A34">
            <w:pPr>
              <w:pStyle w:val="ListParagraph"/>
              <w:numPr>
                <w:ilvl w:val="0"/>
                <w:numId w:val="26"/>
              </w:numPr>
              <w:ind w:left="463" w:hanging="426"/>
              <w:rPr>
                <w:rFonts w:ascii="Arial" w:hAnsi="Arial" w:cs="Arial"/>
                <w:sz w:val="22"/>
                <w:szCs w:val="22"/>
              </w:rPr>
            </w:pPr>
            <w:r w:rsidRPr="000029F1">
              <w:rPr>
                <w:rFonts w:ascii="Arial" w:hAnsi="Arial" w:cs="Arial"/>
                <w:sz w:val="22"/>
                <w:szCs w:val="22"/>
              </w:rPr>
              <w:t>Some increased input costs due to changed agronomic management practices.</w:t>
            </w:r>
          </w:p>
        </w:tc>
      </w:tr>
      <w:tr w:rsidR="000D28B8" w:rsidRPr="000029F1" w:rsidTr="00B35480">
        <w:trPr>
          <w:jc w:val="center"/>
        </w:trPr>
        <w:tc>
          <w:tcPr>
            <w:tcW w:w="1745" w:type="dxa"/>
          </w:tcPr>
          <w:p w:rsidR="000D28B8" w:rsidRPr="000029F1" w:rsidRDefault="000D28B8" w:rsidP="00B35480">
            <w:pPr>
              <w:pStyle w:val="ListParagraph"/>
              <w:suppressAutoHyphens/>
              <w:ind w:left="0"/>
              <w:contextualSpacing w:val="0"/>
              <w:rPr>
                <w:rFonts w:ascii="Arial" w:hAnsi="Arial" w:cs="Arial"/>
                <w:sz w:val="22"/>
                <w:szCs w:val="22"/>
              </w:rPr>
            </w:pPr>
            <w:r w:rsidRPr="000029F1">
              <w:rPr>
                <w:rFonts w:ascii="Arial" w:hAnsi="Arial" w:cs="Arial"/>
                <w:sz w:val="22"/>
                <w:szCs w:val="22"/>
              </w:rPr>
              <w:t>Environmental</w:t>
            </w:r>
          </w:p>
        </w:tc>
        <w:tc>
          <w:tcPr>
            <w:tcW w:w="6472" w:type="dxa"/>
          </w:tcPr>
          <w:p w:rsidR="000D28B8" w:rsidRPr="000029F1" w:rsidRDefault="000D28B8" w:rsidP="000D5A34">
            <w:pPr>
              <w:pStyle w:val="ListParagraph"/>
              <w:numPr>
                <w:ilvl w:val="0"/>
                <w:numId w:val="26"/>
              </w:numPr>
              <w:ind w:left="463" w:hanging="426"/>
              <w:rPr>
                <w:rFonts w:ascii="Arial" w:hAnsi="Arial" w:cs="Arial"/>
                <w:sz w:val="22"/>
                <w:szCs w:val="22"/>
              </w:rPr>
            </w:pPr>
            <w:r w:rsidRPr="000029F1">
              <w:rPr>
                <w:rFonts w:ascii="Arial" w:hAnsi="Arial" w:cs="Arial"/>
                <w:sz w:val="22"/>
                <w:szCs w:val="22"/>
              </w:rPr>
              <w:t>Increases in grower input use (e.g. nutrients, fungicides, water) to manage earlier planting and crops in the ground for longer periods resulting in potentially increased downstream impacts.</w:t>
            </w:r>
          </w:p>
        </w:tc>
      </w:tr>
      <w:tr w:rsidR="000D28B8" w:rsidRPr="000029F1" w:rsidTr="00B35480">
        <w:trPr>
          <w:jc w:val="center"/>
        </w:trPr>
        <w:tc>
          <w:tcPr>
            <w:tcW w:w="1745" w:type="dxa"/>
          </w:tcPr>
          <w:p w:rsidR="000D28B8" w:rsidRPr="000029F1" w:rsidRDefault="000D28B8" w:rsidP="00B35480">
            <w:pPr>
              <w:pStyle w:val="ListParagraph"/>
              <w:suppressAutoHyphens/>
              <w:ind w:left="0"/>
              <w:contextualSpacing w:val="0"/>
              <w:rPr>
                <w:rFonts w:ascii="Arial" w:hAnsi="Arial" w:cs="Arial"/>
                <w:sz w:val="22"/>
                <w:szCs w:val="22"/>
              </w:rPr>
            </w:pPr>
            <w:r w:rsidRPr="000029F1">
              <w:rPr>
                <w:rFonts w:ascii="Arial" w:hAnsi="Arial" w:cs="Arial"/>
                <w:sz w:val="22"/>
                <w:szCs w:val="22"/>
              </w:rPr>
              <w:t>Social</w:t>
            </w:r>
          </w:p>
        </w:tc>
        <w:tc>
          <w:tcPr>
            <w:tcW w:w="6472" w:type="dxa"/>
          </w:tcPr>
          <w:p w:rsidR="000D28B8" w:rsidRPr="000029F1" w:rsidRDefault="000D28B8" w:rsidP="000D5A34">
            <w:pPr>
              <w:pStyle w:val="ListParagraph"/>
              <w:numPr>
                <w:ilvl w:val="0"/>
                <w:numId w:val="26"/>
              </w:numPr>
              <w:ind w:left="463" w:hanging="426"/>
              <w:rPr>
                <w:rFonts w:ascii="Arial" w:hAnsi="Arial" w:cs="Arial"/>
                <w:sz w:val="22"/>
                <w:szCs w:val="22"/>
              </w:rPr>
            </w:pPr>
            <w:r w:rsidRPr="000029F1">
              <w:rPr>
                <w:rFonts w:ascii="Arial" w:hAnsi="Arial" w:cs="Arial"/>
                <w:sz w:val="22"/>
                <w:szCs w:val="22"/>
              </w:rPr>
              <w:t>Improved grower well-being through reduced stress in terms of crop management and less variable incomes.</w:t>
            </w:r>
          </w:p>
          <w:p w:rsidR="000D28B8" w:rsidRPr="000029F1" w:rsidRDefault="000D28B8" w:rsidP="000D5A34">
            <w:pPr>
              <w:pStyle w:val="ListParagraph"/>
              <w:numPr>
                <w:ilvl w:val="0"/>
                <w:numId w:val="26"/>
              </w:numPr>
              <w:ind w:left="463" w:hanging="426"/>
              <w:rPr>
                <w:rFonts w:ascii="Arial" w:hAnsi="Arial" w:cs="Arial"/>
                <w:sz w:val="22"/>
                <w:szCs w:val="22"/>
              </w:rPr>
            </w:pPr>
            <w:r w:rsidRPr="000029F1">
              <w:rPr>
                <w:rFonts w:ascii="Arial" w:hAnsi="Arial" w:cs="Arial"/>
                <w:sz w:val="22"/>
                <w:szCs w:val="22"/>
              </w:rPr>
              <w:t>Spill-over benefits in terms of regional community well-being from increased grower productivity and/or profitability.</w:t>
            </w:r>
          </w:p>
        </w:tc>
      </w:tr>
    </w:tbl>
    <w:p w:rsidR="000D28B8" w:rsidRDefault="000D28B8" w:rsidP="00B35480">
      <w:pPr>
        <w:pStyle w:val="ListParagraph"/>
        <w:suppressAutoHyphens/>
        <w:ind w:left="388"/>
        <w:contextualSpacing w:val="0"/>
        <w:rPr>
          <w:rFonts w:ascii="Arial" w:hAnsi="Arial" w:cs="Arial"/>
        </w:rPr>
      </w:pPr>
    </w:p>
    <w:p w:rsidR="005173A2" w:rsidRPr="00C1096A" w:rsidRDefault="005173A2" w:rsidP="00B35480">
      <w:pPr>
        <w:pStyle w:val="ListParagraph"/>
        <w:suppressAutoHyphens/>
        <w:ind w:left="388"/>
        <w:contextualSpacing w:val="0"/>
        <w:rPr>
          <w:rFonts w:ascii="Arial" w:hAnsi="Arial" w:cs="Arial"/>
        </w:rPr>
      </w:pPr>
    </w:p>
    <w:p w:rsidR="000D28B8" w:rsidRPr="005173A2" w:rsidRDefault="000D28B8" w:rsidP="005173A2">
      <w:pPr>
        <w:spacing w:after="240"/>
        <w:rPr>
          <w:rFonts w:ascii="Arial" w:hAnsi="Arial" w:cs="Arial"/>
          <w:b/>
          <w:sz w:val="24"/>
        </w:rPr>
      </w:pPr>
      <w:bookmarkStart w:id="282" w:name="_Toc484441284"/>
      <w:bookmarkStart w:id="283" w:name="_Toc486145260"/>
      <w:r w:rsidRPr="005173A2">
        <w:rPr>
          <w:rFonts w:ascii="Arial" w:hAnsi="Arial" w:cs="Arial"/>
          <w:b/>
          <w:sz w:val="24"/>
        </w:rPr>
        <w:t>Public versus Private Impacts</w:t>
      </w:r>
      <w:bookmarkEnd w:id="282"/>
      <w:bookmarkEnd w:id="283"/>
      <w:r w:rsidRPr="005173A2">
        <w:rPr>
          <w:rFonts w:ascii="Arial" w:hAnsi="Arial" w:cs="Arial"/>
          <w:b/>
          <w:sz w:val="24"/>
        </w:rPr>
        <w:t xml:space="preserve"> </w:t>
      </w:r>
    </w:p>
    <w:p w:rsidR="000D28B8" w:rsidRPr="00C1096A" w:rsidRDefault="000D28B8" w:rsidP="00C7408A">
      <w:pPr>
        <w:spacing w:after="240"/>
        <w:rPr>
          <w:rFonts w:ascii="Arial" w:hAnsi="Arial" w:cs="Arial"/>
        </w:rPr>
      </w:pPr>
      <w:r w:rsidRPr="00C1096A">
        <w:rPr>
          <w:rFonts w:ascii="Arial" w:hAnsi="Arial" w:cs="Arial"/>
        </w:rPr>
        <w:t>Most impacts identified in this evaluation are industry related and therefore the benefits are considered private benefits. Some minor public benefits have been delivered, including a social benefit in the form of community spill-overs.</w:t>
      </w:r>
    </w:p>
    <w:p w:rsidR="000D28B8" w:rsidRPr="005173A2" w:rsidRDefault="000D28B8" w:rsidP="005173A2">
      <w:pPr>
        <w:spacing w:after="240"/>
        <w:rPr>
          <w:rFonts w:ascii="Arial" w:hAnsi="Arial" w:cs="Arial"/>
          <w:b/>
          <w:sz w:val="24"/>
        </w:rPr>
      </w:pPr>
      <w:bookmarkStart w:id="284" w:name="_Toc484441285"/>
      <w:bookmarkStart w:id="285" w:name="_Toc486145261"/>
      <w:r w:rsidRPr="005173A2">
        <w:rPr>
          <w:rFonts w:ascii="Arial" w:hAnsi="Arial" w:cs="Arial"/>
          <w:b/>
          <w:sz w:val="24"/>
        </w:rPr>
        <w:t>Distribution of Private Impacts</w:t>
      </w:r>
      <w:bookmarkEnd w:id="284"/>
      <w:bookmarkEnd w:id="285"/>
      <w:r w:rsidRPr="005173A2">
        <w:rPr>
          <w:rFonts w:ascii="Arial" w:hAnsi="Arial" w:cs="Arial"/>
          <w:b/>
          <w:sz w:val="24"/>
        </w:rPr>
        <w:t xml:space="preserve"> </w:t>
      </w:r>
    </w:p>
    <w:p w:rsidR="000D28B8" w:rsidRPr="00C1096A" w:rsidRDefault="000D28B8" w:rsidP="00B35480">
      <w:pPr>
        <w:rPr>
          <w:rFonts w:ascii="Arial" w:hAnsi="Arial" w:cs="Arial"/>
        </w:rPr>
      </w:pPr>
      <w:r w:rsidRPr="00C1096A">
        <w:rPr>
          <w:rFonts w:ascii="Arial" w:hAnsi="Arial" w:cs="Arial"/>
        </w:rPr>
        <w:t xml:space="preserve">The primary beneficiaries of the findings for tactics leading to early flowering of cotton crops in the Central Highlands will be the Central Highland cotton growers. </w:t>
      </w:r>
    </w:p>
    <w:p w:rsidR="000D28B8" w:rsidRDefault="000D28B8" w:rsidP="00C7408A">
      <w:pPr>
        <w:spacing w:after="240"/>
        <w:rPr>
          <w:rFonts w:ascii="Arial" w:hAnsi="Arial" w:cs="Arial"/>
        </w:rPr>
      </w:pPr>
      <w:r w:rsidRPr="00C1096A">
        <w:rPr>
          <w:rFonts w:ascii="Arial" w:hAnsi="Arial" w:cs="Arial"/>
        </w:rPr>
        <w:t xml:space="preserve">It can be assumed that the distribution of the benefits from the project findings will be distributed between participants along the commercial supply chains, including final consumers.  </w:t>
      </w:r>
    </w:p>
    <w:p w:rsidR="000029F1" w:rsidRPr="00C1096A" w:rsidRDefault="000029F1" w:rsidP="00C7408A">
      <w:pPr>
        <w:spacing w:after="240"/>
        <w:rPr>
          <w:rFonts w:ascii="Arial" w:hAnsi="Arial" w:cs="Arial"/>
        </w:rPr>
      </w:pPr>
    </w:p>
    <w:p w:rsidR="000D28B8" w:rsidRPr="005173A2" w:rsidRDefault="000D28B8" w:rsidP="005173A2">
      <w:pPr>
        <w:spacing w:after="240"/>
        <w:rPr>
          <w:rFonts w:ascii="Arial" w:hAnsi="Arial" w:cs="Arial"/>
          <w:b/>
          <w:sz w:val="24"/>
        </w:rPr>
      </w:pPr>
      <w:bookmarkStart w:id="286" w:name="_Toc484441286"/>
      <w:bookmarkStart w:id="287" w:name="_Toc486145262"/>
      <w:r w:rsidRPr="005173A2">
        <w:rPr>
          <w:rFonts w:ascii="Arial" w:hAnsi="Arial" w:cs="Arial"/>
          <w:b/>
          <w:sz w:val="24"/>
        </w:rPr>
        <w:t>Impacts on other Australian industries</w:t>
      </w:r>
      <w:bookmarkEnd w:id="286"/>
      <w:bookmarkEnd w:id="287"/>
    </w:p>
    <w:p w:rsidR="000D28B8" w:rsidRDefault="000D28B8" w:rsidP="00C7408A">
      <w:pPr>
        <w:spacing w:after="240"/>
        <w:rPr>
          <w:rFonts w:ascii="Arial" w:hAnsi="Arial" w:cs="Arial"/>
          <w:color w:val="000000" w:themeColor="text1"/>
        </w:rPr>
      </w:pPr>
      <w:r w:rsidRPr="00C1096A">
        <w:rPr>
          <w:rFonts w:ascii="Arial" w:hAnsi="Arial" w:cs="Arial"/>
          <w:color w:val="000000" w:themeColor="text1"/>
        </w:rPr>
        <w:t xml:space="preserve">It is assumed that project impacts will be confined to the Australian, Central Highlands cotton industry. </w:t>
      </w:r>
      <w:r w:rsidRPr="00C7408A">
        <w:rPr>
          <w:rFonts w:ascii="Arial" w:hAnsi="Arial" w:cs="Arial"/>
        </w:rPr>
        <w:t>Other</w:t>
      </w:r>
      <w:r w:rsidRPr="00C1096A">
        <w:rPr>
          <w:rFonts w:ascii="Arial" w:hAnsi="Arial" w:cs="Arial"/>
          <w:color w:val="000000" w:themeColor="text1"/>
        </w:rPr>
        <w:t xml:space="preserve"> cotton industries are not likely to benefit (e.g. New South Wales).</w:t>
      </w:r>
    </w:p>
    <w:p w:rsidR="000D28B8" w:rsidRPr="005173A2" w:rsidRDefault="000D28B8" w:rsidP="005173A2">
      <w:pPr>
        <w:spacing w:after="240"/>
        <w:rPr>
          <w:rFonts w:ascii="Arial" w:hAnsi="Arial" w:cs="Arial"/>
          <w:b/>
          <w:sz w:val="24"/>
        </w:rPr>
      </w:pPr>
      <w:bookmarkStart w:id="288" w:name="_Toc484441287"/>
      <w:bookmarkStart w:id="289" w:name="_Toc486145263"/>
      <w:r w:rsidRPr="005173A2">
        <w:rPr>
          <w:rFonts w:ascii="Arial" w:hAnsi="Arial" w:cs="Arial"/>
          <w:b/>
          <w:sz w:val="24"/>
        </w:rPr>
        <w:t>Impacts Overseas</w:t>
      </w:r>
      <w:bookmarkEnd w:id="288"/>
      <w:bookmarkEnd w:id="289"/>
      <w:r w:rsidRPr="005173A2">
        <w:rPr>
          <w:rFonts w:ascii="Arial" w:hAnsi="Arial" w:cs="Arial"/>
          <w:b/>
          <w:sz w:val="24"/>
        </w:rPr>
        <w:t xml:space="preserve"> </w:t>
      </w:r>
    </w:p>
    <w:p w:rsidR="000D28B8" w:rsidRPr="00C1096A" w:rsidRDefault="000D28B8" w:rsidP="00C7408A">
      <w:pPr>
        <w:spacing w:after="240"/>
        <w:rPr>
          <w:rFonts w:ascii="Arial" w:hAnsi="Arial" w:cs="Arial"/>
          <w:b/>
          <w:color w:val="000000" w:themeColor="text1"/>
        </w:rPr>
      </w:pPr>
      <w:r w:rsidRPr="00C1096A">
        <w:rPr>
          <w:rFonts w:ascii="Arial" w:hAnsi="Arial" w:cs="Arial"/>
          <w:color w:val="000000" w:themeColor="text1"/>
        </w:rPr>
        <w:t xml:space="preserve">No impacts to overseas cotton industries are expected. </w:t>
      </w:r>
    </w:p>
    <w:p w:rsidR="000D28B8" w:rsidRPr="005173A2" w:rsidRDefault="000D28B8" w:rsidP="005173A2">
      <w:pPr>
        <w:spacing w:after="240"/>
        <w:rPr>
          <w:rFonts w:ascii="Arial" w:hAnsi="Arial" w:cs="Arial"/>
          <w:b/>
          <w:sz w:val="24"/>
        </w:rPr>
      </w:pPr>
      <w:bookmarkStart w:id="290" w:name="_Toc484441288"/>
      <w:bookmarkStart w:id="291" w:name="_Toc486145264"/>
      <w:r w:rsidRPr="005173A2">
        <w:rPr>
          <w:rFonts w:ascii="Arial" w:hAnsi="Arial" w:cs="Arial"/>
          <w:b/>
          <w:sz w:val="24"/>
        </w:rPr>
        <w:t>Match with National and State Priorities</w:t>
      </w:r>
      <w:bookmarkEnd w:id="290"/>
      <w:bookmarkEnd w:id="291"/>
    </w:p>
    <w:p w:rsidR="000D28B8" w:rsidRPr="00C1096A" w:rsidRDefault="000D28B8" w:rsidP="00C7408A">
      <w:pPr>
        <w:spacing w:after="240"/>
        <w:rPr>
          <w:rFonts w:ascii="Arial" w:hAnsi="Arial" w:cs="Arial"/>
          <w:bCs/>
          <w:lang w:val="en-GB"/>
        </w:rPr>
      </w:pPr>
      <w:r w:rsidRPr="00C1096A">
        <w:rPr>
          <w:rFonts w:ascii="Arial" w:hAnsi="Arial" w:cs="Arial"/>
          <w:bCs/>
          <w:lang w:val="en-GB"/>
        </w:rPr>
        <w:t>The Australian Government’s Science and Research Priorities and Rural Research, Development and Extension (RD&amp;E) priorities are reproduced in</w:t>
      </w:r>
      <w:r w:rsidR="003147F5">
        <w:rPr>
          <w:rFonts w:ascii="Arial" w:hAnsi="Arial" w:cs="Arial"/>
          <w:bCs/>
          <w:lang w:val="en-GB"/>
        </w:rPr>
        <w:t xml:space="preserve"> Table 4</w:t>
      </w:r>
      <w:r w:rsidRPr="00C1096A">
        <w:rPr>
          <w:rFonts w:ascii="Arial" w:hAnsi="Arial" w:cs="Arial"/>
          <w:bCs/>
          <w:lang w:val="en-GB"/>
        </w:rPr>
        <w:t xml:space="preserve">. The research into tactics to enable early </w:t>
      </w:r>
      <w:r w:rsidRPr="00C7408A">
        <w:rPr>
          <w:rFonts w:ascii="Arial" w:hAnsi="Arial" w:cs="Arial"/>
          <w:color w:val="000000" w:themeColor="text1"/>
        </w:rPr>
        <w:t>flowering</w:t>
      </w:r>
      <w:r w:rsidRPr="00C1096A">
        <w:rPr>
          <w:rFonts w:ascii="Arial" w:hAnsi="Arial" w:cs="Arial"/>
          <w:bCs/>
          <w:lang w:val="en-GB"/>
        </w:rPr>
        <w:t xml:space="preserve"> and harvest of cotton crops in the Queensland Central Highlands contributes primarily to Rural RD&amp;E Priorities 3 and 4 and to Science and Research Priority 1.</w:t>
      </w:r>
    </w:p>
    <w:p w:rsidR="000D28B8" w:rsidRPr="00C1096A" w:rsidRDefault="000D28B8" w:rsidP="00C7408A">
      <w:pPr>
        <w:spacing w:after="240"/>
        <w:jc w:val="center"/>
        <w:rPr>
          <w:rFonts w:ascii="Arial" w:hAnsi="Arial" w:cs="Arial"/>
        </w:rPr>
      </w:pPr>
      <w:bookmarkStart w:id="292" w:name="_Ref479855787"/>
      <w:bookmarkStart w:id="293" w:name="_Toc484441231"/>
      <w:r w:rsidRPr="00C1096A">
        <w:rPr>
          <w:rFonts w:ascii="Arial" w:hAnsi="Arial" w:cs="Arial"/>
        </w:rPr>
        <w:t xml:space="preserve">Table </w:t>
      </w:r>
      <w:bookmarkEnd w:id="292"/>
      <w:r w:rsidR="003147F5">
        <w:rPr>
          <w:rFonts w:ascii="Arial" w:hAnsi="Arial" w:cs="Arial"/>
        </w:rPr>
        <w:t>4</w:t>
      </w:r>
      <w:r w:rsidRPr="00C1096A">
        <w:rPr>
          <w:rFonts w:ascii="Arial" w:hAnsi="Arial" w:cs="Arial"/>
        </w:rPr>
        <w:t>: Australian Government Research Priorities</w:t>
      </w:r>
      <w:bookmarkEnd w:id="293"/>
    </w:p>
    <w:tbl>
      <w:tblPr>
        <w:tblStyle w:val="TableGrid"/>
        <w:tblW w:w="0" w:type="auto"/>
        <w:tblInd w:w="704" w:type="dxa"/>
        <w:tblLook w:val="04A0" w:firstRow="1" w:lastRow="0" w:firstColumn="1" w:lastColumn="0" w:noHBand="0" w:noVBand="1"/>
      </w:tblPr>
      <w:tblGrid>
        <w:gridCol w:w="3804"/>
        <w:gridCol w:w="3851"/>
      </w:tblGrid>
      <w:tr w:rsidR="000029F1" w:rsidRPr="000029F1" w:rsidTr="00EB01F3">
        <w:tc>
          <w:tcPr>
            <w:tcW w:w="7655" w:type="dxa"/>
            <w:gridSpan w:val="2"/>
          </w:tcPr>
          <w:p w:rsidR="000029F1" w:rsidRPr="000029F1" w:rsidRDefault="000029F1" w:rsidP="00B35480">
            <w:pPr>
              <w:jc w:val="center"/>
              <w:rPr>
                <w:rFonts w:ascii="Arial" w:hAnsi="Arial" w:cs="Arial"/>
                <w:b/>
                <w:sz w:val="22"/>
                <w:szCs w:val="22"/>
              </w:rPr>
            </w:pPr>
            <w:r w:rsidRPr="000029F1">
              <w:rPr>
                <w:rFonts w:ascii="Arial" w:hAnsi="Arial" w:cs="Arial"/>
                <w:b/>
                <w:sz w:val="22"/>
                <w:szCs w:val="22"/>
              </w:rPr>
              <w:t>Australian Government</w:t>
            </w:r>
          </w:p>
        </w:tc>
      </w:tr>
      <w:tr w:rsidR="000D28B8" w:rsidRPr="000029F1" w:rsidTr="00B35480">
        <w:tc>
          <w:tcPr>
            <w:tcW w:w="3804" w:type="dxa"/>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Rural RD&amp;E Priorities</w:t>
            </w:r>
            <w:r w:rsidRPr="000029F1">
              <w:rPr>
                <w:rFonts w:ascii="Arial" w:hAnsi="Arial" w:cs="Arial"/>
                <w:b/>
                <w:sz w:val="22"/>
                <w:szCs w:val="22"/>
                <w:vertAlign w:val="superscript"/>
              </w:rPr>
              <w:t>(a)</w:t>
            </w:r>
            <w:r w:rsidRPr="000029F1">
              <w:rPr>
                <w:rFonts w:ascii="Arial" w:hAnsi="Arial" w:cs="Arial"/>
                <w:b/>
                <w:sz w:val="22"/>
                <w:szCs w:val="22"/>
              </w:rPr>
              <w:t xml:space="preserve"> </w:t>
            </w:r>
          </w:p>
          <w:p w:rsidR="000D28B8" w:rsidRPr="000029F1" w:rsidRDefault="000D28B8" w:rsidP="00B35480">
            <w:pPr>
              <w:jc w:val="center"/>
              <w:rPr>
                <w:rFonts w:ascii="Arial" w:hAnsi="Arial" w:cs="Arial"/>
                <w:b/>
                <w:sz w:val="22"/>
                <w:szCs w:val="22"/>
              </w:rPr>
            </w:pPr>
            <w:r w:rsidRPr="000029F1">
              <w:rPr>
                <w:rFonts w:ascii="Arial" w:hAnsi="Arial" w:cs="Arial"/>
                <w:b/>
                <w:sz w:val="22"/>
                <w:szCs w:val="22"/>
              </w:rPr>
              <w:t>(est. 2015)</w:t>
            </w:r>
          </w:p>
        </w:tc>
        <w:tc>
          <w:tcPr>
            <w:tcW w:w="3851" w:type="dxa"/>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Science and Research Priorities</w:t>
            </w:r>
            <w:r w:rsidRPr="000029F1">
              <w:rPr>
                <w:rFonts w:ascii="Arial" w:hAnsi="Arial" w:cs="Arial"/>
                <w:b/>
                <w:sz w:val="22"/>
                <w:szCs w:val="22"/>
                <w:vertAlign w:val="superscript"/>
              </w:rPr>
              <w:t>(b)</w:t>
            </w:r>
            <w:r w:rsidRPr="000029F1">
              <w:rPr>
                <w:rFonts w:ascii="Arial" w:hAnsi="Arial" w:cs="Arial"/>
                <w:b/>
                <w:sz w:val="22"/>
                <w:szCs w:val="22"/>
              </w:rPr>
              <w:t xml:space="preserve"> </w:t>
            </w:r>
          </w:p>
          <w:p w:rsidR="000D28B8" w:rsidRPr="000029F1" w:rsidRDefault="000D28B8" w:rsidP="00B35480">
            <w:pPr>
              <w:jc w:val="center"/>
              <w:rPr>
                <w:rFonts w:ascii="Arial" w:hAnsi="Arial" w:cs="Arial"/>
                <w:b/>
                <w:sz w:val="22"/>
                <w:szCs w:val="22"/>
              </w:rPr>
            </w:pPr>
            <w:r w:rsidRPr="000029F1">
              <w:rPr>
                <w:rFonts w:ascii="Arial" w:hAnsi="Arial" w:cs="Arial"/>
                <w:b/>
                <w:sz w:val="22"/>
                <w:szCs w:val="22"/>
              </w:rPr>
              <w:t>(est. 2015)</w:t>
            </w:r>
          </w:p>
        </w:tc>
      </w:tr>
      <w:tr w:rsidR="000D28B8" w:rsidRPr="000029F1" w:rsidTr="00B35480">
        <w:tc>
          <w:tcPr>
            <w:tcW w:w="3804" w:type="dxa"/>
          </w:tcPr>
          <w:p w:rsidR="000D28B8" w:rsidRPr="000029F1" w:rsidRDefault="000D28B8" w:rsidP="000D5A34">
            <w:pPr>
              <w:pStyle w:val="ListParagraph"/>
              <w:numPr>
                <w:ilvl w:val="0"/>
                <w:numId w:val="75"/>
              </w:numPr>
              <w:ind w:left="458"/>
              <w:rPr>
                <w:rFonts w:ascii="Arial" w:hAnsi="Arial" w:cs="Arial"/>
                <w:sz w:val="22"/>
                <w:szCs w:val="22"/>
              </w:rPr>
            </w:pPr>
            <w:r w:rsidRPr="000029F1">
              <w:rPr>
                <w:rFonts w:ascii="Arial" w:hAnsi="Arial" w:cs="Arial"/>
                <w:sz w:val="22"/>
                <w:szCs w:val="22"/>
              </w:rPr>
              <w:t xml:space="preserve">Advanced technology </w:t>
            </w:r>
          </w:p>
          <w:p w:rsidR="000D28B8" w:rsidRPr="000029F1" w:rsidRDefault="000D28B8" w:rsidP="000D5A34">
            <w:pPr>
              <w:pStyle w:val="ListParagraph"/>
              <w:numPr>
                <w:ilvl w:val="0"/>
                <w:numId w:val="75"/>
              </w:numPr>
              <w:ind w:left="459"/>
              <w:rPr>
                <w:rFonts w:ascii="Arial" w:hAnsi="Arial" w:cs="Arial"/>
                <w:sz w:val="22"/>
                <w:szCs w:val="22"/>
              </w:rPr>
            </w:pPr>
            <w:r w:rsidRPr="000029F1">
              <w:rPr>
                <w:rFonts w:ascii="Arial" w:hAnsi="Arial" w:cs="Arial"/>
                <w:sz w:val="22"/>
                <w:szCs w:val="22"/>
              </w:rPr>
              <w:t>Biosecurity</w:t>
            </w:r>
          </w:p>
          <w:p w:rsidR="000D28B8" w:rsidRPr="000029F1" w:rsidRDefault="000D28B8" w:rsidP="000D5A34">
            <w:pPr>
              <w:pStyle w:val="ListParagraph"/>
              <w:numPr>
                <w:ilvl w:val="0"/>
                <w:numId w:val="75"/>
              </w:numPr>
              <w:ind w:left="459"/>
              <w:rPr>
                <w:rFonts w:ascii="Arial" w:hAnsi="Arial" w:cs="Arial"/>
                <w:sz w:val="22"/>
                <w:szCs w:val="22"/>
              </w:rPr>
            </w:pPr>
            <w:r w:rsidRPr="000029F1">
              <w:rPr>
                <w:rFonts w:ascii="Arial" w:hAnsi="Arial" w:cs="Arial"/>
                <w:sz w:val="22"/>
                <w:szCs w:val="22"/>
              </w:rPr>
              <w:t>Soil, water and managing natural resources</w:t>
            </w:r>
          </w:p>
          <w:p w:rsidR="000D28B8" w:rsidRPr="000029F1" w:rsidRDefault="000D28B8" w:rsidP="000D5A34">
            <w:pPr>
              <w:pStyle w:val="ListParagraph"/>
              <w:numPr>
                <w:ilvl w:val="0"/>
                <w:numId w:val="75"/>
              </w:numPr>
              <w:ind w:left="459"/>
              <w:rPr>
                <w:rFonts w:ascii="Arial" w:hAnsi="Arial" w:cs="Arial"/>
                <w:sz w:val="22"/>
                <w:szCs w:val="22"/>
              </w:rPr>
            </w:pPr>
            <w:r w:rsidRPr="000029F1">
              <w:rPr>
                <w:rFonts w:ascii="Arial" w:hAnsi="Arial" w:cs="Arial"/>
                <w:sz w:val="22"/>
                <w:szCs w:val="22"/>
              </w:rPr>
              <w:t>Adoption of R&amp;D</w:t>
            </w:r>
          </w:p>
        </w:tc>
        <w:tc>
          <w:tcPr>
            <w:tcW w:w="3851" w:type="dxa"/>
          </w:tcPr>
          <w:p w:rsidR="000D28B8" w:rsidRPr="000029F1" w:rsidRDefault="000D28B8" w:rsidP="000D5A34">
            <w:pPr>
              <w:pStyle w:val="ListParagraph"/>
              <w:numPr>
                <w:ilvl w:val="0"/>
                <w:numId w:val="76"/>
              </w:numPr>
              <w:ind w:left="483"/>
              <w:rPr>
                <w:rFonts w:ascii="Arial" w:hAnsi="Arial" w:cs="Arial"/>
                <w:sz w:val="22"/>
                <w:szCs w:val="22"/>
              </w:rPr>
            </w:pPr>
            <w:r w:rsidRPr="000029F1">
              <w:rPr>
                <w:rFonts w:ascii="Arial" w:hAnsi="Arial" w:cs="Arial"/>
                <w:sz w:val="22"/>
                <w:szCs w:val="22"/>
              </w:rPr>
              <w:t>Food</w:t>
            </w:r>
          </w:p>
          <w:p w:rsidR="000D28B8" w:rsidRPr="000029F1" w:rsidRDefault="000D28B8" w:rsidP="000D5A34">
            <w:pPr>
              <w:pStyle w:val="ListParagraph"/>
              <w:numPr>
                <w:ilvl w:val="0"/>
                <w:numId w:val="76"/>
              </w:numPr>
              <w:ind w:left="482"/>
              <w:rPr>
                <w:rFonts w:ascii="Arial" w:hAnsi="Arial" w:cs="Arial"/>
                <w:sz w:val="22"/>
                <w:szCs w:val="22"/>
              </w:rPr>
            </w:pPr>
            <w:r w:rsidRPr="000029F1">
              <w:rPr>
                <w:rFonts w:ascii="Arial" w:hAnsi="Arial" w:cs="Arial"/>
                <w:sz w:val="22"/>
                <w:szCs w:val="22"/>
              </w:rPr>
              <w:t xml:space="preserve">Soil and Water </w:t>
            </w:r>
          </w:p>
          <w:p w:rsidR="000D28B8" w:rsidRPr="000029F1" w:rsidRDefault="000D28B8" w:rsidP="000D5A34">
            <w:pPr>
              <w:pStyle w:val="ListParagraph"/>
              <w:numPr>
                <w:ilvl w:val="0"/>
                <w:numId w:val="76"/>
              </w:numPr>
              <w:ind w:left="482"/>
              <w:rPr>
                <w:rFonts w:ascii="Arial" w:hAnsi="Arial" w:cs="Arial"/>
                <w:sz w:val="22"/>
                <w:szCs w:val="22"/>
              </w:rPr>
            </w:pPr>
            <w:r w:rsidRPr="000029F1">
              <w:rPr>
                <w:rFonts w:ascii="Arial" w:hAnsi="Arial" w:cs="Arial"/>
                <w:sz w:val="22"/>
                <w:szCs w:val="22"/>
              </w:rPr>
              <w:t>Transport</w:t>
            </w:r>
          </w:p>
          <w:p w:rsidR="000D28B8" w:rsidRPr="000029F1" w:rsidRDefault="000D28B8" w:rsidP="000D5A34">
            <w:pPr>
              <w:pStyle w:val="ListParagraph"/>
              <w:numPr>
                <w:ilvl w:val="0"/>
                <w:numId w:val="76"/>
              </w:numPr>
              <w:ind w:left="482"/>
              <w:rPr>
                <w:rFonts w:ascii="Arial" w:hAnsi="Arial" w:cs="Arial"/>
                <w:sz w:val="22"/>
                <w:szCs w:val="22"/>
              </w:rPr>
            </w:pPr>
            <w:r w:rsidRPr="000029F1">
              <w:rPr>
                <w:rFonts w:ascii="Arial" w:hAnsi="Arial" w:cs="Arial"/>
                <w:sz w:val="22"/>
                <w:szCs w:val="22"/>
              </w:rPr>
              <w:t xml:space="preserve">Cybersecurity </w:t>
            </w:r>
          </w:p>
          <w:p w:rsidR="000D28B8" w:rsidRPr="000029F1" w:rsidRDefault="000D28B8" w:rsidP="000D5A34">
            <w:pPr>
              <w:pStyle w:val="ListParagraph"/>
              <w:numPr>
                <w:ilvl w:val="0"/>
                <w:numId w:val="76"/>
              </w:numPr>
              <w:ind w:left="482"/>
              <w:rPr>
                <w:rFonts w:ascii="Arial" w:hAnsi="Arial" w:cs="Arial"/>
                <w:sz w:val="22"/>
                <w:szCs w:val="22"/>
              </w:rPr>
            </w:pPr>
            <w:r w:rsidRPr="000029F1">
              <w:rPr>
                <w:rFonts w:ascii="Arial" w:hAnsi="Arial" w:cs="Arial"/>
                <w:sz w:val="22"/>
                <w:szCs w:val="22"/>
              </w:rPr>
              <w:t xml:space="preserve">Energy and Resources </w:t>
            </w:r>
          </w:p>
          <w:p w:rsidR="000D28B8" w:rsidRPr="000029F1" w:rsidRDefault="000D28B8" w:rsidP="000D5A34">
            <w:pPr>
              <w:pStyle w:val="ListParagraph"/>
              <w:numPr>
                <w:ilvl w:val="0"/>
                <w:numId w:val="76"/>
              </w:numPr>
              <w:ind w:left="482"/>
              <w:rPr>
                <w:rFonts w:ascii="Arial" w:hAnsi="Arial" w:cs="Arial"/>
                <w:sz w:val="22"/>
                <w:szCs w:val="22"/>
              </w:rPr>
            </w:pPr>
            <w:r w:rsidRPr="000029F1">
              <w:rPr>
                <w:rFonts w:ascii="Arial" w:hAnsi="Arial" w:cs="Arial"/>
                <w:sz w:val="22"/>
                <w:szCs w:val="22"/>
              </w:rPr>
              <w:t xml:space="preserve">Manufacturing </w:t>
            </w:r>
          </w:p>
          <w:p w:rsidR="000D28B8" w:rsidRPr="000029F1" w:rsidRDefault="000D28B8" w:rsidP="000D5A34">
            <w:pPr>
              <w:pStyle w:val="ListParagraph"/>
              <w:numPr>
                <w:ilvl w:val="0"/>
                <w:numId w:val="76"/>
              </w:numPr>
              <w:ind w:left="482"/>
              <w:rPr>
                <w:rFonts w:ascii="Arial" w:hAnsi="Arial" w:cs="Arial"/>
                <w:sz w:val="22"/>
                <w:szCs w:val="22"/>
              </w:rPr>
            </w:pPr>
            <w:r w:rsidRPr="000029F1">
              <w:rPr>
                <w:rFonts w:ascii="Arial" w:hAnsi="Arial" w:cs="Arial"/>
                <w:sz w:val="22"/>
                <w:szCs w:val="22"/>
              </w:rPr>
              <w:t>Environmental Change</w:t>
            </w:r>
          </w:p>
          <w:p w:rsidR="000D28B8" w:rsidRPr="000029F1" w:rsidRDefault="000D28B8" w:rsidP="000D5A34">
            <w:pPr>
              <w:pStyle w:val="ListParagraph"/>
              <w:keepNext/>
              <w:numPr>
                <w:ilvl w:val="0"/>
                <w:numId w:val="76"/>
              </w:numPr>
              <w:ind w:left="482"/>
              <w:rPr>
                <w:rFonts w:ascii="Arial" w:hAnsi="Arial" w:cs="Arial"/>
                <w:sz w:val="22"/>
                <w:szCs w:val="22"/>
              </w:rPr>
            </w:pPr>
            <w:r w:rsidRPr="000029F1">
              <w:rPr>
                <w:rFonts w:ascii="Arial" w:hAnsi="Arial" w:cs="Arial"/>
                <w:sz w:val="22"/>
                <w:szCs w:val="22"/>
              </w:rPr>
              <w:t>Health</w:t>
            </w:r>
          </w:p>
        </w:tc>
      </w:tr>
    </w:tbl>
    <w:p w:rsidR="000D28B8" w:rsidRPr="00C1096A" w:rsidRDefault="000D28B8" w:rsidP="00B35480">
      <w:pPr>
        <w:pStyle w:val="Table"/>
        <w:ind w:left="709"/>
        <w:jc w:val="left"/>
        <w:rPr>
          <w:rFonts w:ascii="Arial" w:hAnsi="Arial"/>
          <w:sz w:val="18"/>
          <w:szCs w:val="18"/>
          <w:lang w:val="en-GB"/>
        </w:rPr>
      </w:pPr>
      <w:r w:rsidRPr="00C1096A">
        <w:rPr>
          <w:rFonts w:ascii="Arial" w:hAnsi="Arial"/>
          <w:sz w:val="18"/>
          <w:szCs w:val="18"/>
          <w:lang w:val="en-GB"/>
        </w:rPr>
        <w:t>(a)</w:t>
      </w:r>
      <w:r w:rsidRPr="00C1096A">
        <w:rPr>
          <w:rFonts w:ascii="Arial" w:hAnsi="Arial"/>
          <w:noProof/>
          <w:sz w:val="18"/>
          <w:szCs w:val="18"/>
        </w:rPr>
        <w:t xml:space="preserve"> Source: Commonwealth of Australia (2015)</w:t>
      </w:r>
    </w:p>
    <w:p w:rsidR="000D28B8" w:rsidRPr="00C1096A" w:rsidRDefault="000D28B8" w:rsidP="00B35480">
      <w:pPr>
        <w:pStyle w:val="Table"/>
        <w:ind w:left="709"/>
        <w:jc w:val="left"/>
        <w:rPr>
          <w:rFonts w:ascii="Arial" w:hAnsi="Arial"/>
          <w:sz w:val="18"/>
          <w:szCs w:val="18"/>
          <w:lang w:val="en-GB"/>
        </w:rPr>
      </w:pPr>
      <w:r w:rsidRPr="00C1096A">
        <w:rPr>
          <w:rFonts w:ascii="Arial" w:hAnsi="Arial"/>
          <w:sz w:val="18"/>
          <w:szCs w:val="18"/>
          <w:lang w:val="en-GB"/>
        </w:rPr>
        <w:t xml:space="preserve">(b) Source: </w:t>
      </w:r>
      <w:r w:rsidRPr="00C1096A">
        <w:rPr>
          <w:rFonts w:ascii="Arial" w:hAnsi="Arial"/>
          <w:noProof/>
          <w:sz w:val="18"/>
          <w:szCs w:val="18"/>
        </w:rPr>
        <w:t>Office of the Chief Scientist (2015)</w:t>
      </w:r>
    </w:p>
    <w:p w:rsidR="003147F5" w:rsidRDefault="000D28B8" w:rsidP="000029F1">
      <w:pPr>
        <w:spacing w:before="240" w:after="240"/>
        <w:rPr>
          <w:rFonts w:ascii="Arial" w:hAnsi="Arial" w:cs="Arial"/>
          <w:bCs/>
          <w:lang w:val="en-GB"/>
        </w:rPr>
      </w:pPr>
      <w:r w:rsidRPr="00C1096A">
        <w:rPr>
          <w:rFonts w:ascii="Arial" w:hAnsi="Arial" w:cs="Arial"/>
          <w:bCs/>
          <w:lang w:val="en-GB"/>
        </w:rPr>
        <w:t xml:space="preserve">The Queensland Government’s Science and Research Priorities, together with the four decision rules for investment that guide evaluation, prioritisation and decision making around future investment are reproduced in </w:t>
      </w:r>
      <w:r w:rsidR="003147F5">
        <w:rPr>
          <w:rFonts w:ascii="Arial" w:hAnsi="Arial" w:cs="Arial"/>
          <w:bCs/>
          <w:lang w:val="en-GB"/>
        </w:rPr>
        <w:t>Table 5.</w:t>
      </w:r>
    </w:p>
    <w:p w:rsidR="000D28B8" w:rsidRDefault="000D28B8" w:rsidP="00C7408A">
      <w:pPr>
        <w:spacing w:after="240"/>
        <w:rPr>
          <w:rFonts w:ascii="Arial" w:hAnsi="Arial" w:cs="Arial"/>
          <w:bCs/>
          <w:lang w:val="en-GB"/>
        </w:rPr>
      </w:pPr>
      <w:r w:rsidRPr="00C1096A">
        <w:rPr>
          <w:rFonts w:ascii="Arial" w:hAnsi="Arial" w:cs="Arial"/>
          <w:bCs/>
          <w:lang w:val="en-GB"/>
        </w:rPr>
        <w:t>Project DAQ1401 addressed Queensland Science and Research Priorities 1 and 6. In terms of the guides to investment, the project is likely to have a real future impact through improved confidence in cotton planting practices. The project was supported and funded by others external to the Queensland Government and had a distinctive angle as the Queensland cotton industry will be the primary recipient of the impacts.</w:t>
      </w:r>
      <w:bookmarkStart w:id="294" w:name="_Ref479856478"/>
    </w:p>
    <w:p w:rsidR="000029F1" w:rsidRDefault="000029F1" w:rsidP="00C7408A">
      <w:pPr>
        <w:spacing w:after="240"/>
        <w:rPr>
          <w:rFonts w:ascii="Arial" w:hAnsi="Arial" w:cs="Arial"/>
          <w:bCs/>
          <w:lang w:val="en-GB"/>
        </w:rPr>
      </w:pPr>
    </w:p>
    <w:p w:rsidR="000029F1" w:rsidRDefault="000029F1" w:rsidP="00C7408A">
      <w:pPr>
        <w:spacing w:after="240"/>
        <w:rPr>
          <w:rFonts w:ascii="Arial" w:hAnsi="Arial" w:cs="Arial"/>
          <w:bCs/>
          <w:lang w:val="en-GB"/>
        </w:rPr>
      </w:pPr>
    </w:p>
    <w:p w:rsidR="000029F1" w:rsidRDefault="000029F1" w:rsidP="00C7408A">
      <w:pPr>
        <w:spacing w:after="240"/>
        <w:rPr>
          <w:rFonts w:ascii="Arial" w:hAnsi="Arial" w:cs="Arial"/>
          <w:bCs/>
          <w:lang w:val="en-GB"/>
        </w:rPr>
      </w:pPr>
    </w:p>
    <w:p w:rsidR="000029F1" w:rsidRDefault="000029F1" w:rsidP="00C7408A">
      <w:pPr>
        <w:spacing w:after="240"/>
        <w:rPr>
          <w:rFonts w:ascii="Arial" w:hAnsi="Arial" w:cs="Arial"/>
          <w:bCs/>
          <w:lang w:val="en-GB"/>
        </w:rPr>
      </w:pPr>
    </w:p>
    <w:p w:rsidR="000029F1" w:rsidRDefault="000029F1" w:rsidP="00C7408A">
      <w:pPr>
        <w:spacing w:after="240"/>
        <w:rPr>
          <w:rFonts w:ascii="Arial" w:hAnsi="Arial" w:cs="Arial"/>
          <w:bCs/>
          <w:lang w:val="en-GB"/>
        </w:rPr>
      </w:pPr>
    </w:p>
    <w:p w:rsidR="000029F1" w:rsidRPr="003147F5" w:rsidRDefault="000029F1" w:rsidP="00C7408A">
      <w:pPr>
        <w:spacing w:after="240"/>
        <w:rPr>
          <w:rFonts w:ascii="Arial" w:hAnsi="Arial" w:cs="Arial"/>
        </w:rPr>
      </w:pPr>
    </w:p>
    <w:p w:rsidR="000D28B8" w:rsidRPr="00C1096A" w:rsidRDefault="000D28B8" w:rsidP="00C7408A">
      <w:pPr>
        <w:spacing w:after="240"/>
        <w:jc w:val="center"/>
        <w:rPr>
          <w:rFonts w:ascii="Arial" w:hAnsi="Arial" w:cs="Arial"/>
        </w:rPr>
      </w:pPr>
      <w:bookmarkStart w:id="295" w:name="_Toc484441232"/>
      <w:r w:rsidRPr="00C1096A">
        <w:rPr>
          <w:rFonts w:ascii="Arial" w:hAnsi="Arial" w:cs="Arial"/>
        </w:rPr>
        <w:t xml:space="preserve">Table </w:t>
      </w:r>
      <w:bookmarkEnd w:id="294"/>
      <w:r w:rsidR="003147F5">
        <w:rPr>
          <w:rFonts w:ascii="Arial" w:hAnsi="Arial" w:cs="Arial"/>
        </w:rPr>
        <w:t>5</w:t>
      </w:r>
      <w:r w:rsidRPr="00C1096A">
        <w:rPr>
          <w:rFonts w:ascii="Arial" w:hAnsi="Arial" w:cs="Arial"/>
        </w:rPr>
        <w:t>: Queensland Government Research Priorities</w:t>
      </w:r>
      <w:bookmarkEnd w:id="295"/>
    </w:p>
    <w:tbl>
      <w:tblPr>
        <w:tblStyle w:val="TableGrid"/>
        <w:tblW w:w="9498" w:type="dxa"/>
        <w:jc w:val="center"/>
        <w:tblLook w:val="04A0" w:firstRow="1" w:lastRow="0" w:firstColumn="1" w:lastColumn="0" w:noHBand="0" w:noVBand="1"/>
      </w:tblPr>
      <w:tblGrid>
        <w:gridCol w:w="5529"/>
        <w:gridCol w:w="3969"/>
      </w:tblGrid>
      <w:tr w:rsidR="000029F1" w:rsidRPr="00C7408A" w:rsidTr="00EB01F3">
        <w:trPr>
          <w:jc w:val="center"/>
        </w:trPr>
        <w:tc>
          <w:tcPr>
            <w:tcW w:w="9498" w:type="dxa"/>
            <w:gridSpan w:val="2"/>
          </w:tcPr>
          <w:p w:rsidR="000029F1" w:rsidRPr="000029F1" w:rsidRDefault="000029F1" w:rsidP="00C7408A">
            <w:pPr>
              <w:jc w:val="center"/>
              <w:rPr>
                <w:rFonts w:ascii="Arial" w:hAnsi="Arial" w:cs="Arial"/>
                <w:b/>
                <w:sz w:val="22"/>
                <w:szCs w:val="22"/>
              </w:rPr>
            </w:pPr>
            <w:r>
              <w:rPr>
                <w:rFonts w:ascii="Arial" w:hAnsi="Arial" w:cs="Arial"/>
                <w:b/>
                <w:sz w:val="22"/>
                <w:szCs w:val="22"/>
              </w:rPr>
              <w:t>Queensland Government</w:t>
            </w:r>
          </w:p>
        </w:tc>
      </w:tr>
      <w:tr w:rsidR="000D28B8" w:rsidRPr="00C7408A" w:rsidTr="00B35480">
        <w:trPr>
          <w:jc w:val="center"/>
        </w:trPr>
        <w:tc>
          <w:tcPr>
            <w:tcW w:w="5529" w:type="dxa"/>
          </w:tcPr>
          <w:p w:rsidR="000D28B8" w:rsidRPr="00C7408A" w:rsidRDefault="000D28B8" w:rsidP="00B35480">
            <w:pPr>
              <w:jc w:val="center"/>
              <w:rPr>
                <w:rFonts w:ascii="Arial" w:hAnsi="Arial" w:cs="Arial"/>
                <w:b/>
                <w:sz w:val="22"/>
                <w:szCs w:val="22"/>
              </w:rPr>
            </w:pPr>
            <w:r w:rsidRPr="00C7408A">
              <w:rPr>
                <w:rFonts w:ascii="Arial" w:hAnsi="Arial" w:cs="Arial"/>
                <w:b/>
                <w:sz w:val="22"/>
                <w:szCs w:val="22"/>
              </w:rPr>
              <w:t>Science and Research Priorities</w:t>
            </w:r>
          </w:p>
        </w:tc>
        <w:tc>
          <w:tcPr>
            <w:tcW w:w="3969" w:type="dxa"/>
          </w:tcPr>
          <w:p w:rsidR="000D28B8" w:rsidRPr="00C7408A" w:rsidRDefault="00C7408A" w:rsidP="00C7408A">
            <w:pPr>
              <w:jc w:val="center"/>
              <w:rPr>
                <w:rFonts w:ascii="Arial" w:hAnsi="Arial" w:cs="Arial"/>
                <w:b/>
                <w:sz w:val="22"/>
                <w:szCs w:val="22"/>
              </w:rPr>
            </w:pPr>
            <w:r>
              <w:rPr>
                <w:rFonts w:ascii="Arial" w:hAnsi="Arial" w:cs="Arial"/>
                <w:b/>
                <w:sz w:val="22"/>
                <w:szCs w:val="22"/>
              </w:rPr>
              <w:t>Investment Decision Rule Guides</w:t>
            </w:r>
          </w:p>
        </w:tc>
      </w:tr>
      <w:tr w:rsidR="000D28B8" w:rsidRPr="00C7408A" w:rsidTr="00B35480">
        <w:trPr>
          <w:jc w:val="center"/>
        </w:trPr>
        <w:tc>
          <w:tcPr>
            <w:tcW w:w="5529" w:type="dxa"/>
          </w:tcPr>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 xml:space="preserve">Delivering productivity growth </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Growing knowledge intensive services</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Protecting biodiversity and heritage, both marine and terrestrial</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Cleaner and renewable energy technologies</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Ensuring sustainability of physical and especially digital infrastructure critical for research</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Building resilience and managing climate risk</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Supporting the translation of health and biotechnology research</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Improving health data management and services delivery</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Ensuring sustainable water use and delivering quality water and water security</w:t>
            </w:r>
          </w:p>
          <w:p w:rsidR="000D28B8" w:rsidRPr="00C7408A" w:rsidRDefault="000D28B8" w:rsidP="000D5A34">
            <w:pPr>
              <w:pStyle w:val="ListParagraph"/>
              <w:numPr>
                <w:ilvl w:val="0"/>
                <w:numId w:val="28"/>
              </w:numPr>
              <w:ind w:left="452"/>
              <w:rPr>
                <w:rFonts w:ascii="Arial" w:hAnsi="Arial" w:cs="Arial"/>
                <w:sz w:val="22"/>
                <w:szCs w:val="22"/>
              </w:rPr>
            </w:pPr>
            <w:r w:rsidRPr="00C7408A">
              <w:rPr>
                <w:rFonts w:ascii="Arial" w:hAnsi="Arial" w:cs="Arial"/>
                <w:sz w:val="22"/>
                <w:szCs w:val="22"/>
              </w:rPr>
              <w:t xml:space="preserve">The development and application of digitally-enabled technologies. </w:t>
            </w:r>
          </w:p>
        </w:tc>
        <w:tc>
          <w:tcPr>
            <w:tcW w:w="3969" w:type="dxa"/>
          </w:tcPr>
          <w:p w:rsidR="000D28B8" w:rsidRPr="00C7408A" w:rsidRDefault="000D28B8" w:rsidP="000D5A34">
            <w:pPr>
              <w:pStyle w:val="ListParagraph"/>
              <w:numPr>
                <w:ilvl w:val="0"/>
                <w:numId w:val="29"/>
              </w:numPr>
              <w:ind w:left="454"/>
              <w:rPr>
                <w:rFonts w:ascii="Arial" w:hAnsi="Arial" w:cs="Arial"/>
                <w:sz w:val="22"/>
                <w:szCs w:val="22"/>
              </w:rPr>
            </w:pPr>
            <w:r w:rsidRPr="00C7408A">
              <w:rPr>
                <w:rFonts w:ascii="Arial" w:hAnsi="Arial" w:cs="Arial"/>
                <w:sz w:val="22"/>
                <w:szCs w:val="22"/>
              </w:rPr>
              <w:t>Real Future Impact</w:t>
            </w:r>
          </w:p>
          <w:p w:rsidR="000D28B8" w:rsidRPr="00C7408A" w:rsidRDefault="000D28B8" w:rsidP="000D5A34">
            <w:pPr>
              <w:pStyle w:val="ListParagraph"/>
              <w:numPr>
                <w:ilvl w:val="0"/>
                <w:numId w:val="29"/>
              </w:numPr>
              <w:ind w:left="454"/>
              <w:rPr>
                <w:rFonts w:ascii="Arial" w:hAnsi="Arial" w:cs="Arial"/>
                <w:sz w:val="22"/>
                <w:szCs w:val="22"/>
              </w:rPr>
            </w:pPr>
            <w:r w:rsidRPr="00C7408A">
              <w:rPr>
                <w:rFonts w:ascii="Arial" w:hAnsi="Arial" w:cs="Arial"/>
                <w:sz w:val="22"/>
                <w:szCs w:val="22"/>
              </w:rPr>
              <w:t xml:space="preserve">External Commitment </w:t>
            </w:r>
          </w:p>
          <w:p w:rsidR="000D28B8" w:rsidRPr="00C7408A" w:rsidRDefault="000D28B8" w:rsidP="000D5A34">
            <w:pPr>
              <w:pStyle w:val="ListParagraph"/>
              <w:numPr>
                <w:ilvl w:val="0"/>
                <w:numId w:val="29"/>
              </w:numPr>
              <w:ind w:left="454"/>
              <w:rPr>
                <w:rFonts w:ascii="Arial" w:hAnsi="Arial" w:cs="Arial"/>
                <w:sz w:val="22"/>
                <w:szCs w:val="22"/>
              </w:rPr>
            </w:pPr>
            <w:r w:rsidRPr="00C7408A">
              <w:rPr>
                <w:rFonts w:ascii="Arial" w:hAnsi="Arial" w:cs="Arial"/>
                <w:sz w:val="22"/>
                <w:szCs w:val="22"/>
              </w:rPr>
              <w:t>Distinctive Angle</w:t>
            </w:r>
          </w:p>
          <w:p w:rsidR="000D28B8" w:rsidRPr="00C7408A" w:rsidRDefault="000D28B8" w:rsidP="000D5A34">
            <w:pPr>
              <w:pStyle w:val="ListParagraph"/>
              <w:numPr>
                <w:ilvl w:val="0"/>
                <w:numId w:val="29"/>
              </w:numPr>
              <w:ind w:left="454"/>
              <w:rPr>
                <w:rFonts w:ascii="Arial" w:hAnsi="Arial" w:cs="Arial"/>
                <w:sz w:val="22"/>
                <w:szCs w:val="22"/>
              </w:rPr>
            </w:pPr>
            <w:r w:rsidRPr="00C7408A">
              <w:rPr>
                <w:rFonts w:ascii="Arial" w:hAnsi="Arial" w:cs="Arial"/>
                <w:sz w:val="22"/>
                <w:szCs w:val="22"/>
              </w:rPr>
              <w:t xml:space="preserve">Scaling towards Critical Mass  </w:t>
            </w:r>
          </w:p>
        </w:tc>
      </w:tr>
    </w:tbl>
    <w:p w:rsidR="000D28B8" w:rsidRDefault="000D28B8" w:rsidP="00B35480">
      <w:pPr>
        <w:rPr>
          <w:rFonts w:ascii="Arial" w:hAnsi="Arial" w:cs="Arial"/>
          <w:sz w:val="18"/>
          <w:szCs w:val="18"/>
          <w:lang w:val="en-GB"/>
        </w:rPr>
      </w:pPr>
      <w:r w:rsidRPr="00C1096A">
        <w:rPr>
          <w:rFonts w:ascii="Arial" w:hAnsi="Arial" w:cs="Arial"/>
          <w:sz w:val="18"/>
          <w:szCs w:val="18"/>
          <w:lang w:val="en-GB"/>
        </w:rPr>
        <w:t>Source: Office of the Chief Scientist Queensland (2015)</w:t>
      </w:r>
    </w:p>
    <w:p w:rsidR="000029F1" w:rsidRDefault="000029F1" w:rsidP="000029F1">
      <w:pPr>
        <w:rPr>
          <w:lang w:val="en-GB"/>
        </w:rPr>
      </w:pPr>
    </w:p>
    <w:p w:rsidR="000029F1" w:rsidRDefault="000029F1" w:rsidP="000029F1">
      <w:pPr>
        <w:rPr>
          <w:lang w:val="en-GB"/>
        </w:rPr>
      </w:pPr>
    </w:p>
    <w:p w:rsidR="000D28B8" w:rsidRPr="00C7408A" w:rsidRDefault="00C7408A" w:rsidP="00C7408A">
      <w:pPr>
        <w:spacing w:after="240"/>
        <w:rPr>
          <w:rFonts w:ascii="Arial" w:hAnsi="Arial" w:cs="Arial"/>
          <w:b/>
          <w:sz w:val="40"/>
          <w:szCs w:val="40"/>
        </w:rPr>
      </w:pPr>
      <w:r>
        <w:rPr>
          <w:rFonts w:ascii="Arial" w:hAnsi="Arial" w:cs="Arial"/>
          <w:b/>
          <w:sz w:val="40"/>
          <w:szCs w:val="40"/>
        </w:rPr>
        <w:t xml:space="preserve">6. </w:t>
      </w:r>
      <w:bookmarkStart w:id="296" w:name="_Toc484441289"/>
      <w:bookmarkStart w:id="297" w:name="_Toc486145265"/>
      <w:bookmarkStart w:id="298" w:name="_Toc486145357"/>
      <w:bookmarkStart w:id="299" w:name="_Toc486146273"/>
      <w:r w:rsidR="000D28B8" w:rsidRPr="00C7408A">
        <w:rPr>
          <w:rFonts w:ascii="Arial" w:hAnsi="Arial" w:cs="Arial"/>
          <w:b/>
          <w:sz w:val="40"/>
          <w:szCs w:val="40"/>
        </w:rPr>
        <w:t>Valuation of Impacts</w:t>
      </w:r>
      <w:bookmarkEnd w:id="296"/>
      <w:bookmarkEnd w:id="297"/>
      <w:bookmarkEnd w:id="298"/>
      <w:bookmarkEnd w:id="299"/>
    </w:p>
    <w:p w:rsidR="000D28B8" w:rsidRPr="005173A2" w:rsidRDefault="000D28B8" w:rsidP="005173A2">
      <w:pPr>
        <w:spacing w:after="240"/>
        <w:rPr>
          <w:rFonts w:ascii="Arial" w:hAnsi="Arial" w:cs="Arial"/>
          <w:b/>
          <w:sz w:val="24"/>
        </w:rPr>
      </w:pPr>
      <w:bookmarkStart w:id="300" w:name="_Toc484441290"/>
      <w:bookmarkStart w:id="301" w:name="_Toc486145266"/>
      <w:r w:rsidRPr="005173A2">
        <w:rPr>
          <w:rFonts w:ascii="Arial" w:hAnsi="Arial" w:cs="Arial"/>
          <w:b/>
          <w:sz w:val="24"/>
        </w:rPr>
        <w:t>Impacts Valued</w:t>
      </w:r>
      <w:bookmarkEnd w:id="300"/>
      <w:bookmarkEnd w:id="301"/>
      <w:r w:rsidRPr="005173A2">
        <w:rPr>
          <w:rFonts w:ascii="Arial" w:hAnsi="Arial" w:cs="Arial"/>
          <w:b/>
          <w:sz w:val="24"/>
        </w:rPr>
        <w:t xml:space="preserve"> </w:t>
      </w:r>
    </w:p>
    <w:p w:rsidR="000D28B8" w:rsidRPr="00C1096A" w:rsidRDefault="000D28B8" w:rsidP="00C7408A">
      <w:pPr>
        <w:spacing w:after="240"/>
        <w:rPr>
          <w:rFonts w:ascii="Arial" w:hAnsi="Arial" w:cs="Arial"/>
        </w:rPr>
      </w:pPr>
      <w:r w:rsidRPr="00C1096A">
        <w:rPr>
          <w:rFonts w:ascii="Arial" w:hAnsi="Arial" w:cs="Arial"/>
        </w:rPr>
        <w:t>Analyses were undertaken for total benefits that included future expected benefits. A degree of conservatism was used when finalising assumptions, particularly when some uncertainty was involved. Sensitivity analyses were undertaken on the discount rate as well as for the maximum level of adoption and the estimated potential average yield gain.</w:t>
      </w:r>
    </w:p>
    <w:p w:rsidR="000D28B8" w:rsidRPr="00C1096A" w:rsidRDefault="000D28B8" w:rsidP="00C7408A">
      <w:pPr>
        <w:spacing w:after="240"/>
        <w:rPr>
          <w:rFonts w:ascii="Arial" w:hAnsi="Arial" w:cs="Arial"/>
        </w:rPr>
      </w:pPr>
      <w:r w:rsidRPr="00C1096A">
        <w:rPr>
          <w:rFonts w:ascii="Arial" w:hAnsi="Arial" w:cs="Arial"/>
        </w:rPr>
        <w:t>The R&amp;D undertaken in project DAQ1401 was focussed on cotton sown in the Central Highlands of Queensland. However, the research findings also may be applicable to the Dawson-Callide region in CQ but to a lesser extent. Climate analysis of the Dawson-Callide region shows that monsoon influences are less pronounced than for the Central Highlands and therefore the odds of rain or heat waves during boll filling when planted at the traditional time is lower. Also, early August is too cool for sowing in the Dawson-Callide region, so growers are better off sowing late August. It is expected that a number of growers in the Dawson-Callide region will adopt sowing cotton in late August resulting in increased average yields for the region. However, this will take time to validate (Paul Grundy, pers. comm., 2017). Consequently, any potential benefits for the Dawson-Callide cotton region have been excluded from the current analysis and thus the benefits valued are likely an underestimate of the total value of the potential impacts for the investment in project DAQ1401.</w:t>
      </w:r>
    </w:p>
    <w:p w:rsidR="000D28B8" w:rsidRDefault="000D28B8" w:rsidP="00C7408A">
      <w:pPr>
        <w:spacing w:after="240"/>
        <w:rPr>
          <w:rFonts w:ascii="Arial" w:hAnsi="Arial" w:cs="Arial"/>
          <w:color w:val="000000" w:themeColor="text1"/>
        </w:rPr>
      </w:pPr>
      <w:r w:rsidRPr="00C1096A">
        <w:rPr>
          <w:rFonts w:ascii="Arial" w:hAnsi="Arial" w:cs="Arial"/>
          <w:color w:val="000000" w:themeColor="text1"/>
        </w:rPr>
        <w:t>Three impacts for the Central Highlands cotton region were valued. The first was an average yield gain for cotton crops planted early in the Central Highlands (through improved conditions at boll fill, reduced incidence of tick locking and boll rot and compensatory yield in wetter than average seasons). The second was avoided yield losses in years when severe weather events occur in the Central Highlands cotton region prior to harvest (e.g. flooding in February or March). The third impact valued was reduced incidence of quality discounts due to earlier harvesting avoiding wet picking causing discolouration and boll rot.</w:t>
      </w:r>
    </w:p>
    <w:p w:rsidR="000029F1" w:rsidRPr="00C1096A" w:rsidRDefault="000029F1" w:rsidP="00C7408A">
      <w:pPr>
        <w:spacing w:after="240"/>
        <w:rPr>
          <w:rFonts w:ascii="Arial" w:hAnsi="Arial" w:cs="Arial"/>
          <w:color w:val="000000" w:themeColor="text1"/>
        </w:rPr>
      </w:pPr>
    </w:p>
    <w:p w:rsidR="000D28B8" w:rsidRPr="005173A2" w:rsidRDefault="000D28B8" w:rsidP="005173A2">
      <w:pPr>
        <w:spacing w:after="240"/>
        <w:rPr>
          <w:rFonts w:ascii="Arial" w:hAnsi="Arial" w:cs="Arial"/>
          <w:b/>
          <w:sz w:val="24"/>
        </w:rPr>
      </w:pPr>
      <w:bookmarkStart w:id="302" w:name="_Toc484441291"/>
      <w:bookmarkStart w:id="303" w:name="_Toc486145267"/>
      <w:r w:rsidRPr="005173A2">
        <w:rPr>
          <w:rFonts w:ascii="Arial" w:hAnsi="Arial" w:cs="Arial"/>
          <w:b/>
          <w:sz w:val="24"/>
        </w:rPr>
        <w:t>Impacts not Valued</w:t>
      </w:r>
      <w:bookmarkEnd w:id="302"/>
      <w:bookmarkEnd w:id="303"/>
    </w:p>
    <w:p w:rsidR="000D28B8" w:rsidRPr="00C1096A" w:rsidRDefault="000D28B8" w:rsidP="00B35480">
      <w:pPr>
        <w:rPr>
          <w:rFonts w:ascii="Arial" w:hAnsi="Arial" w:cs="Arial"/>
        </w:rPr>
      </w:pPr>
      <w:r w:rsidRPr="00C1096A">
        <w:rPr>
          <w:rFonts w:ascii="Arial" w:hAnsi="Arial" w:cs="Arial"/>
        </w:rPr>
        <w:t xml:space="preserve">Not all impacts identified in Table 3 could be valued in the assessment. </w:t>
      </w:r>
    </w:p>
    <w:p w:rsidR="000D28B8" w:rsidRPr="00C1096A" w:rsidRDefault="000D28B8" w:rsidP="00B35480">
      <w:pPr>
        <w:rPr>
          <w:rFonts w:ascii="Arial" w:hAnsi="Arial" w:cs="Arial"/>
        </w:rPr>
      </w:pPr>
      <w:r w:rsidRPr="00C1096A">
        <w:rPr>
          <w:rFonts w:ascii="Arial" w:hAnsi="Arial" w:cs="Arial"/>
        </w:rPr>
        <w:t>The economic impacts identified but not valued included:</w:t>
      </w:r>
    </w:p>
    <w:p w:rsidR="000D28B8" w:rsidRPr="00C1096A" w:rsidRDefault="000D28B8" w:rsidP="000F22FE">
      <w:pPr>
        <w:pStyle w:val="ListParagraph"/>
        <w:numPr>
          <w:ilvl w:val="0"/>
          <w:numId w:val="12"/>
        </w:numPr>
        <w:spacing w:after="160" w:line="259" w:lineRule="auto"/>
        <w:rPr>
          <w:rFonts w:ascii="Arial" w:hAnsi="Arial" w:cs="Arial"/>
        </w:rPr>
      </w:pPr>
      <w:r w:rsidRPr="00C1096A">
        <w:rPr>
          <w:rFonts w:ascii="Arial" w:hAnsi="Arial" w:cs="Arial"/>
        </w:rPr>
        <w:t>Potential opportunity to grow a rotation crop after cotton if harvested in January, should wet weather occur in February (e.g. mungbean).</w:t>
      </w:r>
    </w:p>
    <w:p w:rsidR="000D28B8" w:rsidRPr="00C1096A" w:rsidRDefault="000D28B8" w:rsidP="000F22FE">
      <w:pPr>
        <w:pStyle w:val="ListParagraph"/>
        <w:numPr>
          <w:ilvl w:val="0"/>
          <w:numId w:val="12"/>
        </w:numPr>
        <w:spacing w:after="160" w:line="259" w:lineRule="auto"/>
        <w:rPr>
          <w:rFonts w:ascii="Arial" w:hAnsi="Arial" w:cs="Arial"/>
        </w:rPr>
      </w:pPr>
      <w:r w:rsidRPr="00C1096A">
        <w:rPr>
          <w:rFonts w:ascii="Arial" w:hAnsi="Arial" w:cs="Arial"/>
        </w:rPr>
        <w:t>Potentially increased input costs due to changed management practices (nutrient management etc.).</w:t>
      </w:r>
    </w:p>
    <w:p w:rsidR="000D28B8" w:rsidRPr="00C1096A" w:rsidRDefault="000D28B8" w:rsidP="00C7408A">
      <w:pPr>
        <w:spacing w:after="240"/>
        <w:rPr>
          <w:rFonts w:ascii="Arial" w:hAnsi="Arial" w:cs="Arial"/>
        </w:rPr>
      </w:pPr>
      <w:r w:rsidRPr="00C1096A">
        <w:rPr>
          <w:rFonts w:ascii="Arial" w:hAnsi="Arial" w:cs="Arial"/>
        </w:rPr>
        <w:t>The above economic impacts were not valued due to limited availability of baseline data and difficulty in making credible assumptions in terms of outcomes and potential impacts.</w:t>
      </w:r>
    </w:p>
    <w:p w:rsidR="000D28B8" w:rsidRPr="00C1096A" w:rsidRDefault="000D28B8" w:rsidP="00C7408A">
      <w:pPr>
        <w:spacing w:after="240"/>
        <w:rPr>
          <w:rFonts w:ascii="Arial" w:hAnsi="Arial" w:cs="Arial"/>
          <w:color w:val="000000" w:themeColor="text1"/>
        </w:rPr>
      </w:pPr>
      <w:r w:rsidRPr="00C1096A">
        <w:rPr>
          <w:rFonts w:ascii="Arial" w:hAnsi="Arial" w:cs="Arial"/>
          <w:color w:val="000000" w:themeColor="text1"/>
        </w:rPr>
        <w:t xml:space="preserve">The environmental impact identified but not valued was </w:t>
      </w:r>
      <w:r w:rsidRPr="00C1096A">
        <w:rPr>
          <w:rFonts w:ascii="Arial" w:hAnsi="Arial" w:cs="Arial"/>
        </w:rPr>
        <w:t xml:space="preserve">the potential for changes in grower input use (e.g. nutrients, fungicides, water) to manage earlier planting and crops in the ground for longer periods resulting in increased/decreased downstream impacts. This environmental impact was not valued due to lack of both baseline and marginal impact data. </w:t>
      </w:r>
    </w:p>
    <w:p w:rsidR="000D28B8" w:rsidRPr="00C1096A" w:rsidRDefault="000D28B8" w:rsidP="00B35480">
      <w:pPr>
        <w:rPr>
          <w:rFonts w:ascii="Arial" w:hAnsi="Arial" w:cs="Arial"/>
        </w:rPr>
      </w:pPr>
      <w:r w:rsidRPr="00C1096A">
        <w:rPr>
          <w:rFonts w:ascii="Arial" w:hAnsi="Arial" w:cs="Arial"/>
        </w:rPr>
        <w:t>The social impacts identified but not valued included:</w:t>
      </w:r>
    </w:p>
    <w:p w:rsidR="000D28B8" w:rsidRPr="00C1096A" w:rsidRDefault="000D28B8" w:rsidP="000F22FE">
      <w:pPr>
        <w:pStyle w:val="ListParagraph"/>
        <w:numPr>
          <w:ilvl w:val="0"/>
          <w:numId w:val="12"/>
        </w:numPr>
        <w:spacing w:after="160" w:line="259" w:lineRule="auto"/>
        <w:rPr>
          <w:rFonts w:ascii="Arial" w:hAnsi="Arial" w:cs="Arial"/>
        </w:rPr>
      </w:pPr>
      <w:r w:rsidRPr="00C1096A">
        <w:rPr>
          <w:rFonts w:ascii="Arial" w:hAnsi="Arial" w:cs="Arial"/>
        </w:rPr>
        <w:t>Improved grower well-being through reduced stress in terms of crop management resulting from an early sown crop growing slower and increasing management time.</w:t>
      </w:r>
    </w:p>
    <w:p w:rsidR="000D28B8" w:rsidRPr="00C1096A" w:rsidRDefault="000D28B8" w:rsidP="000F22FE">
      <w:pPr>
        <w:pStyle w:val="ListParagraph"/>
        <w:numPr>
          <w:ilvl w:val="0"/>
          <w:numId w:val="12"/>
        </w:numPr>
        <w:spacing w:after="160" w:line="259" w:lineRule="auto"/>
        <w:rPr>
          <w:rFonts w:ascii="Arial" w:hAnsi="Arial" w:cs="Arial"/>
        </w:rPr>
      </w:pPr>
      <w:r w:rsidRPr="00C1096A">
        <w:rPr>
          <w:rFonts w:ascii="Arial" w:hAnsi="Arial" w:cs="Arial"/>
        </w:rPr>
        <w:t xml:space="preserve">Improved community well-being through spill-over benefits from increased grower productivity and/or profitability. </w:t>
      </w:r>
    </w:p>
    <w:p w:rsidR="000D28B8" w:rsidRPr="00C1096A" w:rsidRDefault="000D28B8" w:rsidP="00C7408A">
      <w:pPr>
        <w:spacing w:after="240"/>
        <w:rPr>
          <w:rFonts w:ascii="Arial" w:hAnsi="Arial" w:cs="Arial"/>
        </w:rPr>
      </w:pPr>
      <w:r w:rsidRPr="00C1096A">
        <w:rPr>
          <w:rFonts w:ascii="Arial" w:hAnsi="Arial" w:cs="Arial"/>
        </w:rPr>
        <w:t xml:space="preserve">These two social impacts were not valued due to lack of time and resources and the greater uncertainty of assumptions required in estimating such secondary impacts. </w:t>
      </w:r>
    </w:p>
    <w:p w:rsidR="000D28B8" w:rsidRPr="005173A2" w:rsidRDefault="000D28B8" w:rsidP="005173A2">
      <w:pPr>
        <w:spacing w:after="240"/>
        <w:rPr>
          <w:rFonts w:ascii="Arial" w:hAnsi="Arial" w:cs="Arial"/>
          <w:b/>
          <w:sz w:val="24"/>
        </w:rPr>
      </w:pPr>
      <w:bookmarkStart w:id="304" w:name="_Toc484441292"/>
      <w:bookmarkStart w:id="305" w:name="_Toc486145268"/>
      <w:r w:rsidRPr="005173A2">
        <w:rPr>
          <w:rFonts w:ascii="Arial" w:hAnsi="Arial" w:cs="Arial"/>
          <w:b/>
          <w:sz w:val="24"/>
        </w:rPr>
        <w:t>Valuation of Benefit 1: Increased average cotton yields for the Central</w:t>
      </w:r>
      <w:r w:rsidR="00C1096A" w:rsidRPr="005173A2">
        <w:rPr>
          <w:rFonts w:ascii="Arial" w:hAnsi="Arial" w:cs="Arial"/>
          <w:b/>
          <w:sz w:val="24"/>
        </w:rPr>
        <w:t xml:space="preserve"> </w:t>
      </w:r>
      <w:r w:rsidRPr="005173A2">
        <w:rPr>
          <w:rFonts w:ascii="Arial" w:hAnsi="Arial" w:cs="Arial"/>
          <w:b/>
          <w:sz w:val="24"/>
        </w:rPr>
        <w:t>Highlands</w:t>
      </w:r>
      <w:bookmarkEnd w:id="304"/>
      <w:bookmarkEnd w:id="305"/>
    </w:p>
    <w:p w:rsidR="00C1096A" w:rsidRDefault="000D28B8" w:rsidP="00C7408A">
      <w:pPr>
        <w:spacing w:after="240"/>
        <w:rPr>
          <w:rFonts w:ascii="Arial" w:hAnsi="Arial" w:cs="Arial"/>
        </w:rPr>
      </w:pPr>
      <w:r w:rsidRPr="00C1096A">
        <w:rPr>
          <w:rFonts w:ascii="Arial" w:hAnsi="Arial" w:cs="Arial"/>
        </w:rPr>
        <w:t>Cotton crops planted in August over the project’s four seasons (2013/14 to 2016/17) all established well and were harvested from mid-January to February. The project found that the August sown trials in each season finished with either the same or more yield than the traditional September sowings due to variable weather conditions enco</w:t>
      </w:r>
      <w:r w:rsidR="00C7408A">
        <w:rPr>
          <w:rFonts w:ascii="Arial" w:hAnsi="Arial" w:cs="Arial"/>
        </w:rPr>
        <w:t xml:space="preserve">untered from December onwards. </w:t>
      </w:r>
    </w:p>
    <w:p w:rsidR="000D28B8" w:rsidRPr="00C1096A" w:rsidRDefault="000D28B8" w:rsidP="00C7408A">
      <w:pPr>
        <w:spacing w:after="240"/>
        <w:rPr>
          <w:rFonts w:ascii="Arial" w:hAnsi="Arial" w:cs="Arial"/>
        </w:rPr>
      </w:pPr>
      <w:r w:rsidRPr="00C1096A">
        <w:rPr>
          <w:rFonts w:ascii="Arial" w:hAnsi="Arial" w:cs="Arial"/>
        </w:rPr>
        <w:t>To demonstrate this, during the 2013/14 season, a heatwave followed by cloudy weather caused extensive shedding in the September sowings resulting in reduced yield compared with the August sowings. For the 2014/15 trial sowings, the September plantings were on track to significantly out</w:t>
      </w:r>
      <w:r w:rsidRPr="00C1096A">
        <w:rPr>
          <w:rFonts w:ascii="Cambria Math" w:hAnsi="Cambria Math" w:cs="Cambria Math"/>
        </w:rPr>
        <w:t>‐</w:t>
      </w:r>
      <w:r w:rsidRPr="00C1096A">
        <w:rPr>
          <w:rFonts w:ascii="Arial" w:hAnsi="Arial" w:cs="Arial"/>
        </w:rPr>
        <w:t xml:space="preserve">yield the August sowings. However, variable radiation during late December and early January were sufficient to cause shedding and a reduction in boll size resulting in no significant difference between sowing date yields. The August sowings which were mostly mature by the time the variable radiation occurred were largely unaffected </w:t>
      </w:r>
      <w:sdt>
        <w:sdtPr>
          <w:rPr>
            <w:rFonts w:ascii="Arial" w:hAnsi="Arial" w:cs="Arial"/>
          </w:rPr>
          <w:id w:val="-502744320"/>
          <w:citation/>
        </w:sdtPr>
        <w:sdtEndPr/>
        <w:sdtContent>
          <w:r w:rsidRPr="00C1096A">
            <w:rPr>
              <w:rFonts w:ascii="Arial" w:hAnsi="Arial" w:cs="Arial"/>
            </w:rPr>
            <w:fldChar w:fldCharType="begin"/>
          </w:r>
          <w:r w:rsidRPr="00C1096A">
            <w:rPr>
              <w:rFonts w:ascii="Arial" w:hAnsi="Arial" w:cs="Arial"/>
            </w:rPr>
            <w:instrText xml:space="preserve"> CITATION Gru15 \l 3081 </w:instrText>
          </w:r>
          <w:r w:rsidRPr="00C1096A">
            <w:rPr>
              <w:rFonts w:ascii="Arial" w:hAnsi="Arial" w:cs="Arial"/>
            </w:rPr>
            <w:fldChar w:fldCharType="separate"/>
          </w:r>
          <w:r w:rsidRPr="00C1096A">
            <w:rPr>
              <w:rFonts w:ascii="Arial" w:hAnsi="Arial" w:cs="Arial"/>
              <w:noProof/>
            </w:rPr>
            <w:t>(Grundy, 2015)</w:t>
          </w:r>
          <w:r w:rsidRPr="00C1096A">
            <w:rPr>
              <w:rFonts w:ascii="Arial" w:hAnsi="Arial" w:cs="Arial"/>
            </w:rPr>
            <w:fldChar w:fldCharType="end"/>
          </w:r>
        </w:sdtContent>
      </w:sdt>
      <w:r w:rsidRPr="00C1096A">
        <w:rPr>
          <w:rFonts w:ascii="Arial" w:hAnsi="Arial" w:cs="Arial"/>
        </w:rPr>
        <w:t>.</w:t>
      </w:r>
    </w:p>
    <w:p w:rsidR="000D28B8" w:rsidRPr="00C1096A" w:rsidRDefault="000D28B8" w:rsidP="00C7408A">
      <w:pPr>
        <w:spacing w:after="240"/>
        <w:rPr>
          <w:rFonts w:ascii="Arial" w:hAnsi="Arial" w:cs="Arial"/>
          <w:noProof/>
        </w:rPr>
      </w:pPr>
      <w:r w:rsidRPr="00C1096A">
        <w:rPr>
          <w:rFonts w:ascii="Arial" w:hAnsi="Arial" w:cs="Arial"/>
        </w:rPr>
        <w:t xml:space="preserve">Yields for the August sown trial cotton crops during DAQ1401 averaged approximately 11 bales/hectare over the four seasons. Average irrigated cotton yields for the Central Highlands are estimated at 8.0 bales/hectare over the past 10 years </w:t>
      </w:r>
      <w:r w:rsidRPr="00C1096A">
        <w:rPr>
          <w:rFonts w:ascii="Arial" w:hAnsi="Arial" w:cs="Arial"/>
          <w:noProof/>
        </w:rPr>
        <w:t xml:space="preserve">(based on data obtained from ‘The Australian Cottongrower’, 2010, 2011, 2012, 2013, 2014, 2015 &amp; 2016). This </w:t>
      </w:r>
      <w:r w:rsidRPr="00C1096A">
        <w:rPr>
          <w:rFonts w:ascii="Arial" w:hAnsi="Arial" w:cs="Arial"/>
        </w:rPr>
        <w:t>indicates</w:t>
      </w:r>
      <w:r w:rsidRPr="00C1096A">
        <w:rPr>
          <w:rFonts w:ascii="Arial" w:hAnsi="Arial" w:cs="Arial"/>
          <w:noProof/>
        </w:rPr>
        <w:t xml:space="preserve"> an estimated potential average yield improvement of 37.5%.</w:t>
      </w:r>
    </w:p>
    <w:p w:rsidR="000D28B8" w:rsidRPr="00C1096A" w:rsidRDefault="000D28B8" w:rsidP="00C7408A">
      <w:pPr>
        <w:spacing w:after="240"/>
        <w:rPr>
          <w:rFonts w:ascii="Arial" w:hAnsi="Arial" w:cs="Arial"/>
        </w:rPr>
      </w:pPr>
      <w:r w:rsidRPr="00C1096A">
        <w:rPr>
          <w:rFonts w:ascii="Arial" w:hAnsi="Arial" w:cs="Arial"/>
          <w:noProof/>
        </w:rPr>
        <w:t xml:space="preserve">This improvement includes the effects of earlier flowering and boll fill, and reduced incidence of boll rot through avoidance of </w:t>
      </w:r>
      <w:r w:rsidRPr="00C1096A">
        <w:rPr>
          <w:rFonts w:ascii="Arial" w:hAnsi="Arial" w:cs="Arial"/>
        </w:rPr>
        <w:t>potential weather events commonly seen from February, such as extreme heat and humidity, heavy or prolonged periods of rain causing water logging, and reduced radiation from cloud cover. Boll rot alone can cause yields to be reduced by 10% or more in an affected season</w:t>
      </w:r>
      <w:r w:rsidRPr="00C1096A">
        <w:rPr>
          <w:rFonts w:ascii="Arial" w:hAnsi="Arial" w:cs="Arial"/>
          <w:noProof/>
        </w:rPr>
        <w:t xml:space="preserve"> (CRDC, 2017)</w:t>
      </w:r>
      <w:r w:rsidRPr="00C1096A">
        <w:rPr>
          <w:rFonts w:ascii="Arial" w:hAnsi="Arial" w:cs="Arial"/>
        </w:rPr>
        <w:t>.</w:t>
      </w:r>
    </w:p>
    <w:p w:rsidR="000D28B8" w:rsidRPr="00C1096A" w:rsidRDefault="000D28B8" w:rsidP="00C7408A">
      <w:pPr>
        <w:spacing w:after="240"/>
        <w:rPr>
          <w:rFonts w:ascii="Arial" w:hAnsi="Arial" w:cs="Arial"/>
        </w:rPr>
      </w:pPr>
      <w:r w:rsidRPr="00C1096A">
        <w:rPr>
          <w:rFonts w:ascii="Arial" w:hAnsi="Arial" w:cs="Arial"/>
        </w:rPr>
        <w:t>The PI for the project, Paul Grundy, was quoted in a January 2016 article in Rural Weekly magazine as saying:</w:t>
      </w:r>
    </w:p>
    <w:p w:rsidR="000D28B8" w:rsidRPr="00C1096A" w:rsidRDefault="000D28B8" w:rsidP="00C7408A">
      <w:pPr>
        <w:spacing w:after="240"/>
        <w:rPr>
          <w:rFonts w:ascii="Arial" w:hAnsi="Arial" w:cs="Arial"/>
          <w:i/>
        </w:rPr>
      </w:pPr>
      <w:r w:rsidRPr="00C1096A">
        <w:rPr>
          <w:rFonts w:ascii="Arial" w:hAnsi="Arial" w:cs="Arial"/>
          <w:i/>
        </w:rPr>
        <w:t>“You’re not always going to get the highest yield, but certainly you’re going to lower your risk of crop exposure during wetter-than-average seasons.”</w:t>
      </w:r>
    </w:p>
    <w:p w:rsidR="000D28B8" w:rsidRPr="00C1096A" w:rsidRDefault="000D28B8" w:rsidP="005173A2">
      <w:pPr>
        <w:spacing w:after="240"/>
        <w:rPr>
          <w:rFonts w:ascii="Arial" w:hAnsi="Arial" w:cs="Arial"/>
        </w:rPr>
      </w:pPr>
      <w:r w:rsidRPr="00C1096A">
        <w:rPr>
          <w:rFonts w:ascii="Arial" w:hAnsi="Arial" w:cs="Arial"/>
        </w:rPr>
        <w:t>A conservative estimated average yield gain of 20% was used for the valuation with a 50% probability of impact. Also, given the positive research findings, it was assumed that 50% of growers in the Central Highlands region would adopt the practice of sowing pre-September and that this adoption will occur over three years.</w:t>
      </w:r>
    </w:p>
    <w:p w:rsidR="00C1096A" w:rsidRPr="00C7408A" w:rsidRDefault="000D28B8" w:rsidP="005173A2">
      <w:pPr>
        <w:spacing w:after="240"/>
        <w:rPr>
          <w:rFonts w:ascii="Arial" w:hAnsi="Arial" w:cs="Arial"/>
        </w:rPr>
      </w:pPr>
      <w:r w:rsidRPr="00C1096A">
        <w:rPr>
          <w:rFonts w:ascii="Arial" w:hAnsi="Arial" w:cs="Arial"/>
        </w:rPr>
        <w:t>Specific assumptions for the valuation of benefit 1 are provided in</w:t>
      </w:r>
      <w:bookmarkStart w:id="306" w:name="_Toc484441293"/>
      <w:bookmarkStart w:id="307" w:name="_Toc486145269"/>
      <w:r w:rsidR="003147F5">
        <w:rPr>
          <w:rFonts w:ascii="Arial" w:hAnsi="Arial" w:cs="Arial"/>
        </w:rPr>
        <w:t xml:space="preserve"> Table 6</w:t>
      </w:r>
      <w:r w:rsidR="00C7408A">
        <w:rPr>
          <w:rFonts w:ascii="Arial" w:hAnsi="Arial" w:cs="Arial"/>
        </w:rPr>
        <w:t>.</w:t>
      </w:r>
    </w:p>
    <w:p w:rsidR="000D28B8" w:rsidRPr="005173A2" w:rsidRDefault="000D28B8" w:rsidP="005173A2">
      <w:pPr>
        <w:spacing w:after="240"/>
        <w:rPr>
          <w:rFonts w:ascii="Arial" w:hAnsi="Arial" w:cs="Arial"/>
          <w:b/>
          <w:sz w:val="24"/>
        </w:rPr>
      </w:pPr>
      <w:r w:rsidRPr="005173A2">
        <w:rPr>
          <w:rFonts w:ascii="Arial" w:hAnsi="Arial" w:cs="Arial"/>
          <w:b/>
          <w:sz w:val="24"/>
        </w:rPr>
        <w:t>Valuation of Benefit 2: Reduced yield losses in years with severe weather</w:t>
      </w:r>
      <w:r w:rsidR="00C7408A" w:rsidRPr="005173A2">
        <w:rPr>
          <w:rFonts w:ascii="Arial" w:hAnsi="Arial" w:cs="Arial"/>
          <w:b/>
          <w:sz w:val="24"/>
        </w:rPr>
        <w:t xml:space="preserve"> </w:t>
      </w:r>
      <w:r w:rsidRPr="005173A2">
        <w:rPr>
          <w:rFonts w:ascii="Arial" w:hAnsi="Arial" w:cs="Arial"/>
          <w:b/>
          <w:sz w:val="24"/>
        </w:rPr>
        <w:t>events</w:t>
      </w:r>
      <w:bookmarkEnd w:id="306"/>
      <w:bookmarkEnd w:id="307"/>
      <w:r w:rsidRPr="005173A2">
        <w:rPr>
          <w:rFonts w:ascii="Arial" w:hAnsi="Arial" w:cs="Arial"/>
          <w:b/>
          <w:sz w:val="24"/>
        </w:rPr>
        <w:t xml:space="preserve"> </w:t>
      </w:r>
    </w:p>
    <w:p w:rsidR="000D28B8" w:rsidRPr="00C1096A" w:rsidRDefault="000D28B8" w:rsidP="00C7408A">
      <w:pPr>
        <w:spacing w:after="240"/>
        <w:rPr>
          <w:rFonts w:ascii="Arial" w:hAnsi="Arial" w:cs="Arial"/>
        </w:rPr>
      </w:pPr>
      <w:r w:rsidRPr="00C1096A">
        <w:rPr>
          <w:rFonts w:ascii="Arial" w:hAnsi="Arial" w:cs="Arial"/>
        </w:rPr>
        <w:t xml:space="preserve">Central Queensland is periodically affected by severe weather events such as cyclones and flooding. These events are most common during the summer period from December through to March. For example, floods that occurred during the 2010/11 season destroyed approximately 5,000 hectares of cotton west of Emerald in the Central Highlands growing region </w:t>
      </w:r>
      <w:sdt>
        <w:sdtPr>
          <w:rPr>
            <w:rFonts w:ascii="Arial" w:hAnsi="Arial" w:cs="Arial"/>
          </w:rPr>
          <w:id w:val="-2003492501"/>
          <w:citation/>
        </w:sdtPr>
        <w:sdtEndPr/>
        <w:sdtContent>
          <w:r w:rsidRPr="00C1096A">
            <w:rPr>
              <w:rFonts w:ascii="Arial" w:hAnsi="Arial" w:cs="Arial"/>
            </w:rPr>
            <w:fldChar w:fldCharType="begin"/>
          </w:r>
          <w:r w:rsidRPr="00C1096A">
            <w:rPr>
              <w:rFonts w:ascii="Arial" w:hAnsi="Arial" w:cs="Arial"/>
            </w:rPr>
            <w:instrText xml:space="preserve"> CITATION Mac10 \l 3081 </w:instrText>
          </w:r>
          <w:r w:rsidRPr="00C1096A">
            <w:rPr>
              <w:rFonts w:ascii="Arial" w:hAnsi="Arial" w:cs="Arial"/>
            </w:rPr>
            <w:fldChar w:fldCharType="separate"/>
          </w:r>
          <w:r w:rsidRPr="00C1096A">
            <w:rPr>
              <w:rFonts w:ascii="Arial" w:hAnsi="Arial" w:cs="Arial"/>
              <w:noProof/>
            </w:rPr>
            <w:t>(MacDonald &amp; Healy, 2010)</w:t>
          </w:r>
          <w:r w:rsidRPr="00C1096A">
            <w:rPr>
              <w:rFonts w:ascii="Arial" w:hAnsi="Arial" w:cs="Arial"/>
            </w:rPr>
            <w:fldChar w:fldCharType="end"/>
          </w:r>
        </w:sdtContent>
      </w:sdt>
      <w:r w:rsidRPr="00C1096A">
        <w:rPr>
          <w:rFonts w:ascii="Arial" w:hAnsi="Arial" w:cs="Arial"/>
        </w:rPr>
        <w:t>.</w:t>
      </w:r>
    </w:p>
    <w:p w:rsidR="00C1096A" w:rsidRDefault="000D28B8" w:rsidP="00C7408A">
      <w:pPr>
        <w:spacing w:after="240"/>
        <w:rPr>
          <w:rFonts w:ascii="Arial" w:hAnsi="Arial" w:cs="Arial"/>
        </w:rPr>
      </w:pPr>
      <w:r w:rsidRPr="00C1096A">
        <w:rPr>
          <w:rFonts w:ascii="Arial" w:hAnsi="Arial" w:cs="Arial"/>
        </w:rPr>
        <w:t>Also, more recently, cotton crops in Central Queensland were impacted by cyclone Debbie which crossed the Queensland coast near Bowen in March, 2017 and caused wides</w:t>
      </w:r>
      <w:r w:rsidR="00C7408A">
        <w:rPr>
          <w:rFonts w:ascii="Arial" w:hAnsi="Arial" w:cs="Arial"/>
        </w:rPr>
        <w:t>pread flooding and wind damage.</w:t>
      </w:r>
    </w:p>
    <w:p w:rsidR="00C1096A" w:rsidRDefault="000D28B8" w:rsidP="00C7408A">
      <w:pPr>
        <w:spacing w:after="240"/>
        <w:rPr>
          <w:rFonts w:ascii="Arial" w:hAnsi="Arial" w:cs="Arial"/>
        </w:rPr>
      </w:pPr>
      <w:r w:rsidRPr="00C1096A">
        <w:rPr>
          <w:rFonts w:ascii="Arial" w:hAnsi="Arial" w:cs="Arial"/>
        </w:rPr>
        <w:t>Early sown crops may be harvested as early as mid-January. When severe weather events occur later in summer, it is possible that growers could avoid substantial crop losses that may result from these weath</w:t>
      </w:r>
      <w:r w:rsidR="00C7408A">
        <w:rPr>
          <w:rFonts w:ascii="Arial" w:hAnsi="Arial" w:cs="Arial"/>
        </w:rPr>
        <w:t>er events.</w:t>
      </w:r>
    </w:p>
    <w:p w:rsidR="00C1096A" w:rsidRDefault="000D28B8" w:rsidP="00C7408A">
      <w:pPr>
        <w:spacing w:after="240"/>
        <w:rPr>
          <w:rFonts w:ascii="Arial" w:hAnsi="Arial" w:cs="Arial"/>
        </w:rPr>
      </w:pPr>
      <w:r w:rsidRPr="00C1096A">
        <w:rPr>
          <w:rFonts w:ascii="Arial" w:hAnsi="Arial" w:cs="Arial"/>
        </w:rPr>
        <w:t xml:space="preserve">It was estimated that a severe weather event (e.g. major flood) occurring late in summer or in early autumn for Central Queensland would take place approximately one year in ten (10% of the time) and that losses for traditional plantings would be 50% in those years </w:t>
      </w:r>
      <w:r w:rsidRPr="00C1096A">
        <w:rPr>
          <w:rFonts w:ascii="Arial" w:hAnsi="Arial" w:cs="Arial"/>
          <w:noProof/>
        </w:rPr>
        <w:t>(based on reported crop losses in years with severe weather events: ABC Rural, 2011)</w:t>
      </w:r>
      <w:r w:rsidRPr="00C1096A">
        <w:rPr>
          <w:rFonts w:ascii="Arial" w:hAnsi="Arial" w:cs="Arial"/>
        </w:rPr>
        <w:t>. It was assumed, as for benefit one, that 50% of growers would adopt earlier planting and that this adoption would occur over three years. Adopters of early planting would therefore harvest by mid-February and would avoid any losses that would have resulted fro</w:t>
      </w:r>
      <w:bookmarkStart w:id="308" w:name="_Toc484441294"/>
      <w:bookmarkStart w:id="309" w:name="_Toc486145270"/>
      <w:r w:rsidR="00C7408A">
        <w:rPr>
          <w:rFonts w:ascii="Arial" w:hAnsi="Arial" w:cs="Arial"/>
        </w:rPr>
        <w:t>m these extreme weather events.</w:t>
      </w:r>
    </w:p>
    <w:p w:rsidR="003147F5" w:rsidRPr="00C7408A" w:rsidRDefault="003147F5" w:rsidP="003147F5">
      <w:pPr>
        <w:spacing w:after="240"/>
        <w:rPr>
          <w:rFonts w:ascii="Arial" w:hAnsi="Arial" w:cs="Arial"/>
        </w:rPr>
      </w:pPr>
      <w:r w:rsidRPr="00C1096A">
        <w:rPr>
          <w:rFonts w:ascii="Arial" w:hAnsi="Arial" w:cs="Arial"/>
        </w:rPr>
        <w:t>Specific assumptions for the valuation of benefit 1 are provided in</w:t>
      </w:r>
      <w:r>
        <w:rPr>
          <w:rFonts w:ascii="Arial" w:hAnsi="Arial" w:cs="Arial"/>
        </w:rPr>
        <w:t xml:space="preserve"> Table 6.</w:t>
      </w:r>
    </w:p>
    <w:p w:rsidR="000D28B8" w:rsidRPr="005173A2" w:rsidRDefault="000D28B8" w:rsidP="005173A2">
      <w:pPr>
        <w:spacing w:after="240"/>
        <w:rPr>
          <w:rFonts w:ascii="Arial" w:hAnsi="Arial" w:cs="Arial"/>
          <w:b/>
          <w:sz w:val="24"/>
        </w:rPr>
      </w:pPr>
      <w:r w:rsidRPr="005173A2">
        <w:rPr>
          <w:rFonts w:ascii="Arial" w:hAnsi="Arial" w:cs="Arial"/>
          <w:b/>
          <w:sz w:val="24"/>
        </w:rPr>
        <w:t>Valuation of Benefit 3: Reduced incidence of quality discounts</w:t>
      </w:r>
      <w:bookmarkEnd w:id="308"/>
      <w:bookmarkEnd w:id="309"/>
      <w:r w:rsidRPr="005173A2">
        <w:rPr>
          <w:rFonts w:ascii="Arial" w:hAnsi="Arial" w:cs="Arial"/>
          <w:b/>
          <w:sz w:val="24"/>
        </w:rPr>
        <w:t xml:space="preserve"> </w:t>
      </w:r>
    </w:p>
    <w:p w:rsidR="000D28B8" w:rsidRPr="00C1096A" w:rsidRDefault="000D28B8" w:rsidP="00B35480">
      <w:pPr>
        <w:rPr>
          <w:rFonts w:ascii="Arial" w:hAnsi="Arial" w:cs="Arial"/>
        </w:rPr>
      </w:pPr>
      <w:r w:rsidRPr="00C1096A">
        <w:rPr>
          <w:rFonts w:ascii="Arial" w:hAnsi="Arial" w:cs="Arial"/>
        </w:rPr>
        <w:t xml:space="preserve">In 2011/12, quality discounts on cotton for the Central Highlands region were averaging $40 per bale </w:t>
      </w:r>
      <w:r w:rsidRPr="00C1096A">
        <w:rPr>
          <w:rFonts w:ascii="Arial" w:hAnsi="Arial" w:cs="Arial"/>
          <w:noProof/>
        </w:rPr>
        <w:t>(CRDC, 2015) and data revealed, on average, a strong correlation between poor yields and quality and variable weather conditions in January and February</w:t>
      </w:r>
      <w:r w:rsidRPr="00C1096A">
        <w:rPr>
          <w:rFonts w:ascii="Arial" w:hAnsi="Arial" w:cs="Arial"/>
        </w:rPr>
        <w:t xml:space="preserve">. </w:t>
      </w:r>
    </w:p>
    <w:p w:rsidR="000D28B8" w:rsidRPr="00C1096A" w:rsidRDefault="000D28B8" w:rsidP="00C7408A">
      <w:pPr>
        <w:spacing w:after="240"/>
        <w:rPr>
          <w:rFonts w:ascii="Arial" w:hAnsi="Arial" w:cs="Arial"/>
        </w:rPr>
      </w:pPr>
      <w:r w:rsidRPr="00C1096A">
        <w:rPr>
          <w:rFonts w:ascii="Arial" w:hAnsi="Arial" w:cs="Arial"/>
        </w:rPr>
        <w:t>If cotton crops are trying to set fruit and fill bolls in January, climate records indicate that they are more likely to have yield and quality potential affected by weather events such as extreme heat and humidity, heavy or prolonged periods of rain causing water logging, and reduced radiation from cloud cover.</w:t>
      </w:r>
    </w:p>
    <w:p w:rsidR="000D28B8" w:rsidRPr="00C1096A" w:rsidRDefault="000D28B8" w:rsidP="00C7408A">
      <w:pPr>
        <w:spacing w:after="240"/>
        <w:rPr>
          <w:rFonts w:ascii="Arial" w:hAnsi="Arial" w:cs="Arial"/>
        </w:rPr>
      </w:pPr>
      <w:r w:rsidRPr="00C1096A">
        <w:rPr>
          <w:rFonts w:ascii="Arial" w:hAnsi="Arial" w:cs="Arial"/>
        </w:rPr>
        <w:t xml:space="preserve">By bringing forward the crop harvest there is the potential to avoid variable weather conditions at key stages of plant growth as well as wet picking, which in turn reduces the risk of quality downgrades (e.g. from discolouration as a result of a wet pick) in wetter-than-average years or hotter/more humid years. </w:t>
      </w:r>
    </w:p>
    <w:p w:rsidR="000D28B8" w:rsidRPr="00C1096A" w:rsidRDefault="000D28B8" w:rsidP="00C7408A">
      <w:pPr>
        <w:spacing w:after="240"/>
        <w:rPr>
          <w:rFonts w:ascii="Arial" w:hAnsi="Arial" w:cs="Arial"/>
        </w:rPr>
      </w:pPr>
      <w:r w:rsidRPr="00C1096A">
        <w:rPr>
          <w:rFonts w:ascii="Arial" w:hAnsi="Arial" w:cs="Arial"/>
        </w:rPr>
        <w:t>It was estimated that 50% of growers in the Central Highlands would adopt the practice of sowing early and this adoption would occur over a period of three years. Wetter-than-average or hotter/more humid years were assumed to occur approximately 40% of the time (two years in five). Adopters would, therefore, avoid quality downgrade losses of $40 per bale in 40% of seasons.</w:t>
      </w:r>
    </w:p>
    <w:p w:rsidR="000D28B8" w:rsidRDefault="000D28B8" w:rsidP="00C7408A">
      <w:pPr>
        <w:spacing w:after="240"/>
        <w:rPr>
          <w:rFonts w:ascii="Arial" w:hAnsi="Arial" w:cs="Arial"/>
        </w:rPr>
      </w:pPr>
      <w:r w:rsidRPr="00C1096A">
        <w:rPr>
          <w:rFonts w:ascii="Arial" w:hAnsi="Arial" w:cs="Arial"/>
        </w:rPr>
        <w:t xml:space="preserve">Specific assumptions for the valuation of benefit </w:t>
      </w:r>
      <w:r w:rsidR="003147F5">
        <w:rPr>
          <w:rFonts w:ascii="Arial" w:hAnsi="Arial" w:cs="Arial"/>
        </w:rPr>
        <w:t>3</w:t>
      </w:r>
      <w:r w:rsidRPr="00C1096A">
        <w:rPr>
          <w:rFonts w:ascii="Arial" w:hAnsi="Arial" w:cs="Arial"/>
        </w:rPr>
        <w:t xml:space="preserve"> are provided </w:t>
      </w:r>
      <w:r w:rsidR="003147F5">
        <w:rPr>
          <w:rFonts w:ascii="Arial" w:hAnsi="Arial" w:cs="Arial"/>
        </w:rPr>
        <w:t>in Table 6.</w:t>
      </w:r>
    </w:p>
    <w:p w:rsidR="000D28B8" w:rsidRPr="005173A2" w:rsidRDefault="000D28B8" w:rsidP="005173A2">
      <w:pPr>
        <w:spacing w:after="240"/>
        <w:rPr>
          <w:rFonts w:ascii="Arial" w:hAnsi="Arial" w:cs="Arial"/>
          <w:b/>
          <w:sz w:val="24"/>
        </w:rPr>
      </w:pPr>
      <w:bookmarkStart w:id="310" w:name="_Toc484441295"/>
      <w:bookmarkStart w:id="311" w:name="_Toc486145271"/>
      <w:r w:rsidRPr="005173A2">
        <w:rPr>
          <w:rFonts w:ascii="Arial" w:hAnsi="Arial" w:cs="Arial"/>
          <w:b/>
          <w:sz w:val="24"/>
        </w:rPr>
        <w:t>Counterfactual</w:t>
      </w:r>
      <w:bookmarkEnd w:id="310"/>
      <w:bookmarkEnd w:id="311"/>
    </w:p>
    <w:p w:rsidR="000D28B8" w:rsidRPr="00C1096A" w:rsidRDefault="000D28B8" w:rsidP="00C7408A">
      <w:pPr>
        <w:spacing w:after="240"/>
        <w:rPr>
          <w:rFonts w:ascii="Arial" w:hAnsi="Arial" w:cs="Arial"/>
        </w:rPr>
      </w:pPr>
      <w:bookmarkStart w:id="312" w:name="_Hlk480460298"/>
      <w:bookmarkStart w:id="313" w:name="_Hlk480460485"/>
      <w:r w:rsidRPr="00C1096A">
        <w:rPr>
          <w:rFonts w:ascii="Arial" w:hAnsi="Arial" w:cs="Arial"/>
        </w:rPr>
        <w:t>It was assumed that, without the investment in DAQ1401, adjusting the planting window for Bollgard 3® to include all of August would not have been considered (Paul Grundy, pers. comm., 2017). It also was assumed that, if project DAQ1401 had not been funded, RD&amp;E associated with the physiology and agronomic practices related to the Bollgard 3® variety would have been undertaken in CQ but not until a couple of years after its commercial release in 2016/17. It was further assumed that this RD&amp;E would have had similar total investment costs to DAQ1401 and would be carried out over four years. This future RD&amp;E would have been used as part of a four to six-year data collection process required to enable changes to the resistance management plan for Bollgard 3®, including adjusting the planting window. Thus, the required RD&amp;E would not have commenced until 2018/19, the data collection and development process would have taken six years (to 2023/24) and therefore adoption of early sowing practices in the Central Highlands would not have commenced until 2024/25, eight years later than with the investment in DAQ1401.</w:t>
      </w:r>
      <w:bookmarkEnd w:id="312"/>
    </w:p>
    <w:p w:rsidR="000D28B8" w:rsidRPr="005173A2" w:rsidRDefault="000D28B8" w:rsidP="005173A2">
      <w:pPr>
        <w:spacing w:after="240"/>
        <w:rPr>
          <w:rFonts w:ascii="Arial" w:hAnsi="Arial" w:cs="Arial"/>
          <w:b/>
          <w:sz w:val="24"/>
        </w:rPr>
      </w:pPr>
      <w:bookmarkStart w:id="314" w:name="_Toc484441296"/>
      <w:bookmarkStart w:id="315" w:name="_Toc486145272"/>
      <w:bookmarkEnd w:id="313"/>
      <w:r w:rsidRPr="005173A2">
        <w:rPr>
          <w:rFonts w:ascii="Arial" w:hAnsi="Arial" w:cs="Arial"/>
          <w:b/>
          <w:sz w:val="24"/>
        </w:rPr>
        <w:t>Attribution</w:t>
      </w:r>
      <w:bookmarkEnd w:id="314"/>
      <w:bookmarkEnd w:id="315"/>
    </w:p>
    <w:p w:rsidR="000D28B8" w:rsidRPr="00C1096A" w:rsidRDefault="000D28B8" w:rsidP="00C7408A">
      <w:pPr>
        <w:spacing w:after="240"/>
        <w:rPr>
          <w:rFonts w:ascii="Arial" w:hAnsi="Arial" w:cs="Arial"/>
        </w:rPr>
      </w:pPr>
      <w:r w:rsidRPr="00C1096A">
        <w:rPr>
          <w:rFonts w:ascii="Arial" w:hAnsi="Arial" w:cs="Arial"/>
        </w:rPr>
        <w:t>The research findings and their usage have occurred in close cooperation with industry. No other attribution factors have been included in the valuation. All benefits are attributed to the investment in DAQ1401.</w:t>
      </w:r>
    </w:p>
    <w:p w:rsidR="000D28B8" w:rsidRPr="005173A2" w:rsidRDefault="000D28B8" w:rsidP="005173A2">
      <w:pPr>
        <w:spacing w:after="240"/>
        <w:rPr>
          <w:rFonts w:ascii="Arial" w:hAnsi="Arial" w:cs="Arial"/>
          <w:b/>
          <w:sz w:val="24"/>
        </w:rPr>
      </w:pPr>
      <w:bookmarkStart w:id="316" w:name="_Toc484441297"/>
      <w:bookmarkStart w:id="317" w:name="_Toc486145273"/>
      <w:r w:rsidRPr="005173A2">
        <w:rPr>
          <w:rFonts w:ascii="Arial" w:hAnsi="Arial" w:cs="Arial"/>
          <w:b/>
          <w:sz w:val="24"/>
        </w:rPr>
        <w:t>Additional Costs</w:t>
      </w:r>
      <w:bookmarkEnd w:id="316"/>
      <w:bookmarkEnd w:id="317"/>
    </w:p>
    <w:p w:rsidR="000D28B8" w:rsidRPr="00C1096A" w:rsidRDefault="000D28B8" w:rsidP="00C7408A">
      <w:pPr>
        <w:spacing w:after="240"/>
        <w:rPr>
          <w:rFonts w:ascii="Arial" w:hAnsi="Arial" w:cs="Arial"/>
        </w:rPr>
      </w:pPr>
      <w:r w:rsidRPr="00C1096A">
        <w:rPr>
          <w:rFonts w:ascii="Arial" w:hAnsi="Arial" w:cs="Arial"/>
        </w:rPr>
        <w:t xml:space="preserve">Planting early requires a higher number of seeds to be sown per hectare and mandates the need for seed dressings, that many growers typically use for September sowing but some avoid. Using standard seed for September sowings, growers would use basic treated seed at a cost of approximately $65-87/ha. For August sowing utilising a higher planting rate and fully treated seed the costs would be $132-149/ha. Over the four years of commercial scale trials as part of project DAQ1401, the increased seeding/treatment cost has been the only consistently increased production cost. Each year however, this was partly offset by a saving in irrigation usage which varied between 1-1.6ML/ha. This was due to the August sown crops being compact and setting bolls during a cooler time of year and therefore transpiring less water during the life of the crop compared to September sowing which matures the bolls later when conditions are hotter. The value of the saving in water would be considerable but might vary between growers depending on whether they flood harvest or are channel irrigators (Paul Grundy, pers. comm., 2017). </w:t>
      </w:r>
    </w:p>
    <w:p w:rsidR="000D28B8" w:rsidRPr="00C1096A" w:rsidRDefault="000D28B8" w:rsidP="00C7408A">
      <w:pPr>
        <w:spacing w:after="240"/>
        <w:rPr>
          <w:rFonts w:ascii="Arial" w:hAnsi="Arial" w:cs="Arial"/>
        </w:rPr>
      </w:pPr>
      <w:r w:rsidRPr="00C1096A">
        <w:rPr>
          <w:rFonts w:ascii="Arial" w:hAnsi="Arial" w:cs="Arial"/>
        </w:rPr>
        <w:t xml:space="preserve">Insect management was more variable for the August sown crops as it depended on the season. However, the early sown crops tended to utilise one additional insecticide application per season at a cost of $6-12/ha. On the other hand, none of the August sown crops ever required Mepiquat Chloride applications which have been standard in September sowings at a cost of $6-12/ha thus offsetting the additional insecticide application in most years (Paul Grundy, pers. comm., 2017). </w:t>
      </w:r>
    </w:p>
    <w:p w:rsidR="000D28B8" w:rsidRPr="00C1096A" w:rsidRDefault="000D28B8" w:rsidP="00C7408A">
      <w:pPr>
        <w:spacing w:after="240"/>
        <w:rPr>
          <w:rFonts w:ascii="Arial" w:hAnsi="Arial" w:cs="Arial"/>
        </w:rPr>
      </w:pPr>
      <w:r w:rsidRPr="00C1096A">
        <w:rPr>
          <w:rFonts w:ascii="Arial" w:hAnsi="Arial" w:cs="Arial"/>
        </w:rPr>
        <w:t>It was assumed, based on the information provided, that additional costs of approximately $140/ha would be incurred by growers adopting August sowing for cotton crops in the Central Highlands. It was further assumed the probability of incurring this additional cost was 50% given the potential for offsetting water savings depending on the season and prevailing crop management practices.</w:t>
      </w:r>
    </w:p>
    <w:p w:rsidR="000D28B8" w:rsidRPr="005173A2" w:rsidRDefault="000D28B8" w:rsidP="005173A2">
      <w:pPr>
        <w:spacing w:after="240"/>
        <w:rPr>
          <w:rFonts w:ascii="Arial" w:hAnsi="Arial" w:cs="Arial"/>
          <w:b/>
          <w:sz w:val="24"/>
        </w:rPr>
      </w:pPr>
      <w:bookmarkStart w:id="318" w:name="_Toc484441298"/>
      <w:bookmarkStart w:id="319" w:name="_Toc486145274"/>
      <w:r w:rsidRPr="005173A2">
        <w:rPr>
          <w:rFonts w:ascii="Arial" w:hAnsi="Arial" w:cs="Arial"/>
          <w:b/>
          <w:sz w:val="24"/>
        </w:rPr>
        <w:t>Extension</w:t>
      </w:r>
      <w:bookmarkEnd w:id="318"/>
      <w:bookmarkEnd w:id="319"/>
    </w:p>
    <w:p w:rsidR="000D28B8" w:rsidRPr="00C1096A" w:rsidRDefault="000D28B8" w:rsidP="00C7408A">
      <w:pPr>
        <w:spacing w:after="240"/>
        <w:rPr>
          <w:rFonts w:ascii="Arial" w:hAnsi="Arial" w:cs="Arial"/>
        </w:rPr>
      </w:pPr>
      <w:r w:rsidRPr="00C1096A">
        <w:rPr>
          <w:rFonts w:ascii="Arial" w:hAnsi="Arial" w:cs="Arial"/>
        </w:rPr>
        <w:t>As extension has been a component of the project throughout the trials, it is assumed that adoption will not require additional extension resources to those already undertaken.</w:t>
      </w:r>
    </w:p>
    <w:p w:rsidR="000D28B8" w:rsidRPr="005173A2" w:rsidRDefault="000D28B8" w:rsidP="005173A2">
      <w:pPr>
        <w:spacing w:after="240"/>
        <w:rPr>
          <w:rFonts w:ascii="Arial" w:hAnsi="Arial" w:cs="Arial"/>
          <w:b/>
          <w:sz w:val="24"/>
        </w:rPr>
      </w:pPr>
      <w:bookmarkStart w:id="320" w:name="_Toc484441299"/>
      <w:bookmarkStart w:id="321" w:name="_Toc486145275"/>
      <w:r w:rsidRPr="005173A2">
        <w:rPr>
          <w:rFonts w:ascii="Arial" w:hAnsi="Arial" w:cs="Arial"/>
          <w:b/>
          <w:sz w:val="24"/>
        </w:rPr>
        <w:t>Summary of Assumptions</w:t>
      </w:r>
      <w:bookmarkEnd w:id="320"/>
      <w:bookmarkEnd w:id="321"/>
    </w:p>
    <w:p w:rsidR="000D28B8" w:rsidRPr="00C1096A" w:rsidRDefault="000D28B8" w:rsidP="00B35480">
      <w:pPr>
        <w:rPr>
          <w:rFonts w:ascii="Arial" w:hAnsi="Arial" w:cs="Arial"/>
        </w:rPr>
      </w:pPr>
      <w:r w:rsidRPr="00C1096A">
        <w:rPr>
          <w:rFonts w:ascii="Arial" w:hAnsi="Arial" w:cs="Arial"/>
        </w:rPr>
        <w:t xml:space="preserve">A summary of the key assumptions made for the valuation of impacts is shown </w:t>
      </w:r>
      <w:r w:rsidR="003147F5">
        <w:rPr>
          <w:rFonts w:ascii="Arial" w:hAnsi="Arial" w:cs="Arial"/>
        </w:rPr>
        <w:t>in Table 6</w:t>
      </w:r>
      <w:r w:rsidRPr="00C1096A">
        <w:rPr>
          <w:rFonts w:ascii="Arial" w:hAnsi="Arial" w:cs="Arial"/>
        </w:rPr>
        <w:t>.</w:t>
      </w:r>
    </w:p>
    <w:p w:rsidR="00B57B13" w:rsidRDefault="00B57B13" w:rsidP="00B35480">
      <w:pPr>
        <w:jc w:val="center"/>
        <w:rPr>
          <w:rFonts w:ascii="Arial" w:hAnsi="Arial" w:cs="Arial"/>
        </w:rPr>
      </w:pPr>
      <w:bookmarkStart w:id="322" w:name="_Ref479862571"/>
      <w:bookmarkStart w:id="323" w:name="_Toc484441233"/>
    </w:p>
    <w:p w:rsidR="000D28B8" w:rsidRPr="00C1096A" w:rsidRDefault="000D28B8" w:rsidP="00C7408A">
      <w:pPr>
        <w:spacing w:after="240"/>
        <w:jc w:val="center"/>
        <w:rPr>
          <w:rFonts w:ascii="Arial" w:hAnsi="Arial" w:cs="Arial"/>
        </w:rPr>
      </w:pPr>
      <w:r w:rsidRPr="00C1096A">
        <w:rPr>
          <w:rFonts w:ascii="Arial" w:hAnsi="Arial" w:cs="Arial"/>
        </w:rPr>
        <w:t xml:space="preserve">Table </w:t>
      </w:r>
      <w:bookmarkEnd w:id="322"/>
      <w:r w:rsidR="003147F5">
        <w:rPr>
          <w:rFonts w:ascii="Arial" w:hAnsi="Arial" w:cs="Arial"/>
        </w:rPr>
        <w:t>6</w:t>
      </w:r>
      <w:r w:rsidRPr="00C1096A">
        <w:rPr>
          <w:rFonts w:ascii="Arial" w:hAnsi="Arial" w:cs="Arial"/>
        </w:rPr>
        <w:t>: Summary of Assumptions</w:t>
      </w:r>
      <w:bookmarkEnd w:id="323"/>
    </w:p>
    <w:tbl>
      <w:tblPr>
        <w:tblStyle w:val="TableGrid"/>
        <w:tblW w:w="9449" w:type="dxa"/>
        <w:jc w:val="center"/>
        <w:tblLook w:val="04A0" w:firstRow="1" w:lastRow="0" w:firstColumn="1" w:lastColumn="0" w:noHBand="0" w:noVBand="1"/>
      </w:tblPr>
      <w:tblGrid>
        <w:gridCol w:w="3402"/>
        <w:gridCol w:w="2410"/>
        <w:gridCol w:w="3637"/>
      </w:tblGrid>
      <w:tr w:rsidR="000D28B8" w:rsidRPr="000029F1" w:rsidTr="000029F1">
        <w:trPr>
          <w:trHeight w:val="340"/>
          <w:jc w:val="center"/>
        </w:trPr>
        <w:tc>
          <w:tcPr>
            <w:tcW w:w="3402" w:type="dxa"/>
            <w:vAlign w:val="center"/>
          </w:tcPr>
          <w:p w:rsidR="000D28B8" w:rsidRPr="000029F1" w:rsidRDefault="000D28B8" w:rsidP="00B35480">
            <w:pPr>
              <w:rPr>
                <w:rFonts w:ascii="Arial" w:hAnsi="Arial" w:cs="Arial"/>
                <w:b/>
                <w:color w:val="000000" w:themeColor="text1"/>
                <w:sz w:val="22"/>
                <w:szCs w:val="22"/>
              </w:rPr>
            </w:pPr>
            <w:r w:rsidRPr="000029F1">
              <w:rPr>
                <w:rFonts w:ascii="Arial" w:hAnsi="Arial" w:cs="Arial"/>
                <w:b/>
                <w:color w:val="000000" w:themeColor="text1"/>
                <w:sz w:val="22"/>
                <w:szCs w:val="22"/>
              </w:rPr>
              <w:t xml:space="preserve">Variable </w:t>
            </w:r>
          </w:p>
        </w:tc>
        <w:tc>
          <w:tcPr>
            <w:tcW w:w="2410" w:type="dxa"/>
            <w:vAlign w:val="center"/>
          </w:tcPr>
          <w:p w:rsidR="000D28B8" w:rsidRPr="000029F1" w:rsidRDefault="000D28B8" w:rsidP="00B35480">
            <w:pPr>
              <w:rPr>
                <w:rFonts w:ascii="Arial" w:hAnsi="Arial" w:cs="Arial"/>
                <w:b/>
                <w:color w:val="000000" w:themeColor="text1"/>
                <w:sz w:val="22"/>
                <w:szCs w:val="22"/>
              </w:rPr>
            </w:pPr>
            <w:r w:rsidRPr="000029F1">
              <w:rPr>
                <w:rFonts w:ascii="Arial" w:hAnsi="Arial" w:cs="Arial"/>
                <w:b/>
                <w:color w:val="000000" w:themeColor="text1"/>
                <w:sz w:val="22"/>
                <w:szCs w:val="22"/>
              </w:rPr>
              <w:t>Assumption</w:t>
            </w:r>
          </w:p>
        </w:tc>
        <w:tc>
          <w:tcPr>
            <w:tcW w:w="3637" w:type="dxa"/>
            <w:vAlign w:val="center"/>
          </w:tcPr>
          <w:p w:rsidR="000D28B8" w:rsidRPr="000029F1" w:rsidRDefault="000D28B8" w:rsidP="00B35480">
            <w:pPr>
              <w:rPr>
                <w:rFonts w:ascii="Arial" w:hAnsi="Arial" w:cs="Arial"/>
                <w:b/>
                <w:color w:val="000000" w:themeColor="text1"/>
                <w:sz w:val="22"/>
                <w:szCs w:val="22"/>
              </w:rPr>
            </w:pPr>
            <w:r w:rsidRPr="000029F1">
              <w:rPr>
                <w:rFonts w:ascii="Arial" w:hAnsi="Arial" w:cs="Arial"/>
                <w:b/>
                <w:color w:val="000000" w:themeColor="text1"/>
                <w:sz w:val="22"/>
                <w:szCs w:val="22"/>
              </w:rPr>
              <w:t>Source</w:t>
            </w:r>
          </w:p>
        </w:tc>
      </w:tr>
      <w:tr w:rsidR="000D28B8" w:rsidRPr="000029F1" w:rsidTr="000029F1">
        <w:trPr>
          <w:trHeight w:val="340"/>
          <w:jc w:val="center"/>
        </w:trPr>
        <w:tc>
          <w:tcPr>
            <w:tcW w:w="9449" w:type="dxa"/>
            <w:gridSpan w:val="3"/>
            <w:shd w:val="clear" w:color="auto" w:fill="D9D9D9" w:themeFill="background1" w:themeFillShade="D9"/>
            <w:vAlign w:val="center"/>
          </w:tcPr>
          <w:p w:rsidR="000D28B8" w:rsidRPr="000029F1" w:rsidRDefault="000D28B8" w:rsidP="00B35480">
            <w:pPr>
              <w:rPr>
                <w:rFonts w:ascii="Arial" w:hAnsi="Arial" w:cs="Arial"/>
                <w:b/>
                <w:color w:val="000000" w:themeColor="text1"/>
                <w:sz w:val="22"/>
                <w:szCs w:val="22"/>
              </w:rPr>
            </w:pPr>
            <w:r w:rsidRPr="000029F1">
              <w:rPr>
                <w:rFonts w:ascii="Arial" w:hAnsi="Arial" w:cs="Arial"/>
                <w:b/>
                <w:color w:val="000000" w:themeColor="text1"/>
                <w:sz w:val="22"/>
                <w:szCs w:val="22"/>
              </w:rPr>
              <w:t>Benefit 1: Increased average yields</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Average area of irrigated cotton – Central Highlands (10-year average)</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14,800 ha</w:t>
            </w:r>
          </w:p>
        </w:tc>
        <w:tc>
          <w:tcPr>
            <w:tcW w:w="3637" w:type="dxa"/>
            <w:vMerge w:val="restart"/>
          </w:tcPr>
          <w:p w:rsidR="000D28B8" w:rsidRPr="000029F1" w:rsidRDefault="000D28B8" w:rsidP="00B35480">
            <w:pPr>
              <w:rPr>
                <w:rFonts w:ascii="Arial" w:hAnsi="Arial" w:cs="Arial"/>
                <w:color w:val="000000" w:themeColor="text1"/>
                <w:sz w:val="22"/>
                <w:szCs w:val="22"/>
              </w:rPr>
            </w:pPr>
            <w:r w:rsidRPr="000029F1">
              <w:rPr>
                <w:rFonts w:ascii="Arial" w:hAnsi="Arial" w:cs="Arial"/>
                <w:noProof/>
                <w:color w:val="000000" w:themeColor="text1"/>
                <w:sz w:val="22"/>
                <w:szCs w:val="22"/>
              </w:rPr>
              <w:t>Based on date obtained from The Australian Cottongrower, 2010, 2011, 2012, 2013, 2014, 2015 &amp; 2016</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Average yield for irrigated cotton – Central Highlands (10-year average)</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8.0 bales/ha</w:t>
            </w:r>
          </w:p>
        </w:tc>
        <w:tc>
          <w:tcPr>
            <w:tcW w:w="3637" w:type="dxa"/>
            <w:vMerge/>
          </w:tcPr>
          <w:p w:rsidR="000D28B8" w:rsidRPr="000029F1" w:rsidRDefault="000D28B8" w:rsidP="00B35480">
            <w:pPr>
              <w:rPr>
                <w:rFonts w:ascii="Arial" w:hAnsi="Arial" w:cs="Arial"/>
                <w:color w:val="000000" w:themeColor="text1"/>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Average price of cotton lint (5-year average)</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$480/bale</w:t>
            </w:r>
          </w:p>
        </w:tc>
        <w:tc>
          <w:tcPr>
            <w:tcW w:w="3637" w:type="dxa"/>
          </w:tcPr>
          <w:p w:rsidR="000D28B8" w:rsidRPr="000029F1" w:rsidRDefault="000D28B8" w:rsidP="00B35480">
            <w:pPr>
              <w:rPr>
                <w:rFonts w:ascii="Arial" w:hAnsi="Arial" w:cs="Arial"/>
                <w:color w:val="000000" w:themeColor="text1"/>
                <w:sz w:val="22"/>
                <w:szCs w:val="22"/>
              </w:rPr>
            </w:pPr>
            <w:r w:rsidRPr="000029F1">
              <w:rPr>
                <w:rFonts w:ascii="Arial" w:hAnsi="Arial" w:cs="Arial"/>
                <w:noProof/>
                <w:color w:val="000000" w:themeColor="text1"/>
                <w:sz w:val="22"/>
                <w:szCs w:val="22"/>
              </w:rPr>
              <w:t>Based on data obtained from the Australian Grown Cotton Sustainability Report, 2014</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First year of impact</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2018</w:t>
            </w:r>
          </w:p>
        </w:tc>
        <w:tc>
          <w:tcPr>
            <w:tcW w:w="3637"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Agtrans Research based on project DAQ1401 being completed 30 June 2017</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Maximum adoption</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50% of Central Highlands irrigated crop area</w:t>
            </w:r>
          </w:p>
        </w:tc>
        <w:tc>
          <w:tcPr>
            <w:tcW w:w="3637" w:type="dxa"/>
            <w:vMerge w:val="restart"/>
          </w:tcPr>
          <w:p w:rsidR="000D28B8" w:rsidRPr="000029F1" w:rsidRDefault="000D28B8" w:rsidP="00B35480">
            <w:pPr>
              <w:rPr>
                <w:rFonts w:ascii="Arial" w:hAnsi="Arial" w:cs="Arial"/>
                <w:sz w:val="22"/>
                <w:szCs w:val="22"/>
              </w:rPr>
            </w:pPr>
            <w:r w:rsidRPr="000029F1">
              <w:rPr>
                <w:rFonts w:ascii="Arial" w:hAnsi="Arial" w:cs="Arial"/>
                <w:sz w:val="22"/>
                <w:szCs w:val="22"/>
              </w:rPr>
              <w:t>Agtrans Research</w:t>
            </w:r>
            <w:r w:rsidRPr="000029F1">
              <w:rPr>
                <w:rFonts w:ascii="Arial" w:hAnsi="Arial" w:cs="Arial"/>
                <w:sz w:val="22"/>
                <w:szCs w:val="22"/>
                <w:vertAlign w:val="superscript"/>
              </w:rPr>
              <w:t>(a)</w:t>
            </w:r>
          </w:p>
        </w:tc>
      </w:tr>
      <w:tr w:rsidR="000D28B8" w:rsidRPr="000029F1" w:rsidTr="000029F1">
        <w:trPr>
          <w:trHeight w:val="283"/>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Time to maximum adoption</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3 years</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Average yield improvement</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20%</w:t>
            </w:r>
          </w:p>
        </w:tc>
        <w:tc>
          <w:tcPr>
            <w:tcW w:w="3637"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Agtrans Research (based on yield data obtained during the commercial scale trials for DAQ1401)</w:t>
            </w:r>
          </w:p>
        </w:tc>
      </w:tr>
      <w:tr w:rsidR="000D28B8" w:rsidRPr="000029F1" w:rsidTr="000029F1">
        <w:trPr>
          <w:jc w:val="center"/>
        </w:trPr>
        <w:tc>
          <w:tcPr>
            <w:tcW w:w="9449" w:type="dxa"/>
            <w:gridSpan w:val="3"/>
          </w:tcPr>
          <w:p w:rsidR="000D28B8" w:rsidRPr="000029F1" w:rsidRDefault="000D28B8" w:rsidP="00B35480">
            <w:pPr>
              <w:rPr>
                <w:rFonts w:ascii="Arial" w:hAnsi="Arial" w:cs="Arial"/>
                <w:color w:val="000000" w:themeColor="text1"/>
                <w:sz w:val="22"/>
                <w:szCs w:val="22"/>
              </w:rPr>
            </w:pPr>
            <w:r w:rsidRPr="000029F1">
              <w:rPr>
                <w:rFonts w:ascii="Arial" w:hAnsi="Arial" w:cs="Arial"/>
                <w:b/>
                <w:color w:val="000000" w:themeColor="text1"/>
                <w:sz w:val="22"/>
                <w:szCs w:val="22"/>
              </w:rPr>
              <w:t>Risk Factors</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Probability of output</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100%</w:t>
            </w:r>
          </w:p>
        </w:tc>
        <w:tc>
          <w:tcPr>
            <w:tcW w:w="3637" w:type="dxa"/>
            <w:vMerge w:val="restart"/>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Agtrans Research</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Probability of usage</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100%</w:t>
            </w:r>
          </w:p>
        </w:tc>
        <w:tc>
          <w:tcPr>
            <w:tcW w:w="3637" w:type="dxa"/>
            <w:vMerge/>
          </w:tcPr>
          <w:p w:rsidR="000D28B8" w:rsidRPr="000029F1" w:rsidRDefault="000D28B8" w:rsidP="00B35480">
            <w:pPr>
              <w:rPr>
                <w:rFonts w:ascii="Arial" w:hAnsi="Arial" w:cs="Arial"/>
                <w:color w:val="000000" w:themeColor="text1"/>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Probability of impact</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50%</w:t>
            </w:r>
          </w:p>
        </w:tc>
        <w:tc>
          <w:tcPr>
            <w:tcW w:w="3637"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Agtrans Research (based on published interviews with trial participants and researchers)</w:t>
            </w:r>
          </w:p>
        </w:tc>
      </w:tr>
      <w:tr w:rsidR="000D28B8" w:rsidRPr="000029F1" w:rsidTr="000029F1">
        <w:trPr>
          <w:trHeight w:val="340"/>
          <w:jc w:val="center"/>
        </w:trPr>
        <w:tc>
          <w:tcPr>
            <w:tcW w:w="9449" w:type="dxa"/>
            <w:gridSpan w:val="3"/>
            <w:shd w:val="clear" w:color="auto" w:fill="D9D9D9" w:themeFill="background1" w:themeFillShade="D9"/>
            <w:vAlign w:val="center"/>
          </w:tcPr>
          <w:p w:rsidR="000D28B8" w:rsidRPr="000029F1" w:rsidRDefault="000D28B8" w:rsidP="00B35480">
            <w:pPr>
              <w:rPr>
                <w:rFonts w:ascii="Arial" w:hAnsi="Arial" w:cs="Arial"/>
                <w:b/>
                <w:color w:val="000000" w:themeColor="text1"/>
                <w:sz w:val="22"/>
                <w:szCs w:val="22"/>
              </w:rPr>
            </w:pPr>
            <w:r w:rsidRPr="000029F1">
              <w:rPr>
                <w:rFonts w:ascii="Arial" w:hAnsi="Arial" w:cs="Arial"/>
                <w:b/>
                <w:color w:val="000000" w:themeColor="text1"/>
                <w:sz w:val="22"/>
                <w:szCs w:val="22"/>
              </w:rPr>
              <w:t>Benefit 2: Reduced crop losses in years with severe weather events</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Average area of irrigated cotton – Central Highlands (10-year average)</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14,800 ha</w:t>
            </w:r>
          </w:p>
        </w:tc>
        <w:tc>
          <w:tcPr>
            <w:tcW w:w="3637" w:type="dxa"/>
            <w:vMerge w:val="restart"/>
          </w:tcPr>
          <w:p w:rsidR="000D28B8" w:rsidRPr="000029F1" w:rsidRDefault="000D28B8" w:rsidP="00B35480">
            <w:pPr>
              <w:rPr>
                <w:rFonts w:ascii="Arial" w:hAnsi="Arial" w:cs="Arial"/>
                <w:color w:val="000000" w:themeColor="text1"/>
                <w:sz w:val="22"/>
                <w:szCs w:val="22"/>
              </w:rPr>
            </w:pPr>
            <w:r w:rsidRPr="000029F1">
              <w:rPr>
                <w:rFonts w:ascii="Arial" w:hAnsi="Arial" w:cs="Arial"/>
                <w:noProof/>
                <w:color w:val="000000" w:themeColor="text1"/>
                <w:sz w:val="22"/>
                <w:szCs w:val="22"/>
              </w:rPr>
              <w:t>Based on date obtained from The Australian Cottongrower, 2010, 2011, 2012, 2013, 2014, 2015 &amp; 2016</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Average yield for irrigated cotton – Central Highlands (10-year average)</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8.0 bales/ha</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Average price of cotton lint (5-year average)</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$480/bale</w:t>
            </w:r>
          </w:p>
        </w:tc>
        <w:tc>
          <w:tcPr>
            <w:tcW w:w="3637" w:type="dxa"/>
          </w:tcPr>
          <w:p w:rsidR="000D28B8" w:rsidRPr="000029F1" w:rsidRDefault="000D28B8" w:rsidP="00B35480">
            <w:pPr>
              <w:rPr>
                <w:rFonts w:ascii="Arial" w:hAnsi="Arial" w:cs="Arial"/>
                <w:sz w:val="22"/>
                <w:szCs w:val="22"/>
              </w:rPr>
            </w:pPr>
            <w:r w:rsidRPr="000029F1">
              <w:rPr>
                <w:rFonts w:ascii="Arial" w:hAnsi="Arial" w:cs="Arial"/>
                <w:noProof/>
                <w:color w:val="000000" w:themeColor="text1"/>
                <w:sz w:val="22"/>
                <w:szCs w:val="22"/>
              </w:rPr>
              <w:t>Based on data obtained from the Australian Grown Cotton Sustainability Report, 2014</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First year of impact</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2018</w:t>
            </w:r>
          </w:p>
        </w:tc>
        <w:tc>
          <w:tcPr>
            <w:tcW w:w="3637"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Agtrans Research based on project DAQ1401 being completed 30 June 2017</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Maximum adoption</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50% of Central Highlands irrigated crop area</w:t>
            </w:r>
          </w:p>
        </w:tc>
        <w:tc>
          <w:tcPr>
            <w:tcW w:w="3637" w:type="dxa"/>
            <w:vMerge w:val="restart"/>
          </w:tcPr>
          <w:p w:rsidR="000D28B8" w:rsidRPr="000029F1" w:rsidRDefault="000D28B8" w:rsidP="00B35480">
            <w:pPr>
              <w:rPr>
                <w:rFonts w:ascii="Arial" w:hAnsi="Arial" w:cs="Arial"/>
                <w:sz w:val="22"/>
                <w:szCs w:val="22"/>
              </w:rPr>
            </w:pPr>
            <w:r w:rsidRPr="000029F1">
              <w:rPr>
                <w:rFonts w:ascii="Arial" w:hAnsi="Arial" w:cs="Arial"/>
                <w:sz w:val="22"/>
                <w:szCs w:val="22"/>
              </w:rPr>
              <w:t>Agtrans Research</w:t>
            </w:r>
            <w:r w:rsidRPr="000029F1">
              <w:rPr>
                <w:rFonts w:ascii="Arial" w:hAnsi="Arial" w:cs="Arial"/>
                <w:sz w:val="22"/>
                <w:szCs w:val="22"/>
                <w:vertAlign w:val="superscript"/>
              </w:rPr>
              <w:t>(a)</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Time to maximum adoption</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3 years</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Frequency of severe weather events occurring from mid-February</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10% (1 year in 10)</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Production losses for crops sown at traditional times in years with severe weather events</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50%</w:t>
            </w:r>
          </w:p>
        </w:tc>
        <w:tc>
          <w:tcPr>
            <w:tcW w:w="3637" w:type="dxa"/>
          </w:tcPr>
          <w:p w:rsidR="000D28B8" w:rsidRPr="000029F1" w:rsidRDefault="000D28B8" w:rsidP="00B35480">
            <w:pPr>
              <w:rPr>
                <w:rFonts w:ascii="Arial" w:hAnsi="Arial" w:cs="Arial"/>
                <w:sz w:val="22"/>
                <w:szCs w:val="22"/>
              </w:rPr>
            </w:pPr>
            <w:r w:rsidRPr="000029F1">
              <w:rPr>
                <w:rFonts w:ascii="Arial" w:hAnsi="Arial" w:cs="Arial"/>
                <w:noProof/>
                <w:sz w:val="22"/>
                <w:szCs w:val="22"/>
              </w:rPr>
              <w:t>Agtrans Research based on reports of crop losses due to flooding (e.g. ABC Rural, 2011)</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Production losses (reduced) for growers who adopt early sowing in years with severe weather events</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Nil</w:t>
            </w:r>
          </w:p>
        </w:tc>
        <w:tc>
          <w:tcPr>
            <w:tcW w:w="3637" w:type="dxa"/>
          </w:tcPr>
          <w:p w:rsidR="000D28B8" w:rsidRPr="000029F1" w:rsidRDefault="000D28B8" w:rsidP="00B35480">
            <w:pPr>
              <w:rPr>
                <w:rFonts w:ascii="Arial" w:hAnsi="Arial" w:cs="Arial"/>
                <w:sz w:val="22"/>
                <w:szCs w:val="22"/>
              </w:rPr>
            </w:pPr>
            <w:r w:rsidRPr="000029F1">
              <w:rPr>
                <w:rFonts w:ascii="Arial" w:hAnsi="Arial" w:cs="Arial"/>
                <w:sz w:val="22"/>
                <w:szCs w:val="22"/>
              </w:rPr>
              <w:t>Agtrans Research</w:t>
            </w:r>
            <w:r w:rsidRPr="000029F1">
              <w:rPr>
                <w:rFonts w:ascii="Arial" w:hAnsi="Arial" w:cs="Arial"/>
                <w:sz w:val="22"/>
                <w:szCs w:val="22"/>
                <w:vertAlign w:val="superscript"/>
              </w:rPr>
              <w:t>(a)</w:t>
            </w:r>
          </w:p>
        </w:tc>
      </w:tr>
      <w:tr w:rsidR="000D28B8" w:rsidRPr="000029F1" w:rsidTr="000029F1">
        <w:trPr>
          <w:jc w:val="center"/>
        </w:trPr>
        <w:tc>
          <w:tcPr>
            <w:tcW w:w="9449" w:type="dxa"/>
            <w:gridSpan w:val="3"/>
          </w:tcPr>
          <w:p w:rsidR="000D28B8" w:rsidRPr="000029F1" w:rsidRDefault="000D28B8" w:rsidP="00B35480">
            <w:pPr>
              <w:rPr>
                <w:rFonts w:ascii="Arial" w:hAnsi="Arial" w:cs="Arial"/>
                <w:sz w:val="22"/>
                <w:szCs w:val="22"/>
              </w:rPr>
            </w:pPr>
            <w:r w:rsidRPr="000029F1">
              <w:rPr>
                <w:rFonts w:ascii="Arial" w:hAnsi="Arial" w:cs="Arial"/>
                <w:b/>
                <w:color w:val="000000" w:themeColor="text1"/>
                <w:sz w:val="22"/>
                <w:szCs w:val="22"/>
              </w:rPr>
              <w:t>Risk Factors</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Probability of output</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100%</w:t>
            </w:r>
          </w:p>
        </w:tc>
        <w:tc>
          <w:tcPr>
            <w:tcW w:w="3637" w:type="dxa"/>
            <w:vMerge w:val="restart"/>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Agtrans Research</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Probability of usage</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100%</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Probability of impact</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50%</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trHeight w:val="340"/>
          <w:jc w:val="center"/>
        </w:trPr>
        <w:tc>
          <w:tcPr>
            <w:tcW w:w="9449" w:type="dxa"/>
            <w:gridSpan w:val="3"/>
            <w:shd w:val="clear" w:color="auto" w:fill="D9D9D9" w:themeFill="background1" w:themeFillShade="D9"/>
            <w:vAlign w:val="center"/>
          </w:tcPr>
          <w:p w:rsidR="000D28B8" w:rsidRPr="000029F1" w:rsidRDefault="000D28B8" w:rsidP="00B35480">
            <w:pPr>
              <w:rPr>
                <w:rFonts w:ascii="Arial" w:hAnsi="Arial" w:cs="Arial"/>
                <w:sz w:val="22"/>
                <w:szCs w:val="22"/>
              </w:rPr>
            </w:pPr>
            <w:r w:rsidRPr="000029F1">
              <w:rPr>
                <w:rFonts w:ascii="Arial" w:hAnsi="Arial" w:cs="Arial"/>
                <w:b/>
                <w:color w:val="000000" w:themeColor="text1"/>
                <w:sz w:val="22"/>
                <w:szCs w:val="22"/>
              </w:rPr>
              <w:t xml:space="preserve">Benefit 3: Reduced incidence of quality discounts  </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Average area of irrigated cotton – Central Highlands (10-year average)</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14,800 ha</w:t>
            </w:r>
          </w:p>
        </w:tc>
        <w:tc>
          <w:tcPr>
            <w:tcW w:w="3637" w:type="dxa"/>
            <w:vMerge w:val="restart"/>
          </w:tcPr>
          <w:p w:rsidR="000D28B8" w:rsidRPr="000029F1" w:rsidRDefault="000D28B8" w:rsidP="00B35480">
            <w:pPr>
              <w:rPr>
                <w:rFonts w:ascii="Arial" w:hAnsi="Arial" w:cs="Arial"/>
                <w:sz w:val="22"/>
                <w:szCs w:val="22"/>
              </w:rPr>
            </w:pPr>
            <w:r w:rsidRPr="000029F1">
              <w:rPr>
                <w:rFonts w:ascii="Arial" w:hAnsi="Arial" w:cs="Arial"/>
                <w:noProof/>
                <w:color w:val="000000" w:themeColor="text1"/>
                <w:sz w:val="22"/>
                <w:szCs w:val="22"/>
              </w:rPr>
              <w:t>Based on date obtained from The Australian Cottongrower, 2010, 2011, 2012, 2013, 2014, 2015 &amp; 2016</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Average yield for irrigated cotton – Central Highlands (10-year average)</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8.0 bales/ha</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Average price of cotton lint (5-year average)</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$480/bale</w:t>
            </w:r>
          </w:p>
        </w:tc>
        <w:tc>
          <w:tcPr>
            <w:tcW w:w="3637" w:type="dxa"/>
          </w:tcPr>
          <w:p w:rsidR="000D28B8" w:rsidRPr="000029F1" w:rsidRDefault="000D28B8" w:rsidP="00B35480">
            <w:pPr>
              <w:rPr>
                <w:rFonts w:ascii="Arial" w:hAnsi="Arial" w:cs="Arial"/>
                <w:sz w:val="22"/>
                <w:szCs w:val="22"/>
              </w:rPr>
            </w:pPr>
            <w:r w:rsidRPr="000029F1">
              <w:rPr>
                <w:rFonts w:ascii="Arial" w:hAnsi="Arial" w:cs="Arial"/>
                <w:noProof/>
                <w:color w:val="000000" w:themeColor="text1"/>
                <w:sz w:val="22"/>
                <w:szCs w:val="22"/>
              </w:rPr>
              <w:t>Based on data obtained from the Australian Grown Cotton Sustainability Report, 2014</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First year of impact</w:t>
            </w:r>
          </w:p>
        </w:tc>
        <w:tc>
          <w:tcPr>
            <w:tcW w:w="2410"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2018</w:t>
            </w:r>
          </w:p>
        </w:tc>
        <w:tc>
          <w:tcPr>
            <w:tcW w:w="3637" w:type="dxa"/>
          </w:tcPr>
          <w:p w:rsidR="000D28B8" w:rsidRPr="000029F1" w:rsidRDefault="000D28B8" w:rsidP="00B35480">
            <w:pPr>
              <w:rPr>
                <w:rFonts w:ascii="Arial" w:hAnsi="Arial" w:cs="Arial"/>
                <w:sz w:val="22"/>
                <w:szCs w:val="22"/>
              </w:rPr>
            </w:pPr>
            <w:r w:rsidRPr="000029F1">
              <w:rPr>
                <w:rFonts w:ascii="Arial" w:hAnsi="Arial" w:cs="Arial"/>
                <w:color w:val="000000" w:themeColor="text1"/>
                <w:sz w:val="22"/>
                <w:szCs w:val="22"/>
              </w:rPr>
              <w:t>Agtrans Research based on project DAQ1401 being completed 30 June 2017</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Maximum adoption</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50% of Central Highlands irrigated crop area</w:t>
            </w:r>
          </w:p>
        </w:tc>
        <w:tc>
          <w:tcPr>
            <w:tcW w:w="3637" w:type="dxa"/>
            <w:vMerge w:val="restart"/>
          </w:tcPr>
          <w:p w:rsidR="000D28B8" w:rsidRPr="000029F1" w:rsidRDefault="000D28B8" w:rsidP="00B35480">
            <w:pPr>
              <w:rPr>
                <w:rFonts w:ascii="Arial" w:hAnsi="Arial" w:cs="Arial"/>
                <w:sz w:val="22"/>
                <w:szCs w:val="22"/>
              </w:rPr>
            </w:pPr>
            <w:r w:rsidRPr="000029F1">
              <w:rPr>
                <w:rFonts w:ascii="Arial" w:hAnsi="Arial" w:cs="Arial"/>
                <w:sz w:val="22"/>
                <w:szCs w:val="22"/>
              </w:rPr>
              <w:t>Agtrans Research</w:t>
            </w:r>
            <w:r w:rsidRPr="000029F1">
              <w:rPr>
                <w:rFonts w:ascii="Arial" w:hAnsi="Arial" w:cs="Arial"/>
                <w:sz w:val="22"/>
                <w:szCs w:val="22"/>
                <w:vertAlign w:val="superscript"/>
              </w:rPr>
              <w:t>(a)</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Time to maximum adoption</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3 years</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Frequency of variable weather conditions (e.g. wetter-than-average or hotter/more humid) years</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40% (2 year in 5)</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Average quality discounts on cotton lint for the Central Highlands in wet years for crops planted at traditional times</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$40/bale</w:t>
            </w:r>
          </w:p>
        </w:tc>
        <w:tc>
          <w:tcPr>
            <w:tcW w:w="3637" w:type="dxa"/>
          </w:tcPr>
          <w:p w:rsidR="000D28B8" w:rsidRPr="000029F1" w:rsidRDefault="000D28B8" w:rsidP="00B35480">
            <w:pPr>
              <w:rPr>
                <w:rFonts w:ascii="Arial" w:hAnsi="Arial" w:cs="Arial"/>
                <w:sz w:val="22"/>
                <w:szCs w:val="22"/>
              </w:rPr>
            </w:pPr>
            <w:r w:rsidRPr="000029F1">
              <w:rPr>
                <w:rFonts w:ascii="Arial" w:hAnsi="Arial" w:cs="Arial"/>
                <w:noProof/>
                <w:sz w:val="22"/>
                <w:szCs w:val="22"/>
              </w:rPr>
              <w:t>CRDC, 2015</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Quality discount for cotton lint for the Central Highlands in wetter/more humid years for crops planted early</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Nil</w:t>
            </w:r>
          </w:p>
        </w:tc>
        <w:tc>
          <w:tcPr>
            <w:tcW w:w="3637" w:type="dxa"/>
          </w:tcPr>
          <w:p w:rsidR="000D28B8" w:rsidRPr="000029F1" w:rsidRDefault="000D28B8" w:rsidP="00B35480">
            <w:pPr>
              <w:rPr>
                <w:rFonts w:ascii="Arial" w:hAnsi="Arial" w:cs="Arial"/>
                <w:sz w:val="22"/>
                <w:szCs w:val="22"/>
              </w:rPr>
            </w:pPr>
            <w:r w:rsidRPr="000029F1">
              <w:rPr>
                <w:rFonts w:ascii="Arial" w:hAnsi="Arial" w:cs="Arial"/>
                <w:sz w:val="22"/>
                <w:szCs w:val="22"/>
              </w:rPr>
              <w:t>Agtrans Research</w:t>
            </w:r>
            <w:r w:rsidRPr="000029F1">
              <w:rPr>
                <w:rFonts w:ascii="Arial" w:hAnsi="Arial" w:cs="Arial"/>
                <w:sz w:val="22"/>
                <w:szCs w:val="22"/>
                <w:vertAlign w:val="superscript"/>
              </w:rPr>
              <w:t>(a)</w:t>
            </w:r>
          </w:p>
        </w:tc>
      </w:tr>
      <w:tr w:rsidR="000D28B8" w:rsidRPr="000029F1" w:rsidTr="000029F1">
        <w:trPr>
          <w:jc w:val="center"/>
        </w:trPr>
        <w:tc>
          <w:tcPr>
            <w:tcW w:w="9449" w:type="dxa"/>
            <w:gridSpan w:val="3"/>
          </w:tcPr>
          <w:p w:rsidR="000D28B8" w:rsidRPr="000029F1" w:rsidRDefault="000D28B8" w:rsidP="00B35480">
            <w:pPr>
              <w:rPr>
                <w:rFonts w:ascii="Arial" w:hAnsi="Arial" w:cs="Arial"/>
                <w:b/>
                <w:sz w:val="22"/>
                <w:szCs w:val="22"/>
              </w:rPr>
            </w:pPr>
            <w:r w:rsidRPr="000029F1">
              <w:rPr>
                <w:rFonts w:ascii="Arial" w:hAnsi="Arial" w:cs="Arial"/>
                <w:b/>
                <w:sz w:val="22"/>
                <w:szCs w:val="22"/>
              </w:rPr>
              <w:t>Risk Factors</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Probability of outputs</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100%</w:t>
            </w:r>
          </w:p>
        </w:tc>
        <w:tc>
          <w:tcPr>
            <w:tcW w:w="3637" w:type="dxa"/>
            <w:vMerge w:val="restart"/>
          </w:tcPr>
          <w:p w:rsidR="000D28B8" w:rsidRPr="000029F1" w:rsidRDefault="000D28B8" w:rsidP="00B35480">
            <w:pPr>
              <w:rPr>
                <w:rFonts w:ascii="Arial" w:hAnsi="Arial" w:cs="Arial"/>
                <w:sz w:val="22"/>
                <w:szCs w:val="22"/>
              </w:rPr>
            </w:pPr>
            <w:r w:rsidRPr="000029F1">
              <w:rPr>
                <w:rFonts w:ascii="Arial" w:hAnsi="Arial" w:cs="Arial"/>
                <w:sz w:val="22"/>
                <w:szCs w:val="22"/>
              </w:rPr>
              <w:t>Agtrans Research</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Probability of usage</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100%</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Probability of impact</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50%</w:t>
            </w:r>
          </w:p>
        </w:tc>
        <w:tc>
          <w:tcPr>
            <w:tcW w:w="3637" w:type="dxa"/>
            <w:vMerge/>
          </w:tcPr>
          <w:p w:rsidR="000D28B8" w:rsidRPr="000029F1" w:rsidRDefault="000D28B8" w:rsidP="00B35480">
            <w:pPr>
              <w:rPr>
                <w:rFonts w:ascii="Arial" w:hAnsi="Arial" w:cs="Arial"/>
                <w:sz w:val="22"/>
                <w:szCs w:val="22"/>
              </w:rPr>
            </w:pPr>
          </w:p>
        </w:tc>
      </w:tr>
      <w:tr w:rsidR="000D28B8" w:rsidRPr="000029F1" w:rsidTr="000029F1">
        <w:trPr>
          <w:jc w:val="center"/>
        </w:trPr>
        <w:tc>
          <w:tcPr>
            <w:tcW w:w="9449" w:type="dxa"/>
            <w:gridSpan w:val="3"/>
            <w:shd w:val="clear" w:color="auto" w:fill="D9D9D9" w:themeFill="background1" w:themeFillShade="D9"/>
          </w:tcPr>
          <w:p w:rsidR="000D28B8" w:rsidRPr="000029F1" w:rsidRDefault="000D28B8" w:rsidP="00B35480">
            <w:pPr>
              <w:rPr>
                <w:rFonts w:ascii="Arial" w:hAnsi="Arial" w:cs="Arial"/>
                <w:color w:val="000000" w:themeColor="text1"/>
                <w:sz w:val="22"/>
                <w:szCs w:val="22"/>
              </w:rPr>
            </w:pPr>
            <w:r w:rsidRPr="000029F1">
              <w:rPr>
                <w:rFonts w:ascii="Arial" w:hAnsi="Arial" w:cs="Arial"/>
                <w:b/>
                <w:color w:val="000000" w:themeColor="text1"/>
                <w:sz w:val="22"/>
                <w:szCs w:val="22"/>
              </w:rPr>
              <w:t xml:space="preserve">COUNTERFACTUAL: </w:t>
            </w:r>
            <w:r w:rsidRPr="000029F1">
              <w:rPr>
                <w:rFonts w:ascii="Arial" w:hAnsi="Arial" w:cs="Arial"/>
                <w:color w:val="000000" w:themeColor="text1"/>
                <w:sz w:val="22"/>
                <w:szCs w:val="22"/>
              </w:rPr>
              <w:t>RD&amp;E into agronomic practices for Bollgard 3® (including early sowing) would have happened anyway.</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Cost of RD&amp;E into agronomic practices for Bollgard 3® in Central Queensland</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$1.08 million over four years</w:t>
            </w:r>
          </w:p>
        </w:tc>
        <w:tc>
          <w:tcPr>
            <w:tcW w:w="3637"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Based on total investment in DAQ1401 from 2014 to 2017 in real dollar terms</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First year of investment/RD&amp;E</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2018/19</w:t>
            </w:r>
          </w:p>
        </w:tc>
        <w:tc>
          <w:tcPr>
            <w:tcW w:w="3637"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Agtrans Research (based on first commercial release of Bollgard 3® for the 2016/17 season)</w:t>
            </w:r>
          </w:p>
        </w:tc>
      </w:tr>
      <w:tr w:rsidR="000D28B8" w:rsidRPr="000029F1" w:rsidTr="000029F1">
        <w:trPr>
          <w:jc w:val="center"/>
        </w:trPr>
        <w:tc>
          <w:tcPr>
            <w:tcW w:w="3402" w:type="dxa"/>
          </w:tcPr>
          <w:p w:rsidR="000D28B8" w:rsidRPr="000029F1" w:rsidRDefault="000D28B8" w:rsidP="00B35480">
            <w:pPr>
              <w:rPr>
                <w:rFonts w:ascii="Arial" w:hAnsi="Arial" w:cs="Arial"/>
                <w:sz w:val="22"/>
                <w:szCs w:val="22"/>
              </w:rPr>
            </w:pPr>
            <w:r w:rsidRPr="000029F1">
              <w:rPr>
                <w:rFonts w:ascii="Arial" w:hAnsi="Arial" w:cs="Arial"/>
                <w:sz w:val="22"/>
                <w:szCs w:val="22"/>
              </w:rPr>
              <w:t>First year of impact</w:t>
            </w:r>
          </w:p>
        </w:tc>
        <w:tc>
          <w:tcPr>
            <w:tcW w:w="2410" w:type="dxa"/>
          </w:tcPr>
          <w:p w:rsidR="000D28B8" w:rsidRPr="000029F1" w:rsidRDefault="000D28B8" w:rsidP="00B35480">
            <w:pPr>
              <w:rPr>
                <w:rFonts w:ascii="Arial" w:hAnsi="Arial" w:cs="Arial"/>
                <w:sz w:val="22"/>
                <w:szCs w:val="22"/>
              </w:rPr>
            </w:pPr>
            <w:r w:rsidRPr="000029F1">
              <w:rPr>
                <w:rFonts w:ascii="Arial" w:hAnsi="Arial" w:cs="Arial"/>
                <w:sz w:val="22"/>
                <w:szCs w:val="22"/>
              </w:rPr>
              <w:t>2024/25</w:t>
            </w:r>
          </w:p>
        </w:tc>
        <w:tc>
          <w:tcPr>
            <w:tcW w:w="3637" w:type="dxa"/>
          </w:tcPr>
          <w:p w:rsidR="000D28B8" w:rsidRPr="000029F1" w:rsidRDefault="000D28B8" w:rsidP="00B35480">
            <w:pPr>
              <w:rPr>
                <w:rFonts w:ascii="Arial" w:hAnsi="Arial" w:cs="Arial"/>
                <w:sz w:val="22"/>
                <w:szCs w:val="22"/>
              </w:rPr>
            </w:pPr>
            <w:r w:rsidRPr="000029F1">
              <w:rPr>
                <w:rFonts w:ascii="Arial" w:hAnsi="Arial" w:cs="Arial"/>
                <w:sz w:val="22"/>
                <w:szCs w:val="22"/>
              </w:rPr>
              <w:t>Based on six years for data collection and development of an updated resistance management plan for Bollgard 3® from 2018/19</w:t>
            </w:r>
          </w:p>
        </w:tc>
      </w:tr>
      <w:tr w:rsidR="000D28B8" w:rsidRPr="000029F1" w:rsidTr="000029F1">
        <w:trPr>
          <w:jc w:val="center"/>
        </w:trPr>
        <w:tc>
          <w:tcPr>
            <w:tcW w:w="3402"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All other variables held constant.</w:t>
            </w:r>
          </w:p>
        </w:tc>
        <w:tc>
          <w:tcPr>
            <w:tcW w:w="2410"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Benefits 1, 2, and 3 delayed eight years.</w:t>
            </w:r>
          </w:p>
        </w:tc>
        <w:tc>
          <w:tcPr>
            <w:tcW w:w="3637" w:type="dxa"/>
          </w:tcPr>
          <w:p w:rsidR="000D28B8" w:rsidRPr="000029F1" w:rsidRDefault="000D28B8" w:rsidP="00B35480">
            <w:pPr>
              <w:rPr>
                <w:rFonts w:ascii="Arial" w:hAnsi="Arial" w:cs="Arial"/>
                <w:color w:val="000000" w:themeColor="text1"/>
                <w:sz w:val="22"/>
                <w:szCs w:val="22"/>
              </w:rPr>
            </w:pPr>
            <w:r w:rsidRPr="000029F1">
              <w:rPr>
                <w:rFonts w:ascii="Arial" w:hAnsi="Arial" w:cs="Arial"/>
                <w:color w:val="000000" w:themeColor="text1"/>
                <w:sz w:val="22"/>
                <w:szCs w:val="22"/>
              </w:rPr>
              <w:t>Agtrans Research</w:t>
            </w:r>
          </w:p>
        </w:tc>
      </w:tr>
      <w:tr w:rsidR="000D28B8" w:rsidRPr="000029F1" w:rsidTr="000029F1">
        <w:trPr>
          <w:jc w:val="center"/>
        </w:trPr>
        <w:tc>
          <w:tcPr>
            <w:tcW w:w="9449" w:type="dxa"/>
            <w:gridSpan w:val="3"/>
            <w:shd w:val="clear" w:color="auto" w:fill="D9D9D9" w:themeFill="background1" w:themeFillShade="D9"/>
          </w:tcPr>
          <w:p w:rsidR="000D28B8" w:rsidRPr="000029F1" w:rsidRDefault="000D28B8" w:rsidP="00B35480">
            <w:pPr>
              <w:rPr>
                <w:rFonts w:ascii="Arial" w:hAnsi="Arial" w:cs="Arial"/>
                <w:sz w:val="22"/>
                <w:szCs w:val="22"/>
              </w:rPr>
            </w:pPr>
            <w:r w:rsidRPr="000029F1">
              <w:rPr>
                <w:rFonts w:ascii="Arial" w:hAnsi="Arial" w:cs="Arial"/>
                <w:b/>
                <w:sz w:val="22"/>
                <w:szCs w:val="22"/>
              </w:rPr>
              <w:t xml:space="preserve">Additional Costs: </w:t>
            </w:r>
            <w:r w:rsidRPr="000029F1">
              <w:rPr>
                <w:rFonts w:ascii="Arial" w:hAnsi="Arial" w:cs="Arial"/>
                <w:sz w:val="22"/>
                <w:szCs w:val="22"/>
              </w:rPr>
              <w:t>Adoption of August sowing incurs some addition costs compared to planting during the traditional sowing window for the Central Highlands.</w:t>
            </w:r>
          </w:p>
        </w:tc>
      </w:tr>
      <w:tr w:rsidR="000D28B8" w:rsidRPr="000029F1" w:rsidTr="000029F1">
        <w:trPr>
          <w:jc w:val="center"/>
        </w:trPr>
        <w:tc>
          <w:tcPr>
            <w:tcW w:w="3402" w:type="dxa"/>
            <w:shd w:val="clear" w:color="auto" w:fill="auto"/>
          </w:tcPr>
          <w:p w:rsidR="000D28B8" w:rsidRPr="000029F1" w:rsidRDefault="000D28B8" w:rsidP="00B35480">
            <w:pPr>
              <w:rPr>
                <w:rFonts w:ascii="Arial" w:hAnsi="Arial" w:cs="Arial"/>
                <w:sz w:val="22"/>
                <w:szCs w:val="22"/>
              </w:rPr>
            </w:pPr>
            <w:r w:rsidRPr="000029F1">
              <w:rPr>
                <w:rFonts w:ascii="Arial" w:hAnsi="Arial" w:cs="Arial"/>
                <w:sz w:val="22"/>
                <w:szCs w:val="22"/>
              </w:rPr>
              <w:t>Average, expected additional crop management costs from increased seeding rates and additional seed treatments.</w:t>
            </w:r>
          </w:p>
        </w:tc>
        <w:tc>
          <w:tcPr>
            <w:tcW w:w="2410" w:type="dxa"/>
            <w:shd w:val="clear" w:color="auto" w:fill="auto"/>
          </w:tcPr>
          <w:p w:rsidR="000D28B8" w:rsidRPr="000029F1" w:rsidRDefault="000D28B8" w:rsidP="00B35480">
            <w:pPr>
              <w:rPr>
                <w:rFonts w:ascii="Arial" w:hAnsi="Arial" w:cs="Arial"/>
                <w:sz w:val="22"/>
                <w:szCs w:val="22"/>
              </w:rPr>
            </w:pPr>
            <w:r w:rsidRPr="000029F1">
              <w:rPr>
                <w:rFonts w:ascii="Arial" w:hAnsi="Arial" w:cs="Arial"/>
                <w:sz w:val="22"/>
                <w:szCs w:val="22"/>
              </w:rPr>
              <w:t xml:space="preserve">$140 per hectare </w:t>
            </w:r>
          </w:p>
        </w:tc>
        <w:tc>
          <w:tcPr>
            <w:tcW w:w="3637" w:type="dxa"/>
            <w:shd w:val="clear" w:color="auto" w:fill="auto"/>
          </w:tcPr>
          <w:p w:rsidR="000D28B8" w:rsidRPr="000029F1" w:rsidRDefault="000D28B8" w:rsidP="00B35480">
            <w:pPr>
              <w:rPr>
                <w:rFonts w:ascii="Arial" w:hAnsi="Arial" w:cs="Arial"/>
                <w:sz w:val="22"/>
                <w:szCs w:val="22"/>
              </w:rPr>
            </w:pPr>
            <w:r w:rsidRPr="000029F1">
              <w:rPr>
                <w:rFonts w:ascii="Arial" w:hAnsi="Arial" w:cs="Arial"/>
                <w:sz w:val="22"/>
                <w:szCs w:val="22"/>
              </w:rPr>
              <w:t>Paul Grundy</w:t>
            </w:r>
          </w:p>
        </w:tc>
      </w:tr>
      <w:tr w:rsidR="000D28B8" w:rsidRPr="000029F1" w:rsidTr="000029F1">
        <w:trPr>
          <w:jc w:val="center"/>
        </w:trPr>
        <w:tc>
          <w:tcPr>
            <w:tcW w:w="3402" w:type="dxa"/>
            <w:shd w:val="clear" w:color="auto" w:fill="auto"/>
          </w:tcPr>
          <w:p w:rsidR="000D28B8" w:rsidRPr="000029F1" w:rsidRDefault="000D28B8" w:rsidP="00B35480">
            <w:pPr>
              <w:rPr>
                <w:rFonts w:ascii="Arial" w:hAnsi="Arial" w:cs="Arial"/>
                <w:sz w:val="22"/>
                <w:szCs w:val="22"/>
              </w:rPr>
            </w:pPr>
            <w:r w:rsidRPr="000029F1">
              <w:rPr>
                <w:rFonts w:ascii="Arial" w:hAnsi="Arial" w:cs="Arial"/>
                <w:sz w:val="22"/>
                <w:szCs w:val="22"/>
              </w:rPr>
              <w:t xml:space="preserve">Probability of incurring additional cost </w:t>
            </w:r>
          </w:p>
        </w:tc>
        <w:tc>
          <w:tcPr>
            <w:tcW w:w="2410" w:type="dxa"/>
            <w:shd w:val="clear" w:color="auto" w:fill="auto"/>
          </w:tcPr>
          <w:p w:rsidR="000D28B8" w:rsidRPr="000029F1" w:rsidRDefault="000D28B8" w:rsidP="00B35480">
            <w:pPr>
              <w:rPr>
                <w:rFonts w:ascii="Arial" w:hAnsi="Arial" w:cs="Arial"/>
                <w:sz w:val="22"/>
                <w:szCs w:val="22"/>
              </w:rPr>
            </w:pPr>
            <w:r w:rsidRPr="000029F1">
              <w:rPr>
                <w:rFonts w:ascii="Arial" w:hAnsi="Arial" w:cs="Arial"/>
                <w:sz w:val="22"/>
                <w:szCs w:val="22"/>
              </w:rPr>
              <w:t>50%</w:t>
            </w:r>
          </w:p>
        </w:tc>
        <w:tc>
          <w:tcPr>
            <w:tcW w:w="3637" w:type="dxa"/>
            <w:shd w:val="clear" w:color="auto" w:fill="auto"/>
          </w:tcPr>
          <w:p w:rsidR="000D28B8" w:rsidRPr="000029F1" w:rsidRDefault="000D28B8" w:rsidP="00B35480">
            <w:pPr>
              <w:rPr>
                <w:rFonts w:ascii="Arial" w:hAnsi="Arial" w:cs="Arial"/>
                <w:sz w:val="22"/>
                <w:szCs w:val="22"/>
              </w:rPr>
            </w:pPr>
            <w:r w:rsidRPr="000029F1">
              <w:rPr>
                <w:rFonts w:ascii="Arial" w:hAnsi="Arial" w:cs="Arial"/>
                <w:sz w:val="22"/>
                <w:szCs w:val="22"/>
              </w:rPr>
              <w:t>Agtrans Research</w:t>
            </w:r>
            <w:r w:rsidRPr="000029F1">
              <w:rPr>
                <w:rFonts w:ascii="Arial" w:hAnsi="Arial" w:cs="Arial"/>
                <w:sz w:val="22"/>
                <w:szCs w:val="22"/>
                <w:vertAlign w:val="superscript"/>
              </w:rPr>
              <w:t xml:space="preserve">(a) </w:t>
            </w:r>
            <w:r w:rsidRPr="000029F1">
              <w:rPr>
                <w:rFonts w:ascii="Arial" w:hAnsi="Arial" w:cs="Arial"/>
                <w:sz w:val="22"/>
                <w:szCs w:val="22"/>
              </w:rPr>
              <w:t>based on the potential for offsetting water savings depending on the season and prevailing management practices</w:t>
            </w:r>
          </w:p>
        </w:tc>
      </w:tr>
    </w:tbl>
    <w:p w:rsidR="000D28B8" w:rsidRPr="00B57B13" w:rsidRDefault="000D28B8" w:rsidP="000D5A34">
      <w:pPr>
        <w:pStyle w:val="ListParagraph"/>
        <w:numPr>
          <w:ilvl w:val="0"/>
          <w:numId w:val="31"/>
        </w:numPr>
        <w:spacing w:after="160" w:line="259" w:lineRule="auto"/>
        <w:rPr>
          <w:rFonts w:ascii="Arial" w:hAnsi="Arial" w:cs="Arial"/>
          <w:sz w:val="18"/>
          <w:szCs w:val="18"/>
        </w:rPr>
      </w:pPr>
      <w:r w:rsidRPr="00B57B13">
        <w:rPr>
          <w:rFonts w:ascii="Arial" w:hAnsi="Arial" w:cs="Arial"/>
          <w:sz w:val="18"/>
          <w:szCs w:val="18"/>
        </w:rPr>
        <w:t>Agtrans estimates based on consultation with project PI Paul Grundy</w:t>
      </w:r>
    </w:p>
    <w:p w:rsidR="000D28B8" w:rsidRPr="00C1096A" w:rsidRDefault="000D28B8" w:rsidP="00B35480">
      <w:pPr>
        <w:rPr>
          <w:rFonts w:ascii="Arial" w:hAnsi="Arial" w:cs="Arial"/>
          <w:sz w:val="18"/>
          <w:szCs w:val="18"/>
        </w:rPr>
      </w:pPr>
    </w:p>
    <w:p w:rsidR="000D28B8" w:rsidRPr="00C1096A" w:rsidRDefault="000D28B8" w:rsidP="00B35480">
      <w:pPr>
        <w:rPr>
          <w:rFonts w:ascii="Arial" w:hAnsi="Arial" w:cs="Arial"/>
          <w:sz w:val="18"/>
          <w:szCs w:val="18"/>
        </w:rPr>
      </w:pPr>
    </w:p>
    <w:p w:rsidR="000D28B8" w:rsidRPr="00C7408A" w:rsidRDefault="00C7408A" w:rsidP="00C7408A">
      <w:pPr>
        <w:spacing w:after="240"/>
        <w:rPr>
          <w:rFonts w:ascii="Arial" w:hAnsi="Arial" w:cs="Arial"/>
          <w:b/>
          <w:sz w:val="40"/>
          <w:szCs w:val="40"/>
        </w:rPr>
      </w:pPr>
      <w:bookmarkStart w:id="324" w:name="_Toc484441300"/>
      <w:bookmarkStart w:id="325" w:name="_Toc486145276"/>
      <w:bookmarkStart w:id="326" w:name="_Toc486145358"/>
      <w:bookmarkStart w:id="327" w:name="_Toc486146274"/>
      <w:r>
        <w:rPr>
          <w:rFonts w:ascii="Arial" w:hAnsi="Arial" w:cs="Arial"/>
          <w:b/>
          <w:sz w:val="40"/>
          <w:szCs w:val="40"/>
        </w:rPr>
        <w:t xml:space="preserve">7. </w:t>
      </w:r>
      <w:r w:rsidR="000D28B8" w:rsidRPr="00C7408A">
        <w:rPr>
          <w:rFonts w:ascii="Arial" w:hAnsi="Arial" w:cs="Arial"/>
          <w:b/>
          <w:sz w:val="40"/>
          <w:szCs w:val="40"/>
        </w:rPr>
        <w:t>Results</w:t>
      </w:r>
      <w:bookmarkEnd w:id="324"/>
      <w:bookmarkEnd w:id="325"/>
      <w:bookmarkEnd w:id="326"/>
      <w:bookmarkEnd w:id="327"/>
      <w:r w:rsidR="000D28B8" w:rsidRPr="00C7408A">
        <w:rPr>
          <w:rFonts w:ascii="Arial" w:hAnsi="Arial" w:cs="Arial"/>
          <w:b/>
          <w:sz w:val="40"/>
          <w:szCs w:val="40"/>
        </w:rPr>
        <w:t xml:space="preserve"> </w:t>
      </w:r>
    </w:p>
    <w:p w:rsidR="000D28B8" w:rsidRPr="00C1096A" w:rsidRDefault="000D28B8" w:rsidP="00C7408A">
      <w:pPr>
        <w:spacing w:after="240"/>
        <w:rPr>
          <w:rFonts w:ascii="Arial" w:hAnsi="Arial" w:cs="Arial"/>
        </w:rPr>
      </w:pPr>
      <w:r w:rsidRPr="00C1096A">
        <w:rPr>
          <w:rFonts w:ascii="Arial" w:hAnsi="Arial" w:cs="Arial"/>
        </w:rPr>
        <w:t xml:space="preserve">All past costs were expressed in 2016/17 dollar terms using the Implicit Price Deflator for Gross Domestic Product (GDP). All benefits after 2016/17 were expressed in 2016/17 dollar terms. All costs and benefits were discounted to 2016/17 using a discount rate of 5%. A reinvestment rate of 5% was used for estimating the Modified Internal Rate of Return (MIRR). The base analysis used the best available estimates for each variable, notwithstanding a level of uncertainty for many of the estimates. All analyses ran for the length of the investment period plus 30 years from the last year of investment (2016/17) to the final year of benefits assumed. </w:t>
      </w:r>
    </w:p>
    <w:p w:rsidR="000D28B8" w:rsidRPr="005173A2" w:rsidRDefault="000D28B8" w:rsidP="005173A2">
      <w:pPr>
        <w:spacing w:after="240"/>
        <w:rPr>
          <w:rFonts w:ascii="Arial" w:hAnsi="Arial" w:cs="Arial"/>
          <w:b/>
          <w:sz w:val="24"/>
        </w:rPr>
      </w:pPr>
      <w:bookmarkStart w:id="328" w:name="_Toc484441301"/>
      <w:bookmarkStart w:id="329" w:name="_Toc486145277"/>
      <w:r w:rsidRPr="005173A2">
        <w:rPr>
          <w:rFonts w:ascii="Arial" w:hAnsi="Arial" w:cs="Arial"/>
          <w:b/>
          <w:sz w:val="24"/>
        </w:rPr>
        <w:t>Investment Criteria</w:t>
      </w:r>
      <w:bookmarkEnd w:id="328"/>
      <w:bookmarkEnd w:id="329"/>
    </w:p>
    <w:p w:rsidR="000D28B8" w:rsidRDefault="000D28B8" w:rsidP="00C7408A">
      <w:pPr>
        <w:spacing w:after="240"/>
        <w:rPr>
          <w:rFonts w:ascii="Arial" w:hAnsi="Arial" w:cs="Arial"/>
        </w:rPr>
      </w:pPr>
      <w:r w:rsidRPr="00C1096A">
        <w:rPr>
          <w:rFonts w:ascii="Arial" w:hAnsi="Arial" w:cs="Arial"/>
        </w:rPr>
        <w:t>Tables 7, 8 and 9 show the investment criteria estimated for different periods of benefits for the total investment, the DAF and CRDC investment respectively. The present value of benefits (PVB) attributable to DAF investment only, shown in Table 8, has been estimated by multiplying the total PVB by the DAF proportion of real investment (38.0%).</w:t>
      </w:r>
    </w:p>
    <w:p w:rsidR="000029F1" w:rsidRDefault="000029F1" w:rsidP="00C7408A">
      <w:pPr>
        <w:spacing w:after="240"/>
        <w:rPr>
          <w:rFonts w:ascii="Arial" w:hAnsi="Arial" w:cs="Arial"/>
        </w:rPr>
      </w:pPr>
    </w:p>
    <w:p w:rsidR="000029F1" w:rsidRDefault="000029F1" w:rsidP="00C7408A">
      <w:pPr>
        <w:spacing w:after="240"/>
        <w:rPr>
          <w:rFonts w:ascii="Arial" w:hAnsi="Arial" w:cs="Arial"/>
        </w:rPr>
      </w:pPr>
    </w:p>
    <w:p w:rsidR="000029F1" w:rsidRPr="00C1096A" w:rsidRDefault="000029F1" w:rsidP="00C7408A">
      <w:pPr>
        <w:spacing w:after="240"/>
        <w:rPr>
          <w:rFonts w:ascii="Arial" w:hAnsi="Arial" w:cs="Arial"/>
        </w:rPr>
      </w:pPr>
    </w:p>
    <w:p w:rsidR="000D28B8" w:rsidRPr="00C7408A" w:rsidRDefault="000D28B8" w:rsidP="00C7408A">
      <w:pPr>
        <w:pStyle w:val="Caption"/>
        <w:spacing w:after="240"/>
        <w:jc w:val="center"/>
        <w:rPr>
          <w:rFonts w:ascii="Arial" w:hAnsi="Arial"/>
          <w:b w:val="0"/>
          <w:i/>
          <w:sz w:val="22"/>
          <w:szCs w:val="22"/>
        </w:rPr>
      </w:pPr>
      <w:bookmarkStart w:id="330" w:name="_Toc484441234"/>
      <w:r w:rsidRPr="00C7408A">
        <w:rPr>
          <w:rFonts w:ascii="Arial" w:hAnsi="Arial"/>
          <w:b w:val="0"/>
          <w:color w:val="000000" w:themeColor="text1"/>
          <w:sz w:val="22"/>
          <w:szCs w:val="22"/>
        </w:rPr>
        <w:t>Table</w:t>
      </w:r>
      <w:r w:rsidR="00913E1D">
        <w:rPr>
          <w:rFonts w:ascii="Arial" w:hAnsi="Arial"/>
          <w:b w:val="0"/>
          <w:color w:val="000000" w:themeColor="text1"/>
          <w:sz w:val="22"/>
          <w:szCs w:val="22"/>
        </w:rPr>
        <w:t xml:space="preserve"> </w:t>
      </w:r>
      <w:r w:rsidR="00913E1D" w:rsidRPr="00913E1D">
        <w:rPr>
          <w:rFonts w:ascii="Arial" w:hAnsi="Arial"/>
          <w:b w:val="0"/>
          <w:color w:val="000000" w:themeColor="text1"/>
          <w:sz w:val="22"/>
          <w:szCs w:val="22"/>
        </w:rPr>
        <w:t>7</w:t>
      </w:r>
      <w:r w:rsidRPr="00C7408A">
        <w:rPr>
          <w:rFonts w:ascii="Arial" w:hAnsi="Arial"/>
          <w:b w:val="0"/>
          <w:color w:val="000000" w:themeColor="text1"/>
          <w:sz w:val="22"/>
          <w:szCs w:val="22"/>
        </w:rPr>
        <w:t>: Investment Criteria for Total Investment in Project DAQ1401</w:t>
      </w:r>
      <w:bookmarkEnd w:id="330"/>
    </w:p>
    <w:tbl>
      <w:tblPr>
        <w:tblStyle w:val="TableGrid"/>
        <w:tblW w:w="5591" w:type="pct"/>
        <w:jc w:val="center"/>
        <w:tblLayout w:type="fixed"/>
        <w:tblLook w:val="04A0" w:firstRow="1" w:lastRow="0" w:firstColumn="1" w:lastColumn="0" w:noHBand="0" w:noVBand="1"/>
      </w:tblPr>
      <w:tblGrid>
        <w:gridCol w:w="3419"/>
        <w:gridCol w:w="1107"/>
        <w:gridCol w:w="1073"/>
        <w:gridCol w:w="905"/>
        <w:gridCol w:w="905"/>
        <w:gridCol w:w="905"/>
        <w:gridCol w:w="905"/>
        <w:gridCol w:w="863"/>
      </w:tblGrid>
      <w:tr w:rsidR="000D28B8" w:rsidRPr="000029F1" w:rsidTr="00B35480">
        <w:trPr>
          <w:jc w:val="center"/>
        </w:trPr>
        <w:tc>
          <w:tcPr>
            <w:tcW w:w="1695" w:type="pct"/>
            <w:vMerge w:val="restart"/>
          </w:tcPr>
          <w:p w:rsidR="000D28B8" w:rsidRPr="000029F1" w:rsidRDefault="000D28B8" w:rsidP="00B35480">
            <w:pPr>
              <w:rPr>
                <w:rFonts w:ascii="Arial" w:hAnsi="Arial" w:cs="Arial"/>
                <w:b/>
                <w:sz w:val="22"/>
                <w:szCs w:val="22"/>
              </w:rPr>
            </w:pPr>
            <w:r w:rsidRPr="000029F1">
              <w:rPr>
                <w:rFonts w:ascii="Arial" w:hAnsi="Arial" w:cs="Arial"/>
                <w:b/>
                <w:sz w:val="22"/>
                <w:szCs w:val="22"/>
              </w:rPr>
              <w:t xml:space="preserve">Investment criteria </w:t>
            </w:r>
          </w:p>
        </w:tc>
        <w:tc>
          <w:tcPr>
            <w:tcW w:w="3305" w:type="pct"/>
            <w:gridSpan w:val="7"/>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 xml:space="preserve">Number of years from year of last investment </w:t>
            </w:r>
          </w:p>
        </w:tc>
      </w:tr>
      <w:tr w:rsidR="000D28B8" w:rsidRPr="000029F1" w:rsidTr="00B35480">
        <w:trPr>
          <w:jc w:val="center"/>
        </w:trPr>
        <w:tc>
          <w:tcPr>
            <w:tcW w:w="1695" w:type="pct"/>
            <w:vMerge/>
          </w:tcPr>
          <w:p w:rsidR="000D28B8" w:rsidRPr="000029F1" w:rsidRDefault="000D28B8" w:rsidP="00B35480">
            <w:pPr>
              <w:rPr>
                <w:rFonts w:ascii="Arial" w:hAnsi="Arial" w:cs="Arial"/>
                <w:sz w:val="22"/>
                <w:szCs w:val="22"/>
              </w:rPr>
            </w:pPr>
          </w:p>
        </w:tc>
        <w:tc>
          <w:tcPr>
            <w:tcW w:w="549"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0</w:t>
            </w:r>
          </w:p>
        </w:tc>
        <w:tc>
          <w:tcPr>
            <w:tcW w:w="532"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5</w:t>
            </w:r>
          </w:p>
        </w:tc>
        <w:tc>
          <w:tcPr>
            <w:tcW w:w="449"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10</w:t>
            </w:r>
          </w:p>
        </w:tc>
        <w:tc>
          <w:tcPr>
            <w:tcW w:w="449"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15</w:t>
            </w:r>
          </w:p>
        </w:tc>
        <w:tc>
          <w:tcPr>
            <w:tcW w:w="449"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20</w:t>
            </w:r>
          </w:p>
        </w:tc>
        <w:tc>
          <w:tcPr>
            <w:tcW w:w="449"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25</w:t>
            </w:r>
          </w:p>
        </w:tc>
        <w:tc>
          <w:tcPr>
            <w:tcW w:w="429"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30</w:t>
            </w:r>
          </w:p>
        </w:tc>
      </w:tr>
      <w:tr w:rsidR="000D28B8" w:rsidRPr="000029F1" w:rsidTr="00B35480">
        <w:trPr>
          <w:jc w:val="center"/>
        </w:trPr>
        <w:tc>
          <w:tcPr>
            <w:tcW w:w="1695"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Present value of benefits ($m)</w:t>
            </w:r>
          </w:p>
        </w:tc>
        <w:tc>
          <w:tcPr>
            <w:tcW w:w="549"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0.00</w:t>
            </w:r>
          </w:p>
        </w:tc>
        <w:tc>
          <w:tcPr>
            <w:tcW w:w="532"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12.40</w:t>
            </w:r>
          </w:p>
        </w:tc>
        <w:tc>
          <w:tcPr>
            <w:tcW w:w="449"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20.24</w:t>
            </w:r>
          </w:p>
        </w:tc>
        <w:tc>
          <w:tcPr>
            <w:tcW w:w="449"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20.24</w:t>
            </w:r>
          </w:p>
        </w:tc>
        <w:tc>
          <w:tcPr>
            <w:tcW w:w="449"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20.24</w:t>
            </w:r>
          </w:p>
        </w:tc>
        <w:tc>
          <w:tcPr>
            <w:tcW w:w="449"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20.24</w:t>
            </w:r>
          </w:p>
        </w:tc>
        <w:tc>
          <w:tcPr>
            <w:tcW w:w="429"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20.24</w:t>
            </w:r>
          </w:p>
        </w:tc>
      </w:tr>
      <w:tr w:rsidR="000D28B8" w:rsidRPr="000029F1" w:rsidTr="00B35480">
        <w:trPr>
          <w:jc w:val="center"/>
        </w:trPr>
        <w:tc>
          <w:tcPr>
            <w:tcW w:w="1695"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Present value of costs ($m)</w:t>
            </w:r>
          </w:p>
        </w:tc>
        <w:tc>
          <w:tcPr>
            <w:tcW w:w="549"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1.18</w:t>
            </w:r>
          </w:p>
        </w:tc>
        <w:tc>
          <w:tcPr>
            <w:tcW w:w="532"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1.18</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1.18</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1.18</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1.18</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1.18</w:t>
            </w:r>
          </w:p>
        </w:tc>
        <w:tc>
          <w:tcPr>
            <w:tcW w:w="42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1.18</w:t>
            </w:r>
          </w:p>
        </w:tc>
      </w:tr>
      <w:tr w:rsidR="000D28B8" w:rsidRPr="000029F1" w:rsidTr="00B35480">
        <w:trPr>
          <w:jc w:val="center"/>
        </w:trPr>
        <w:tc>
          <w:tcPr>
            <w:tcW w:w="1695"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Net present value ($m)</w:t>
            </w:r>
          </w:p>
        </w:tc>
        <w:tc>
          <w:tcPr>
            <w:tcW w:w="549"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-1.18</w:t>
            </w:r>
          </w:p>
        </w:tc>
        <w:tc>
          <w:tcPr>
            <w:tcW w:w="532"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11.22</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19.06</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19.06</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19.06</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19.06</w:t>
            </w:r>
          </w:p>
        </w:tc>
        <w:tc>
          <w:tcPr>
            <w:tcW w:w="42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19.06</w:t>
            </w:r>
          </w:p>
        </w:tc>
      </w:tr>
      <w:tr w:rsidR="000D28B8" w:rsidRPr="000029F1" w:rsidTr="00B35480">
        <w:trPr>
          <w:jc w:val="center"/>
        </w:trPr>
        <w:tc>
          <w:tcPr>
            <w:tcW w:w="1695"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Benefit-cost ratio</w:t>
            </w:r>
          </w:p>
        </w:tc>
        <w:tc>
          <w:tcPr>
            <w:tcW w:w="549"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0.00</w:t>
            </w:r>
          </w:p>
        </w:tc>
        <w:tc>
          <w:tcPr>
            <w:tcW w:w="532"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10.50</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17.13</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17.13</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17.13</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17.13</w:t>
            </w:r>
          </w:p>
        </w:tc>
        <w:tc>
          <w:tcPr>
            <w:tcW w:w="42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17.13</w:t>
            </w:r>
          </w:p>
        </w:tc>
      </w:tr>
      <w:tr w:rsidR="000D28B8" w:rsidRPr="000029F1" w:rsidTr="00B35480">
        <w:trPr>
          <w:jc w:val="center"/>
        </w:trPr>
        <w:tc>
          <w:tcPr>
            <w:tcW w:w="1695"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Internal rate of return (IRR) (%)</w:t>
            </w:r>
          </w:p>
        </w:tc>
        <w:tc>
          <w:tcPr>
            <w:tcW w:w="549"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negative</w:t>
            </w:r>
          </w:p>
        </w:tc>
        <w:tc>
          <w:tcPr>
            <w:tcW w:w="532"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65.7</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69.0</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69.0</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69.0</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69.0</w:t>
            </w:r>
          </w:p>
        </w:tc>
        <w:tc>
          <w:tcPr>
            <w:tcW w:w="42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69.0</w:t>
            </w:r>
          </w:p>
        </w:tc>
      </w:tr>
      <w:tr w:rsidR="000D28B8" w:rsidRPr="000029F1" w:rsidTr="00B35480">
        <w:trPr>
          <w:jc w:val="center"/>
        </w:trPr>
        <w:tc>
          <w:tcPr>
            <w:tcW w:w="1695"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Modified IRR (%)</w:t>
            </w:r>
          </w:p>
        </w:tc>
        <w:tc>
          <w:tcPr>
            <w:tcW w:w="549"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negative</w:t>
            </w:r>
          </w:p>
        </w:tc>
        <w:tc>
          <w:tcPr>
            <w:tcW w:w="532"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13.6</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15.4</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15.4</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15.4</w:t>
            </w:r>
          </w:p>
        </w:tc>
        <w:tc>
          <w:tcPr>
            <w:tcW w:w="44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15.4</w:t>
            </w:r>
          </w:p>
        </w:tc>
        <w:tc>
          <w:tcPr>
            <w:tcW w:w="429"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color w:val="FF0000"/>
                <w:sz w:val="22"/>
                <w:szCs w:val="22"/>
              </w:rPr>
            </w:pPr>
            <w:r w:rsidRPr="000029F1">
              <w:rPr>
                <w:rFonts w:ascii="Arial" w:hAnsi="Arial" w:cs="Arial"/>
                <w:color w:val="000000"/>
                <w:sz w:val="22"/>
                <w:szCs w:val="22"/>
              </w:rPr>
              <w:t>15.4</w:t>
            </w:r>
          </w:p>
        </w:tc>
      </w:tr>
    </w:tbl>
    <w:p w:rsidR="000D28B8" w:rsidRPr="00C1096A" w:rsidRDefault="000D28B8" w:rsidP="00B35480">
      <w:pPr>
        <w:pStyle w:val="Caption"/>
        <w:jc w:val="center"/>
        <w:rPr>
          <w:rFonts w:ascii="Arial" w:hAnsi="Arial"/>
          <w:i/>
          <w:color w:val="000000" w:themeColor="text1"/>
          <w:sz w:val="22"/>
          <w:szCs w:val="22"/>
        </w:rPr>
      </w:pPr>
    </w:p>
    <w:p w:rsidR="000D28B8" w:rsidRPr="00C7408A" w:rsidRDefault="000D28B8" w:rsidP="00C7408A">
      <w:pPr>
        <w:pStyle w:val="Caption"/>
        <w:spacing w:after="240"/>
        <w:jc w:val="center"/>
        <w:rPr>
          <w:rFonts w:ascii="Arial" w:hAnsi="Arial"/>
          <w:b w:val="0"/>
          <w:color w:val="000000" w:themeColor="text1"/>
          <w:sz w:val="22"/>
          <w:szCs w:val="22"/>
        </w:rPr>
      </w:pPr>
      <w:bookmarkStart w:id="331" w:name="_Toc484441235"/>
      <w:r w:rsidRPr="00C7408A">
        <w:rPr>
          <w:rFonts w:ascii="Arial" w:hAnsi="Arial"/>
          <w:b w:val="0"/>
          <w:color w:val="000000" w:themeColor="text1"/>
          <w:sz w:val="22"/>
          <w:szCs w:val="22"/>
        </w:rPr>
        <w:t xml:space="preserve">Table </w:t>
      </w:r>
      <w:r w:rsidR="00913E1D">
        <w:rPr>
          <w:rFonts w:ascii="Arial" w:hAnsi="Arial"/>
          <w:b w:val="0"/>
          <w:color w:val="000000" w:themeColor="text1"/>
          <w:sz w:val="22"/>
          <w:szCs w:val="22"/>
        </w:rPr>
        <w:t>8</w:t>
      </w:r>
      <w:r w:rsidRPr="00C7408A">
        <w:rPr>
          <w:rFonts w:ascii="Arial" w:hAnsi="Arial"/>
          <w:b w:val="0"/>
          <w:color w:val="000000" w:themeColor="text1"/>
          <w:sz w:val="22"/>
          <w:szCs w:val="22"/>
        </w:rPr>
        <w:t>: Investment Criteria for DAF Investment in Project DAQ1401</w:t>
      </w:r>
      <w:bookmarkEnd w:id="331"/>
    </w:p>
    <w:tbl>
      <w:tblPr>
        <w:tblStyle w:val="TableGrid"/>
        <w:tblW w:w="5657" w:type="pct"/>
        <w:jc w:val="center"/>
        <w:tblLayout w:type="fixed"/>
        <w:tblLook w:val="04A0" w:firstRow="1" w:lastRow="0" w:firstColumn="1" w:lastColumn="0" w:noHBand="0" w:noVBand="1"/>
      </w:tblPr>
      <w:tblGrid>
        <w:gridCol w:w="3402"/>
        <w:gridCol w:w="1128"/>
        <w:gridCol w:w="812"/>
        <w:gridCol w:w="971"/>
        <w:gridCol w:w="971"/>
        <w:gridCol w:w="971"/>
        <w:gridCol w:w="971"/>
        <w:gridCol w:w="975"/>
      </w:tblGrid>
      <w:tr w:rsidR="000D28B8" w:rsidRPr="000029F1" w:rsidTr="00B35480">
        <w:trPr>
          <w:jc w:val="center"/>
        </w:trPr>
        <w:tc>
          <w:tcPr>
            <w:tcW w:w="1667" w:type="pct"/>
            <w:vMerge w:val="restart"/>
          </w:tcPr>
          <w:p w:rsidR="000D28B8" w:rsidRPr="000029F1" w:rsidRDefault="000D28B8" w:rsidP="00B35480">
            <w:pPr>
              <w:rPr>
                <w:rFonts w:ascii="Arial" w:hAnsi="Arial" w:cs="Arial"/>
                <w:b/>
                <w:sz w:val="22"/>
                <w:szCs w:val="22"/>
              </w:rPr>
            </w:pPr>
            <w:r w:rsidRPr="000029F1">
              <w:rPr>
                <w:rFonts w:ascii="Arial" w:hAnsi="Arial" w:cs="Arial"/>
                <w:b/>
                <w:sz w:val="22"/>
                <w:szCs w:val="22"/>
              </w:rPr>
              <w:t xml:space="preserve">Investment criteria </w:t>
            </w:r>
          </w:p>
        </w:tc>
        <w:tc>
          <w:tcPr>
            <w:tcW w:w="3333" w:type="pct"/>
            <w:gridSpan w:val="7"/>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 xml:space="preserve">Number of years from year of last investment </w:t>
            </w:r>
          </w:p>
        </w:tc>
      </w:tr>
      <w:tr w:rsidR="000D28B8" w:rsidRPr="000029F1" w:rsidTr="00B35480">
        <w:trPr>
          <w:jc w:val="center"/>
        </w:trPr>
        <w:tc>
          <w:tcPr>
            <w:tcW w:w="1667" w:type="pct"/>
            <w:vMerge/>
          </w:tcPr>
          <w:p w:rsidR="000D28B8" w:rsidRPr="000029F1" w:rsidRDefault="000D28B8" w:rsidP="00B35480">
            <w:pPr>
              <w:rPr>
                <w:rFonts w:ascii="Arial" w:hAnsi="Arial" w:cs="Arial"/>
                <w:sz w:val="22"/>
                <w:szCs w:val="22"/>
              </w:rPr>
            </w:pPr>
          </w:p>
        </w:tc>
        <w:tc>
          <w:tcPr>
            <w:tcW w:w="553"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0</w:t>
            </w:r>
          </w:p>
        </w:tc>
        <w:tc>
          <w:tcPr>
            <w:tcW w:w="398"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5</w:t>
            </w:r>
          </w:p>
        </w:tc>
        <w:tc>
          <w:tcPr>
            <w:tcW w:w="476"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10</w:t>
            </w:r>
          </w:p>
        </w:tc>
        <w:tc>
          <w:tcPr>
            <w:tcW w:w="476"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15</w:t>
            </w:r>
          </w:p>
        </w:tc>
        <w:tc>
          <w:tcPr>
            <w:tcW w:w="476"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20</w:t>
            </w:r>
          </w:p>
        </w:tc>
        <w:tc>
          <w:tcPr>
            <w:tcW w:w="476"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25</w:t>
            </w:r>
          </w:p>
        </w:tc>
        <w:tc>
          <w:tcPr>
            <w:tcW w:w="478" w:type="pct"/>
          </w:tcPr>
          <w:p w:rsidR="000D28B8" w:rsidRPr="000029F1" w:rsidRDefault="000D28B8" w:rsidP="00B35480">
            <w:pPr>
              <w:jc w:val="center"/>
              <w:rPr>
                <w:rFonts w:ascii="Arial" w:hAnsi="Arial" w:cs="Arial"/>
                <w:b/>
                <w:sz w:val="22"/>
                <w:szCs w:val="22"/>
              </w:rPr>
            </w:pPr>
            <w:r w:rsidRPr="000029F1">
              <w:rPr>
                <w:rFonts w:ascii="Arial" w:hAnsi="Arial" w:cs="Arial"/>
                <w:b/>
                <w:sz w:val="22"/>
                <w:szCs w:val="22"/>
              </w:rPr>
              <w:t>30</w:t>
            </w:r>
          </w:p>
        </w:tc>
      </w:tr>
      <w:tr w:rsidR="000D28B8" w:rsidRPr="000029F1" w:rsidTr="00B35480">
        <w:trPr>
          <w:jc w:val="center"/>
        </w:trPr>
        <w:tc>
          <w:tcPr>
            <w:tcW w:w="1667"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Present value of benefits</w:t>
            </w:r>
            <w:r w:rsidRPr="000029F1">
              <w:rPr>
                <w:rFonts w:ascii="Arial" w:hAnsi="Arial" w:cs="Arial"/>
                <w:sz w:val="22"/>
                <w:szCs w:val="22"/>
                <w:vertAlign w:val="superscript"/>
              </w:rPr>
              <w:t>(a)</w:t>
            </w:r>
            <w:r w:rsidRPr="000029F1">
              <w:rPr>
                <w:rFonts w:ascii="Arial" w:hAnsi="Arial" w:cs="Arial"/>
                <w:sz w:val="22"/>
                <w:szCs w:val="22"/>
              </w:rPr>
              <w:t xml:space="preserve"> ($m)</w:t>
            </w:r>
          </w:p>
        </w:tc>
        <w:tc>
          <w:tcPr>
            <w:tcW w:w="553"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0.00</w:t>
            </w:r>
          </w:p>
        </w:tc>
        <w:tc>
          <w:tcPr>
            <w:tcW w:w="398"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4.72</w:t>
            </w:r>
          </w:p>
        </w:tc>
        <w:tc>
          <w:tcPr>
            <w:tcW w:w="476"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7.70</w:t>
            </w:r>
          </w:p>
        </w:tc>
        <w:tc>
          <w:tcPr>
            <w:tcW w:w="476"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7.70</w:t>
            </w:r>
          </w:p>
        </w:tc>
        <w:tc>
          <w:tcPr>
            <w:tcW w:w="476"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7.70</w:t>
            </w:r>
          </w:p>
        </w:tc>
        <w:tc>
          <w:tcPr>
            <w:tcW w:w="476"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7.70</w:t>
            </w:r>
          </w:p>
        </w:tc>
        <w:tc>
          <w:tcPr>
            <w:tcW w:w="478" w:type="pct"/>
            <w:tcBorders>
              <w:top w:val="single" w:sz="4" w:space="0" w:color="auto"/>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7.70</w:t>
            </w:r>
          </w:p>
        </w:tc>
      </w:tr>
      <w:tr w:rsidR="000D28B8" w:rsidRPr="000029F1" w:rsidTr="00B35480">
        <w:trPr>
          <w:jc w:val="center"/>
        </w:trPr>
        <w:tc>
          <w:tcPr>
            <w:tcW w:w="1667"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Present value of costs ($m)</w:t>
            </w:r>
          </w:p>
        </w:tc>
        <w:tc>
          <w:tcPr>
            <w:tcW w:w="553"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0.45</w:t>
            </w:r>
          </w:p>
        </w:tc>
        <w:tc>
          <w:tcPr>
            <w:tcW w:w="39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0.45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0.45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0.45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0.45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0.45</w:t>
            </w:r>
          </w:p>
        </w:tc>
        <w:tc>
          <w:tcPr>
            <w:tcW w:w="47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0.45</w:t>
            </w:r>
          </w:p>
        </w:tc>
      </w:tr>
      <w:tr w:rsidR="000D28B8" w:rsidRPr="000029F1" w:rsidTr="00B35480">
        <w:trPr>
          <w:jc w:val="center"/>
        </w:trPr>
        <w:tc>
          <w:tcPr>
            <w:tcW w:w="1667"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Net present value ($m)</w:t>
            </w:r>
          </w:p>
        </w:tc>
        <w:tc>
          <w:tcPr>
            <w:tcW w:w="553"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-0.45</w:t>
            </w:r>
          </w:p>
        </w:tc>
        <w:tc>
          <w:tcPr>
            <w:tcW w:w="39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4.27</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7.25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7.25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7.25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7.25</w:t>
            </w:r>
          </w:p>
        </w:tc>
        <w:tc>
          <w:tcPr>
            <w:tcW w:w="47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7.25</w:t>
            </w:r>
          </w:p>
        </w:tc>
      </w:tr>
      <w:tr w:rsidR="000D28B8" w:rsidRPr="000029F1" w:rsidTr="00B35480">
        <w:trPr>
          <w:jc w:val="center"/>
        </w:trPr>
        <w:tc>
          <w:tcPr>
            <w:tcW w:w="1667"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Benefit-cost ratio</w:t>
            </w:r>
          </w:p>
        </w:tc>
        <w:tc>
          <w:tcPr>
            <w:tcW w:w="553"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0.00</w:t>
            </w:r>
          </w:p>
        </w:tc>
        <w:tc>
          <w:tcPr>
            <w:tcW w:w="39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10.53</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17.18</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17.18</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17.18</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17.18</w:t>
            </w:r>
          </w:p>
        </w:tc>
        <w:tc>
          <w:tcPr>
            <w:tcW w:w="47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17.18</w:t>
            </w:r>
          </w:p>
        </w:tc>
      </w:tr>
      <w:tr w:rsidR="000D28B8" w:rsidRPr="000029F1" w:rsidTr="00B35480">
        <w:trPr>
          <w:jc w:val="center"/>
        </w:trPr>
        <w:tc>
          <w:tcPr>
            <w:tcW w:w="1667"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Internal rate of return (%)</w:t>
            </w:r>
          </w:p>
        </w:tc>
        <w:tc>
          <w:tcPr>
            <w:tcW w:w="553"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negative</w:t>
            </w:r>
          </w:p>
        </w:tc>
        <w:tc>
          <w:tcPr>
            <w:tcW w:w="39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66.3</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69.5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69.5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69.5</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69.5</w:t>
            </w:r>
          </w:p>
        </w:tc>
        <w:tc>
          <w:tcPr>
            <w:tcW w:w="47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69.5</w:t>
            </w:r>
          </w:p>
        </w:tc>
      </w:tr>
      <w:tr w:rsidR="000D28B8" w:rsidRPr="000029F1" w:rsidTr="00B35480">
        <w:trPr>
          <w:trHeight w:val="195"/>
          <w:jc w:val="center"/>
        </w:trPr>
        <w:tc>
          <w:tcPr>
            <w:tcW w:w="1667" w:type="pct"/>
          </w:tcPr>
          <w:p w:rsidR="000D28B8" w:rsidRPr="000029F1" w:rsidRDefault="000D28B8" w:rsidP="00B35480">
            <w:pPr>
              <w:widowControl w:val="0"/>
              <w:rPr>
                <w:rFonts w:ascii="Arial" w:hAnsi="Arial" w:cs="Arial"/>
                <w:sz w:val="22"/>
                <w:szCs w:val="22"/>
              </w:rPr>
            </w:pPr>
            <w:r w:rsidRPr="000029F1">
              <w:rPr>
                <w:rFonts w:ascii="Arial" w:hAnsi="Arial" w:cs="Arial"/>
                <w:sz w:val="22"/>
                <w:szCs w:val="22"/>
              </w:rPr>
              <w:t>Modified IRR</w:t>
            </w:r>
          </w:p>
        </w:tc>
        <w:tc>
          <w:tcPr>
            <w:tcW w:w="553" w:type="pct"/>
            <w:tcBorders>
              <w:top w:val="nil"/>
              <w:left w:val="single" w:sz="4" w:space="0" w:color="auto"/>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negative</w:t>
            </w:r>
          </w:p>
        </w:tc>
        <w:tc>
          <w:tcPr>
            <w:tcW w:w="39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13.6</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15.4</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15.4</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15.4</w:t>
            </w:r>
          </w:p>
        </w:tc>
        <w:tc>
          <w:tcPr>
            <w:tcW w:w="476"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15.4</w:t>
            </w:r>
          </w:p>
        </w:tc>
        <w:tc>
          <w:tcPr>
            <w:tcW w:w="478" w:type="pct"/>
            <w:tcBorders>
              <w:top w:val="nil"/>
              <w:left w:val="nil"/>
              <w:bottom w:val="single" w:sz="4" w:space="0" w:color="auto"/>
              <w:right w:val="single" w:sz="4" w:space="0" w:color="auto"/>
            </w:tcBorders>
            <w:shd w:val="clear" w:color="auto" w:fill="auto"/>
            <w:vAlign w:val="bottom"/>
          </w:tcPr>
          <w:p w:rsidR="000D28B8" w:rsidRPr="000029F1" w:rsidRDefault="000D28B8" w:rsidP="00B35480">
            <w:pPr>
              <w:jc w:val="right"/>
              <w:rPr>
                <w:rFonts w:ascii="Arial" w:hAnsi="Arial" w:cs="Arial"/>
                <w:sz w:val="22"/>
                <w:szCs w:val="22"/>
              </w:rPr>
            </w:pPr>
            <w:r w:rsidRPr="000029F1">
              <w:rPr>
                <w:rFonts w:ascii="Arial" w:hAnsi="Arial" w:cs="Arial"/>
                <w:color w:val="000000"/>
                <w:sz w:val="22"/>
                <w:szCs w:val="22"/>
              </w:rPr>
              <w:t>15.4</w:t>
            </w:r>
          </w:p>
        </w:tc>
      </w:tr>
    </w:tbl>
    <w:p w:rsidR="000029F1" w:rsidRPr="00C1096A" w:rsidRDefault="000029F1" w:rsidP="000D5A34">
      <w:pPr>
        <w:pStyle w:val="ListParagraph"/>
        <w:numPr>
          <w:ilvl w:val="0"/>
          <w:numId w:val="30"/>
        </w:numPr>
        <w:spacing w:after="160"/>
        <w:rPr>
          <w:rFonts w:ascii="Arial" w:hAnsi="Arial" w:cs="Arial"/>
          <w:sz w:val="18"/>
          <w:szCs w:val="18"/>
        </w:rPr>
      </w:pPr>
      <w:r w:rsidRPr="00C1096A">
        <w:rPr>
          <w:rFonts w:ascii="Arial" w:hAnsi="Arial" w:cs="Arial"/>
          <w:sz w:val="18"/>
          <w:szCs w:val="18"/>
        </w:rPr>
        <w:t xml:space="preserve">The PVB attributable to </w:t>
      </w:r>
      <w:r>
        <w:rPr>
          <w:rFonts w:ascii="Arial" w:hAnsi="Arial" w:cs="Arial"/>
          <w:sz w:val="18"/>
          <w:szCs w:val="18"/>
        </w:rPr>
        <w:t>DAF</w:t>
      </w:r>
      <w:r w:rsidRPr="00C1096A">
        <w:rPr>
          <w:rFonts w:ascii="Arial" w:hAnsi="Arial" w:cs="Arial"/>
          <w:sz w:val="18"/>
          <w:szCs w:val="18"/>
        </w:rPr>
        <w:t xml:space="preserve"> investment has been estimated by multiplying the total PVB by the </w:t>
      </w:r>
      <w:r>
        <w:rPr>
          <w:rFonts w:ascii="Arial" w:hAnsi="Arial" w:cs="Arial"/>
          <w:sz w:val="18"/>
          <w:szCs w:val="18"/>
        </w:rPr>
        <w:t>DAF</w:t>
      </w:r>
      <w:r w:rsidRPr="00C1096A">
        <w:rPr>
          <w:rFonts w:ascii="Arial" w:hAnsi="Arial" w:cs="Arial"/>
          <w:sz w:val="18"/>
          <w:szCs w:val="18"/>
        </w:rPr>
        <w:t xml:space="preserve"> proportion of real investment (</w:t>
      </w:r>
      <w:r>
        <w:rPr>
          <w:rFonts w:ascii="Arial" w:hAnsi="Arial" w:cs="Arial"/>
          <w:sz w:val="18"/>
          <w:szCs w:val="18"/>
        </w:rPr>
        <w:t>38.0</w:t>
      </w:r>
      <w:r w:rsidRPr="00C1096A">
        <w:rPr>
          <w:rFonts w:ascii="Arial" w:hAnsi="Arial" w:cs="Arial"/>
          <w:sz w:val="18"/>
          <w:szCs w:val="18"/>
        </w:rPr>
        <w:t>%).</w:t>
      </w:r>
    </w:p>
    <w:p w:rsidR="000D28B8" w:rsidRPr="000029F1" w:rsidRDefault="000D28B8" w:rsidP="00B35480">
      <w:pPr>
        <w:pStyle w:val="Caption"/>
        <w:jc w:val="center"/>
        <w:rPr>
          <w:rFonts w:ascii="Arial" w:hAnsi="Arial"/>
          <w:color w:val="000000" w:themeColor="text1"/>
          <w:sz w:val="22"/>
          <w:szCs w:val="22"/>
        </w:rPr>
      </w:pPr>
    </w:p>
    <w:p w:rsidR="000D28B8" w:rsidRPr="00C7408A" w:rsidRDefault="000D28B8" w:rsidP="00C7408A">
      <w:pPr>
        <w:pStyle w:val="Caption"/>
        <w:spacing w:after="240"/>
        <w:jc w:val="center"/>
        <w:rPr>
          <w:rFonts w:ascii="Arial" w:hAnsi="Arial"/>
          <w:b w:val="0"/>
          <w:color w:val="000000" w:themeColor="text1"/>
          <w:sz w:val="22"/>
          <w:szCs w:val="22"/>
        </w:rPr>
      </w:pPr>
      <w:bookmarkStart w:id="332" w:name="_Toc484441236"/>
      <w:r w:rsidRPr="00C7408A">
        <w:rPr>
          <w:rFonts w:ascii="Arial" w:hAnsi="Arial"/>
          <w:b w:val="0"/>
          <w:color w:val="000000" w:themeColor="text1"/>
          <w:sz w:val="22"/>
          <w:szCs w:val="22"/>
        </w:rPr>
        <w:t xml:space="preserve">Table </w:t>
      </w:r>
      <w:r w:rsidR="00913E1D">
        <w:rPr>
          <w:rFonts w:ascii="Arial" w:hAnsi="Arial"/>
          <w:b w:val="0"/>
          <w:color w:val="000000" w:themeColor="text1"/>
          <w:sz w:val="22"/>
          <w:szCs w:val="22"/>
        </w:rPr>
        <w:t>9</w:t>
      </w:r>
      <w:r w:rsidRPr="00C7408A">
        <w:rPr>
          <w:rFonts w:ascii="Arial" w:hAnsi="Arial"/>
          <w:b w:val="0"/>
          <w:color w:val="000000" w:themeColor="text1"/>
          <w:sz w:val="22"/>
          <w:szCs w:val="22"/>
        </w:rPr>
        <w:t>: Investment Criteria for CRDC Investment in Project DAQ1401</w:t>
      </w:r>
      <w:bookmarkEnd w:id="332"/>
    </w:p>
    <w:tbl>
      <w:tblPr>
        <w:tblStyle w:val="TableGrid"/>
        <w:tblW w:w="5579" w:type="pct"/>
        <w:jc w:val="center"/>
        <w:tblLayout w:type="fixed"/>
        <w:tblLook w:val="04A0" w:firstRow="1" w:lastRow="0" w:firstColumn="1" w:lastColumn="0" w:noHBand="0" w:noVBand="1"/>
      </w:tblPr>
      <w:tblGrid>
        <w:gridCol w:w="3395"/>
        <w:gridCol w:w="1172"/>
        <w:gridCol w:w="889"/>
        <w:gridCol w:w="889"/>
        <w:gridCol w:w="887"/>
        <w:gridCol w:w="887"/>
        <w:gridCol w:w="887"/>
        <w:gridCol w:w="1054"/>
      </w:tblGrid>
      <w:tr w:rsidR="000D28B8" w:rsidRPr="00034D7A" w:rsidTr="00B35480">
        <w:trPr>
          <w:jc w:val="center"/>
        </w:trPr>
        <w:tc>
          <w:tcPr>
            <w:tcW w:w="1687" w:type="pct"/>
            <w:vMerge w:val="restart"/>
          </w:tcPr>
          <w:p w:rsidR="000D28B8" w:rsidRPr="00034D7A" w:rsidRDefault="000D28B8" w:rsidP="00B35480">
            <w:pPr>
              <w:rPr>
                <w:rFonts w:ascii="Arial" w:hAnsi="Arial" w:cs="Arial"/>
                <w:b/>
                <w:sz w:val="22"/>
                <w:szCs w:val="22"/>
              </w:rPr>
            </w:pPr>
            <w:r w:rsidRPr="00034D7A">
              <w:rPr>
                <w:rFonts w:ascii="Arial" w:hAnsi="Arial" w:cs="Arial"/>
                <w:b/>
                <w:sz w:val="22"/>
                <w:szCs w:val="22"/>
              </w:rPr>
              <w:t xml:space="preserve">Investment criteria </w:t>
            </w:r>
          </w:p>
        </w:tc>
        <w:tc>
          <w:tcPr>
            <w:tcW w:w="3313" w:type="pct"/>
            <w:gridSpan w:val="7"/>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 xml:space="preserve">Number of years from year of last investment </w:t>
            </w:r>
          </w:p>
        </w:tc>
      </w:tr>
      <w:tr w:rsidR="000D28B8" w:rsidRPr="00034D7A" w:rsidTr="00B35480">
        <w:trPr>
          <w:jc w:val="center"/>
        </w:trPr>
        <w:tc>
          <w:tcPr>
            <w:tcW w:w="1687" w:type="pct"/>
            <w:vMerge/>
          </w:tcPr>
          <w:p w:rsidR="000D28B8" w:rsidRPr="00034D7A" w:rsidRDefault="000D28B8" w:rsidP="00B35480">
            <w:pPr>
              <w:rPr>
                <w:rFonts w:ascii="Arial" w:hAnsi="Arial" w:cs="Arial"/>
                <w:sz w:val="22"/>
                <w:szCs w:val="22"/>
              </w:rPr>
            </w:pPr>
          </w:p>
        </w:tc>
        <w:tc>
          <w:tcPr>
            <w:tcW w:w="582" w:type="pct"/>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0</w:t>
            </w:r>
          </w:p>
        </w:tc>
        <w:tc>
          <w:tcPr>
            <w:tcW w:w="442" w:type="pct"/>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5</w:t>
            </w:r>
          </w:p>
        </w:tc>
        <w:tc>
          <w:tcPr>
            <w:tcW w:w="442" w:type="pct"/>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10</w:t>
            </w:r>
          </w:p>
        </w:tc>
        <w:tc>
          <w:tcPr>
            <w:tcW w:w="441" w:type="pct"/>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15</w:t>
            </w:r>
          </w:p>
        </w:tc>
        <w:tc>
          <w:tcPr>
            <w:tcW w:w="441" w:type="pct"/>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20</w:t>
            </w:r>
          </w:p>
        </w:tc>
        <w:tc>
          <w:tcPr>
            <w:tcW w:w="441" w:type="pct"/>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25</w:t>
            </w:r>
          </w:p>
        </w:tc>
        <w:tc>
          <w:tcPr>
            <w:tcW w:w="522" w:type="pct"/>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30</w:t>
            </w:r>
          </w:p>
        </w:tc>
      </w:tr>
      <w:tr w:rsidR="000D28B8" w:rsidRPr="00034D7A" w:rsidTr="00B35480">
        <w:trPr>
          <w:jc w:val="center"/>
        </w:trPr>
        <w:tc>
          <w:tcPr>
            <w:tcW w:w="1687" w:type="pct"/>
          </w:tcPr>
          <w:p w:rsidR="000D28B8" w:rsidRPr="00034D7A" w:rsidRDefault="000D28B8" w:rsidP="00B35480">
            <w:pPr>
              <w:widowControl w:val="0"/>
              <w:rPr>
                <w:rFonts w:ascii="Arial" w:hAnsi="Arial" w:cs="Arial"/>
                <w:sz w:val="22"/>
                <w:szCs w:val="22"/>
              </w:rPr>
            </w:pPr>
            <w:r w:rsidRPr="00034D7A">
              <w:rPr>
                <w:rFonts w:ascii="Arial" w:hAnsi="Arial" w:cs="Arial"/>
                <w:sz w:val="22"/>
                <w:szCs w:val="22"/>
              </w:rPr>
              <w:t>Present value of benefits</w:t>
            </w:r>
            <w:r w:rsidRPr="00034D7A">
              <w:rPr>
                <w:rFonts w:ascii="Arial" w:hAnsi="Arial" w:cs="Arial"/>
                <w:sz w:val="22"/>
                <w:szCs w:val="22"/>
                <w:vertAlign w:val="superscript"/>
              </w:rPr>
              <w:t>(a)</w:t>
            </w:r>
            <w:r w:rsidRPr="00034D7A">
              <w:rPr>
                <w:rFonts w:ascii="Arial" w:hAnsi="Arial" w:cs="Arial"/>
                <w:sz w:val="22"/>
                <w:szCs w:val="22"/>
              </w:rPr>
              <w:t xml:space="preserve"> ($m)</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0.00</w:t>
            </w:r>
          </w:p>
        </w:tc>
        <w:tc>
          <w:tcPr>
            <w:tcW w:w="442" w:type="pct"/>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5.73</w:t>
            </w:r>
          </w:p>
        </w:tc>
        <w:tc>
          <w:tcPr>
            <w:tcW w:w="442" w:type="pct"/>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9.36</w:t>
            </w:r>
          </w:p>
        </w:tc>
        <w:tc>
          <w:tcPr>
            <w:tcW w:w="441" w:type="pct"/>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9.36</w:t>
            </w:r>
          </w:p>
        </w:tc>
        <w:tc>
          <w:tcPr>
            <w:tcW w:w="441" w:type="pct"/>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9.36</w:t>
            </w:r>
          </w:p>
        </w:tc>
        <w:tc>
          <w:tcPr>
            <w:tcW w:w="441" w:type="pct"/>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9.36</w:t>
            </w:r>
          </w:p>
        </w:tc>
        <w:tc>
          <w:tcPr>
            <w:tcW w:w="522" w:type="pct"/>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9.36</w:t>
            </w:r>
          </w:p>
        </w:tc>
      </w:tr>
      <w:tr w:rsidR="000D28B8" w:rsidRPr="00034D7A" w:rsidTr="00B35480">
        <w:trPr>
          <w:jc w:val="center"/>
        </w:trPr>
        <w:tc>
          <w:tcPr>
            <w:tcW w:w="1687" w:type="pct"/>
          </w:tcPr>
          <w:p w:rsidR="000D28B8" w:rsidRPr="00034D7A" w:rsidRDefault="000D28B8" w:rsidP="00B35480">
            <w:pPr>
              <w:widowControl w:val="0"/>
              <w:rPr>
                <w:rFonts w:ascii="Arial" w:hAnsi="Arial" w:cs="Arial"/>
                <w:sz w:val="22"/>
                <w:szCs w:val="22"/>
              </w:rPr>
            </w:pPr>
            <w:r w:rsidRPr="00034D7A">
              <w:rPr>
                <w:rFonts w:ascii="Arial" w:hAnsi="Arial" w:cs="Arial"/>
                <w:sz w:val="22"/>
                <w:szCs w:val="22"/>
              </w:rPr>
              <w:t>Present value of costs ($m)</w:t>
            </w:r>
          </w:p>
        </w:tc>
        <w:tc>
          <w:tcPr>
            <w:tcW w:w="582" w:type="pct"/>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0.55</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0.55</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0.55</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0.55</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0.55</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0.55</w:t>
            </w:r>
          </w:p>
        </w:tc>
        <w:tc>
          <w:tcPr>
            <w:tcW w:w="52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0.55</w:t>
            </w:r>
          </w:p>
        </w:tc>
      </w:tr>
      <w:tr w:rsidR="000D28B8" w:rsidRPr="00034D7A" w:rsidTr="00B35480">
        <w:trPr>
          <w:jc w:val="center"/>
        </w:trPr>
        <w:tc>
          <w:tcPr>
            <w:tcW w:w="1687" w:type="pct"/>
          </w:tcPr>
          <w:p w:rsidR="000D28B8" w:rsidRPr="00034D7A" w:rsidRDefault="000D28B8" w:rsidP="00B35480">
            <w:pPr>
              <w:widowControl w:val="0"/>
              <w:rPr>
                <w:rFonts w:ascii="Arial" w:hAnsi="Arial" w:cs="Arial"/>
                <w:sz w:val="22"/>
                <w:szCs w:val="22"/>
              </w:rPr>
            </w:pPr>
            <w:r w:rsidRPr="00034D7A">
              <w:rPr>
                <w:rFonts w:ascii="Arial" w:hAnsi="Arial" w:cs="Arial"/>
                <w:sz w:val="22"/>
                <w:szCs w:val="22"/>
              </w:rPr>
              <w:t>Net present value ($m)</w:t>
            </w:r>
          </w:p>
        </w:tc>
        <w:tc>
          <w:tcPr>
            <w:tcW w:w="582" w:type="pct"/>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-0.55</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5.19</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8.81</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8.81</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8.81</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8.81</w:t>
            </w:r>
          </w:p>
        </w:tc>
        <w:tc>
          <w:tcPr>
            <w:tcW w:w="52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8.81</w:t>
            </w:r>
          </w:p>
        </w:tc>
      </w:tr>
      <w:tr w:rsidR="000D28B8" w:rsidRPr="00034D7A" w:rsidTr="00B35480">
        <w:trPr>
          <w:jc w:val="center"/>
        </w:trPr>
        <w:tc>
          <w:tcPr>
            <w:tcW w:w="1687" w:type="pct"/>
          </w:tcPr>
          <w:p w:rsidR="000D28B8" w:rsidRPr="00034D7A" w:rsidRDefault="000D28B8" w:rsidP="00B35480">
            <w:pPr>
              <w:widowControl w:val="0"/>
              <w:rPr>
                <w:rFonts w:ascii="Arial" w:hAnsi="Arial" w:cs="Arial"/>
                <w:sz w:val="22"/>
                <w:szCs w:val="22"/>
              </w:rPr>
            </w:pPr>
            <w:r w:rsidRPr="00034D7A">
              <w:rPr>
                <w:rFonts w:ascii="Arial" w:hAnsi="Arial" w:cs="Arial"/>
                <w:sz w:val="22"/>
                <w:szCs w:val="22"/>
              </w:rPr>
              <w:br w:type="page"/>
              <w:t>Benefit-cost ratio</w:t>
            </w:r>
          </w:p>
        </w:tc>
        <w:tc>
          <w:tcPr>
            <w:tcW w:w="582" w:type="pct"/>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0.00</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10.50</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17.14</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17.14</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17.14</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17.14</w:t>
            </w:r>
          </w:p>
        </w:tc>
        <w:tc>
          <w:tcPr>
            <w:tcW w:w="52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17.14</w:t>
            </w:r>
          </w:p>
        </w:tc>
      </w:tr>
      <w:tr w:rsidR="000D28B8" w:rsidRPr="00034D7A" w:rsidTr="00B35480">
        <w:trPr>
          <w:jc w:val="center"/>
        </w:trPr>
        <w:tc>
          <w:tcPr>
            <w:tcW w:w="1687" w:type="pct"/>
          </w:tcPr>
          <w:p w:rsidR="000D28B8" w:rsidRPr="00034D7A" w:rsidRDefault="00034D7A" w:rsidP="00B35480">
            <w:pPr>
              <w:widowControl w:val="0"/>
              <w:rPr>
                <w:rFonts w:ascii="Arial" w:hAnsi="Arial" w:cs="Arial"/>
                <w:sz w:val="22"/>
                <w:szCs w:val="22"/>
              </w:rPr>
            </w:pPr>
            <w:r>
              <w:rPr>
                <w:rFonts w:ascii="Arial" w:hAnsi="Arial" w:cs="Arial"/>
                <w:sz w:val="22"/>
                <w:szCs w:val="22"/>
              </w:rPr>
              <w:t>Internal rate of return</w:t>
            </w:r>
            <w:r w:rsidR="000D28B8" w:rsidRPr="00034D7A">
              <w:rPr>
                <w:rFonts w:ascii="Arial" w:hAnsi="Arial" w:cs="Arial"/>
                <w:sz w:val="22"/>
                <w:szCs w:val="22"/>
              </w:rPr>
              <w:t xml:space="preserve"> (%)</w:t>
            </w:r>
          </w:p>
        </w:tc>
        <w:tc>
          <w:tcPr>
            <w:tcW w:w="582" w:type="pct"/>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negative</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66.0</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69.2</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69.2</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69.2</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69.2</w:t>
            </w:r>
          </w:p>
        </w:tc>
        <w:tc>
          <w:tcPr>
            <w:tcW w:w="52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sz w:val="22"/>
                <w:szCs w:val="22"/>
              </w:rPr>
            </w:pPr>
            <w:r w:rsidRPr="00034D7A">
              <w:rPr>
                <w:rFonts w:ascii="Arial" w:hAnsi="Arial" w:cs="Arial"/>
                <w:color w:val="000000"/>
                <w:sz w:val="22"/>
                <w:szCs w:val="22"/>
              </w:rPr>
              <w:t>69.2</w:t>
            </w:r>
          </w:p>
        </w:tc>
      </w:tr>
      <w:tr w:rsidR="000D28B8" w:rsidRPr="00034D7A" w:rsidTr="00B35480">
        <w:trPr>
          <w:jc w:val="center"/>
        </w:trPr>
        <w:tc>
          <w:tcPr>
            <w:tcW w:w="1687" w:type="pct"/>
          </w:tcPr>
          <w:p w:rsidR="000D28B8" w:rsidRPr="00034D7A" w:rsidRDefault="000D28B8" w:rsidP="00B35480">
            <w:pPr>
              <w:widowControl w:val="0"/>
              <w:rPr>
                <w:rFonts w:ascii="Arial" w:hAnsi="Arial" w:cs="Arial"/>
                <w:sz w:val="22"/>
                <w:szCs w:val="22"/>
              </w:rPr>
            </w:pPr>
            <w:r w:rsidRPr="00034D7A">
              <w:rPr>
                <w:rFonts w:ascii="Arial" w:hAnsi="Arial" w:cs="Arial"/>
                <w:sz w:val="22"/>
                <w:szCs w:val="22"/>
              </w:rPr>
              <w:t>Modified IRR (%)</w:t>
            </w:r>
          </w:p>
        </w:tc>
        <w:tc>
          <w:tcPr>
            <w:tcW w:w="582" w:type="pct"/>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color w:val="FF0000"/>
                <w:sz w:val="22"/>
                <w:szCs w:val="22"/>
              </w:rPr>
            </w:pPr>
            <w:r w:rsidRPr="00034D7A">
              <w:rPr>
                <w:rFonts w:ascii="Arial" w:hAnsi="Arial" w:cs="Arial"/>
                <w:color w:val="000000"/>
                <w:sz w:val="22"/>
                <w:szCs w:val="22"/>
              </w:rPr>
              <w:t>negative</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color w:val="FF0000"/>
                <w:sz w:val="22"/>
                <w:szCs w:val="22"/>
              </w:rPr>
            </w:pPr>
            <w:r w:rsidRPr="00034D7A">
              <w:rPr>
                <w:rFonts w:ascii="Arial" w:hAnsi="Arial" w:cs="Arial"/>
                <w:color w:val="000000"/>
                <w:sz w:val="22"/>
                <w:szCs w:val="22"/>
              </w:rPr>
              <w:t>13.6</w:t>
            </w:r>
          </w:p>
        </w:tc>
        <w:tc>
          <w:tcPr>
            <w:tcW w:w="44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color w:val="FF0000"/>
                <w:sz w:val="22"/>
                <w:szCs w:val="22"/>
              </w:rPr>
            </w:pPr>
            <w:r w:rsidRPr="00034D7A">
              <w:rPr>
                <w:rFonts w:ascii="Arial" w:hAnsi="Arial" w:cs="Arial"/>
                <w:color w:val="000000"/>
                <w:sz w:val="22"/>
                <w:szCs w:val="22"/>
              </w:rPr>
              <w:t>15.4</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color w:val="FF0000"/>
                <w:sz w:val="22"/>
                <w:szCs w:val="22"/>
              </w:rPr>
            </w:pPr>
            <w:r w:rsidRPr="00034D7A">
              <w:rPr>
                <w:rFonts w:ascii="Arial" w:hAnsi="Arial" w:cs="Arial"/>
                <w:color w:val="000000"/>
                <w:sz w:val="22"/>
                <w:szCs w:val="22"/>
              </w:rPr>
              <w:t>15.4</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color w:val="FF0000"/>
                <w:sz w:val="22"/>
                <w:szCs w:val="22"/>
              </w:rPr>
            </w:pPr>
            <w:r w:rsidRPr="00034D7A">
              <w:rPr>
                <w:rFonts w:ascii="Arial" w:hAnsi="Arial" w:cs="Arial"/>
                <w:color w:val="000000"/>
                <w:sz w:val="22"/>
                <w:szCs w:val="22"/>
              </w:rPr>
              <w:t>15.4</w:t>
            </w:r>
          </w:p>
        </w:tc>
        <w:tc>
          <w:tcPr>
            <w:tcW w:w="441"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color w:val="FF0000"/>
                <w:sz w:val="22"/>
                <w:szCs w:val="22"/>
              </w:rPr>
            </w:pPr>
            <w:r w:rsidRPr="00034D7A">
              <w:rPr>
                <w:rFonts w:ascii="Arial" w:hAnsi="Arial" w:cs="Arial"/>
                <w:color w:val="000000"/>
                <w:sz w:val="22"/>
                <w:szCs w:val="22"/>
              </w:rPr>
              <w:t>15.4</w:t>
            </w:r>
          </w:p>
        </w:tc>
        <w:tc>
          <w:tcPr>
            <w:tcW w:w="522" w:type="pct"/>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right"/>
              <w:rPr>
                <w:rFonts w:ascii="Arial" w:hAnsi="Arial" w:cs="Arial"/>
                <w:color w:val="FF0000"/>
                <w:sz w:val="22"/>
                <w:szCs w:val="22"/>
              </w:rPr>
            </w:pPr>
            <w:r w:rsidRPr="00034D7A">
              <w:rPr>
                <w:rFonts w:ascii="Arial" w:hAnsi="Arial" w:cs="Arial"/>
                <w:color w:val="000000"/>
                <w:sz w:val="22"/>
                <w:szCs w:val="22"/>
              </w:rPr>
              <w:t>15.4</w:t>
            </w:r>
          </w:p>
        </w:tc>
      </w:tr>
    </w:tbl>
    <w:p w:rsidR="000D28B8" w:rsidRPr="00C1096A" w:rsidRDefault="000D28B8" w:rsidP="000D5A34">
      <w:pPr>
        <w:pStyle w:val="ListParagraph"/>
        <w:numPr>
          <w:ilvl w:val="0"/>
          <w:numId w:val="68"/>
        </w:numPr>
        <w:spacing w:after="160"/>
        <w:rPr>
          <w:rFonts w:ascii="Arial" w:hAnsi="Arial" w:cs="Arial"/>
          <w:sz w:val="18"/>
          <w:szCs w:val="18"/>
        </w:rPr>
      </w:pPr>
      <w:r w:rsidRPr="00C1096A">
        <w:rPr>
          <w:rFonts w:ascii="Arial" w:hAnsi="Arial" w:cs="Arial"/>
          <w:sz w:val="18"/>
          <w:szCs w:val="18"/>
        </w:rPr>
        <w:t>The PVB attributable to CRDC investment has been estimated by multiplying the total PVB by the CRDC proportion of real investment (46.2%).</w:t>
      </w:r>
    </w:p>
    <w:p w:rsidR="000D28B8" w:rsidRPr="00C1096A" w:rsidRDefault="000D28B8" w:rsidP="00C7408A">
      <w:pPr>
        <w:spacing w:before="240" w:after="240"/>
        <w:rPr>
          <w:rFonts w:ascii="Arial" w:hAnsi="Arial" w:cs="Arial"/>
          <w:iCs/>
          <w:color w:val="000000" w:themeColor="text1"/>
        </w:rPr>
      </w:pPr>
      <w:r w:rsidRPr="00C1096A">
        <w:rPr>
          <w:rFonts w:ascii="Arial" w:hAnsi="Arial" w:cs="Arial"/>
        </w:rPr>
        <w:t xml:space="preserve">The annual undiscounted benefit and cost cash flows for the total investment for the duration </w:t>
      </w:r>
      <w:r w:rsidRPr="00C1096A">
        <w:rPr>
          <w:rFonts w:ascii="Arial" w:hAnsi="Arial" w:cs="Arial"/>
          <w:iCs/>
          <w:color w:val="000000" w:themeColor="text1"/>
        </w:rPr>
        <w:t xml:space="preserve">of investment period plus 30 years from the last year of investment are shown in </w:t>
      </w:r>
      <w:r w:rsidR="00913E1D">
        <w:rPr>
          <w:rFonts w:ascii="Arial" w:hAnsi="Arial" w:cs="Arial"/>
          <w:iCs/>
          <w:color w:val="000000" w:themeColor="text1"/>
        </w:rPr>
        <w:t>Figure 2.</w:t>
      </w:r>
      <w:r w:rsidRPr="00C1096A">
        <w:rPr>
          <w:rFonts w:ascii="Arial" w:hAnsi="Arial" w:cs="Arial"/>
          <w:iCs/>
          <w:color w:val="000000" w:themeColor="text1"/>
        </w:rPr>
        <w:t xml:space="preserve"> </w:t>
      </w:r>
    </w:p>
    <w:p w:rsidR="00034D7A" w:rsidRDefault="00034D7A" w:rsidP="00B35480">
      <w:pPr>
        <w:pStyle w:val="Caption"/>
        <w:jc w:val="center"/>
        <w:rPr>
          <w:rFonts w:ascii="Arial" w:hAnsi="Arial"/>
          <w:b w:val="0"/>
          <w:color w:val="000000" w:themeColor="text1"/>
          <w:sz w:val="22"/>
          <w:szCs w:val="22"/>
        </w:rPr>
      </w:pPr>
      <w:bookmarkStart w:id="333" w:name="_Ref479864835"/>
      <w:bookmarkStart w:id="334" w:name="_Toc484441225"/>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34D7A" w:rsidRDefault="00034D7A" w:rsidP="00B35480">
      <w:pPr>
        <w:pStyle w:val="Caption"/>
        <w:jc w:val="center"/>
        <w:rPr>
          <w:rFonts w:ascii="Arial" w:hAnsi="Arial"/>
          <w:b w:val="0"/>
          <w:color w:val="000000" w:themeColor="text1"/>
          <w:sz w:val="22"/>
          <w:szCs w:val="22"/>
        </w:rPr>
      </w:pPr>
    </w:p>
    <w:p w:rsidR="000D28B8" w:rsidRPr="00C7408A" w:rsidRDefault="000D28B8" w:rsidP="00B35480">
      <w:pPr>
        <w:pStyle w:val="Caption"/>
        <w:jc w:val="center"/>
        <w:rPr>
          <w:rFonts w:ascii="Arial" w:hAnsi="Arial"/>
          <w:b w:val="0"/>
          <w:i/>
          <w:color w:val="000000" w:themeColor="text1"/>
          <w:sz w:val="22"/>
          <w:szCs w:val="22"/>
        </w:rPr>
      </w:pPr>
      <w:r w:rsidRPr="00C7408A">
        <w:rPr>
          <w:rFonts w:ascii="Arial" w:hAnsi="Arial"/>
          <w:b w:val="0"/>
          <w:color w:val="000000" w:themeColor="text1"/>
          <w:sz w:val="22"/>
          <w:szCs w:val="22"/>
        </w:rPr>
        <w:t xml:space="preserve">Figure </w:t>
      </w:r>
      <w:bookmarkEnd w:id="333"/>
      <w:r w:rsidR="00913E1D">
        <w:rPr>
          <w:rFonts w:ascii="Arial" w:hAnsi="Arial"/>
          <w:b w:val="0"/>
          <w:i/>
          <w:color w:val="000000" w:themeColor="text1"/>
          <w:sz w:val="22"/>
          <w:szCs w:val="22"/>
        </w:rPr>
        <w:t>2</w:t>
      </w:r>
      <w:r w:rsidRPr="00C7408A">
        <w:rPr>
          <w:rFonts w:ascii="Arial" w:hAnsi="Arial"/>
          <w:b w:val="0"/>
          <w:color w:val="000000" w:themeColor="text1"/>
          <w:sz w:val="22"/>
          <w:szCs w:val="22"/>
        </w:rPr>
        <w:t>: Annual Cash Flow of Undiscounted Total Net Benefits and Total Investment Costs</w:t>
      </w:r>
      <w:bookmarkEnd w:id="334"/>
    </w:p>
    <w:p w:rsidR="000D28B8" w:rsidRPr="00C1096A" w:rsidRDefault="000D28B8" w:rsidP="00B35480">
      <w:pPr>
        <w:spacing w:before="240"/>
        <w:jc w:val="center"/>
        <w:rPr>
          <w:rFonts w:ascii="Arial" w:hAnsi="Arial" w:cs="Arial"/>
          <w:b/>
          <w:i/>
          <w:color w:val="FF0000"/>
        </w:rPr>
      </w:pPr>
      <w:r w:rsidRPr="00C1096A">
        <w:rPr>
          <w:rFonts w:ascii="Arial" w:hAnsi="Arial" w:cs="Arial"/>
          <w:noProof/>
          <w:lang w:eastAsia="en-AU"/>
        </w:rPr>
        <w:drawing>
          <wp:inline distT="0" distB="0" distL="0" distR="0" wp14:anchorId="1ED10C47" wp14:editId="54D0C7A6">
            <wp:extent cx="5571745" cy="3343047"/>
            <wp:effectExtent l="0" t="0" r="10160" b="1016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E1F394-2D95-4A0A-BDCD-4F22E8BBE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408A" w:rsidRDefault="00C7408A" w:rsidP="00C7408A">
      <w:pPr>
        <w:spacing w:after="240"/>
      </w:pPr>
      <w:bookmarkStart w:id="335" w:name="_Toc484441302"/>
      <w:bookmarkStart w:id="336" w:name="_Toc486145278"/>
    </w:p>
    <w:p w:rsidR="000D28B8" w:rsidRPr="005173A2" w:rsidRDefault="000D28B8" w:rsidP="005173A2">
      <w:pPr>
        <w:spacing w:after="240"/>
        <w:rPr>
          <w:rFonts w:ascii="Arial" w:hAnsi="Arial" w:cs="Arial"/>
          <w:b/>
          <w:sz w:val="24"/>
        </w:rPr>
      </w:pPr>
      <w:r w:rsidRPr="005173A2">
        <w:rPr>
          <w:rFonts w:ascii="Arial" w:hAnsi="Arial" w:cs="Arial"/>
          <w:b/>
          <w:sz w:val="24"/>
        </w:rPr>
        <w:t>Sources of Benefits</w:t>
      </w:r>
      <w:bookmarkEnd w:id="335"/>
      <w:bookmarkEnd w:id="336"/>
    </w:p>
    <w:p w:rsidR="000D28B8" w:rsidRPr="00C1096A" w:rsidRDefault="000D28B8" w:rsidP="00C7408A">
      <w:pPr>
        <w:spacing w:after="240"/>
        <w:rPr>
          <w:rFonts w:ascii="Arial" w:hAnsi="Arial" w:cs="Arial"/>
        </w:rPr>
      </w:pPr>
      <w:r w:rsidRPr="00C1096A">
        <w:rPr>
          <w:rFonts w:ascii="Arial" w:hAnsi="Arial" w:cs="Arial"/>
        </w:rPr>
        <w:t>There are three sources of benefits valued in the analysis.</w:t>
      </w:r>
      <w:r w:rsidR="00913E1D">
        <w:rPr>
          <w:rFonts w:ascii="Arial" w:hAnsi="Arial" w:cs="Arial"/>
        </w:rPr>
        <w:t xml:space="preserve"> Table 10 s</w:t>
      </w:r>
      <w:r w:rsidRPr="00C1096A">
        <w:rPr>
          <w:rFonts w:ascii="Arial" w:hAnsi="Arial" w:cs="Arial"/>
        </w:rPr>
        <w:t>hows the relative contributions to the PVB from each source. As the additional costs required to achieve the benefits (i.e. expected additional costs for higher seeding rates and additional seed treatments) could not be apportioned between the three benefits, the contributions to the PVB are based on the proportion of each benefit from the total gross benefits (undiscounted). The benefit increased average yields is the largest contributor to total benefits by a significant margin.</w:t>
      </w:r>
    </w:p>
    <w:p w:rsidR="000D28B8" w:rsidRPr="00C7408A" w:rsidRDefault="000D28B8" w:rsidP="00C7408A">
      <w:pPr>
        <w:pStyle w:val="Caption"/>
        <w:spacing w:after="240"/>
        <w:jc w:val="center"/>
        <w:rPr>
          <w:rFonts w:ascii="Arial" w:hAnsi="Arial"/>
          <w:b w:val="0"/>
          <w:i/>
          <w:color w:val="000000" w:themeColor="text1"/>
          <w:sz w:val="22"/>
          <w:szCs w:val="22"/>
        </w:rPr>
      </w:pPr>
      <w:bookmarkStart w:id="337" w:name="_Ref479864952"/>
      <w:bookmarkStart w:id="338" w:name="_Toc484441237"/>
      <w:r w:rsidRPr="00C7408A">
        <w:rPr>
          <w:rFonts w:ascii="Arial" w:hAnsi="Arial"/>
          <w:b w:val="0"/>
          <w:color w:val="000000" w:themeColor="text1"/>
          <w:sz w:val="22"/>
          <w:szCs w:val="22"/>
        </w:rPr>
        <w:t xml:space="preserve">Table </w:t>
      </w:r>
      <w:bookmarkEnd w:id="337"/>
      <w:r w:rsidR="00913E1D" w:rsidRPr="00913E1D">
        <w:rPr>
          <w:rFonts w:ascii="Arial" w:hAnsi="Arial"/>
          <w:b w:val="0"/>
          <w:color w:val="000000" w:themeColor="text1"/>
          <w:sz w:val="22"/>
          <w:szCs w:val="22"/>
        </w:rPr>
        <w:t>10:</w:t>
      </w:r>
      <w:r w:rsidRPr="00C7408A">
        <w:rPr>
          <w:rFonts w:ascii="Arial" w:hAnsi="Arial"/>
          <w:b w:val="0"/>
          <w:color w:val="000000" w:themeColor="text1"/>
          <w:sz w:val="22"/>
          <w:szCs w:val="22"/>
        </w:rPr>
        <w:t xml:space="preserve"> Contribution to Total Benefits from Each Source</w:t>
      </w:r>
      <w:bookmarkEnd w:id="338"/>
    </w:p>
    <w:tbl>
      <w:tblPr>
        <w:tblStyle w:val="TableGrid"/>
        <w:tblW w:w="8647" w:type="dxa"/>
        <w:jc w:val="center"/>
        <w:tblLook w:val="04A0" w:firstRow="1" w:lastRow="0" w:firstColumn="1" w:lastColumn="0" w:noHBand="0" w:noVBand="1"/>
      </w:tblPr>
      <w:tblGrid>
        <w:gridCol w:w="5103"/>
        <w:gridCol w:w="1843"/>
        <w:gridCol w:w="1701"/>
      </w:tblGrid>
      <w:tr w:rsidR="000D28B8" w:rsidRPr="00034D7A" w:rsidTr="00B35480">
        <w:trPr>
          <w:jc w:val="center"/>
        </w:trPr>
        <w:tc>
          <w:tcPr>
            <w:tcW w:w="5103" w:type="dxa"/>
          </w:tcPr>
          <w:p w:rsidR="000D28B8" w:rsidRPr="00034D7A" w:rsidRDefault="000D28B8" w:rsidP="00B35480">
            <w:pPr>
              <w:rPr>
                <w:rFonts w:ascii="Arial" w:hAnsi="Arial" w:cs="Arial"/>
                <w:b/>
                <w:sz w:val="22"/>
                <w:szCs w:val="22"/>
              </w:rPr>
            </w:pPr>
            <w:r w:rsidRPr="00034D7A">
              <w:rPr>
                <w:rFonts w:ascii="Arial" w:hAnsi="Arial" w:cs="Arial"/>
                <w:b/>
                <w:sz w:val="22"/>
                <w:szCs w:val="22"/>
              </w:rPr>
              <w:t>Source of Benefits</w:t>
            </w:r>
          </w:p>
        </w:tc>
        <w:tc>
          <w:tcPr>
            <w:tcW w:w="1843"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Contribution to PVB ($m)</w:t>
            </w:r>
          </w:p>
        </w:tc>
        <w:tc>
          <w:tcPr>
            <w:tcW w:w="1701"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Share of benefits (%)</w:t>
            </w:r>
          </w:p>
        </w:tc>
      </w:tr>
      <w:tr w:rsidR="000D28B8" w:rsidRPr="00034D7A" w:rsidTr="00B35480">
        <w:trPr>
          <w:jc w:val="center"/>
        </w:trPr>
        <w:tc>
          <w:tcPr>
            <w:tcW w:w="5103" w:type="dxa"/>
          </w:tcPr>
          <w:p w:rsidR="000D28B8" w:rsidRPr="00034D7A" w:rsidRDefault="000D28B8" w:rsidP="00B35480">
            <w:pPr>
              <w:rPr>
                <w:rFonts w:ascii="Arial" w:hAnsi="Arial" w:cs="Arial"/>
                <w:sz w:val="22"/>
                <w:szCs w:val="22"/>
              </w:rPr>
            </w:pPr>
            <w:r w:rsidRPr="00034D7A">
              <w:rPr>
                <w:rFonts w:ascii="Arial" w:hAnsi="Arial" w:cs="Arial"/>
                <w:sz w:val="22"/>
                <w:szCs w:val="22"/>
              </w:rPr>
              <w:t xml:space="preserve">Increase average cotton yields for the Central Highlands (Benefit 1) </w:t>
            </w:r>
          </w:p>
        </w:tc>
        <w:tc>
          <w:tcPr>
            <w:tcW w:w="1843" w:type="dxa"/>
          </w:tcPr>
          <w:p w:rsidR="000D28B8" w:rsidRPr="00034D7A" w:rsidRDefault="000D28B8" w:rsidP="00B35480">
            <w:pPr>
              <w:jc w:val="right"/>
              <w:rPr>
                <w:rFonts w:ascii="Arial" w:hAnsi="Arial" w:cs="Arial"/>
                <w:sz w:val="22"/>
                <w:szCs w:val="22"/>
              </w:rPr>
            </w:pPr>
            <w:r w:rsidRPr="00034D7A">
              <w:rPr>
                <w:rFonts w:ascii="Arial" w:hAnsi="Arial" w:cs="Arial"/>
                <w:sz w:val="22"/>
                <w:szCs w:val="22"/>
              </w:rPr>
              <w:t>14.29</w:t>
            </w:r>
          </w:p>
        </w:tc>
        <w:tc>
          <w:tcPr>
            <w:tcW w:w="1701" w:type="dxa"/>
          </w:tcPr>
          <w:p w:rsidR="000D28B8" w:rsidRPr="00034D7A" w:rsidRDefault="000D28B8" w:rsidP="00B35480">
            <w:pPr>
              <w:jc w:val="right"/>
              <w:rPr>
                <w:rFonts w:ascii="Arial" w:hAnsi="Arial" w:cs="Arial"/>
                <w:sz w:val="22"/>
                <w:szCs w:val="22"/>
              </w:rPr>
            </w:pPr>
            <w:r w:rsidRPr="00034D7A">
              <w:rPr>
                <w:rFonts w:ascii="Arial" w:hAnsi="Arial" w:cs="Arial"/>
                <w:sz w:val="22"/>
                <w:szCs w:val="22"/>
              </w:rPr>
              <w:t>70.6</w:t>
            </w:r>
          </w:p>
        </w:tc>
      </w:tr>
      <w:tr w:rsidR="000D28B8" w:rsidRPr="00034D7A" w:rsidTr="00B35480">
        <w:trPr>
          <w:jc w:val="center"/>
        </w:trPr>
        <w:tc>
          <w:tcPr>
            <w:tcW w:w="5103" w:type="dxa"/>
          </w:tcPr>
          <w:p w:rsidR="000D28B8" w:rsidRPr="00034D7A" w:rsidRDefault="000D28B8" w:rsidP="00B35480">
            <w:pPr>
              <w:rPr>
                <w:rFonts w:ascii="Arial" w:hAnsi="Arial" w:cs="Arial"/>
                <w:sz w:val="22"/>
                <w:szCs w:val="22"/>
              </w:rPr>
            </w:pPr>
            <w:r w:rsidRPr="00034D7A">
              <w:rPr>
                <w:rFonts w:ascii="Arial" w:hAnsi="Arial" w:cs="Arial"/>
                <w:sz w:val="22"/>
                <w:szCs w:val="22"/>
              </w:rPr>
              <w:t xml:space="preserve">Reduced crop losses from severe weather events (Benefit 2)  </w:t>
            </w:r>
          </w:p>
        </w:tc>
        <w:tc>
          <w:tcPr>
            <w:tcW w:w="1843" w:type="dxa"/>
          </w:tcPr>
          <w:p w:rsidR="000D28B8" w:rsidRPr="00034D7A" w:rsidRDefault="000D28B8" w:rsidP="00B35480">
            <w:pPr>
              <w:jc w:val="right"/>
              <w:rPr>
                <w:rFonts w:ascii="Arial" w:hAnsi="Arial" w:cs="Arial"/>
                <w:sz w:val="22"/>
                <w:szCs w:val="22"/>
              </w:rPr>
            </w:pPr>
            <w:r w:rsidRPr="00034D7A">
              <w:rPr>
                <w:rFonts w:ascii="Arial" w:hAnsi="Arial" w:cs="Arial"/>
                <w:sz w:val="22"/>
                <w:szCs w:val="22"/>
              </w:rPr>
              <w:t>3.57</w:t>
            </w:r>
          </w:p>
        </w:tc>
        <w:tc>
          <w:tcPr>
            <w:tcW w:w="1701" w:type="dxa"/>
          </w:tcPr>
          <w:p w:rsidR="000D28B8" w:rsidRPr="00034D7A" w:rsidRDefault="000D28B8" w:rsidP="00B35480">
            <w:pPr>
              <w:jc w:val="right"/>
              <w:rPr>
                <w:rFonts w:ascii="Arial" w:hAnsi="Arial" w:cs="Arial"/>
                <w:sz w:val="22"/>
                <w:szCs w:val="22"/>
              </w:rPr>
            </w:pPr>
            <w:r w:rsidRPr="00034D7A">
              <w:rPr>
                <w:rFonts w:ascii="Arial" w:hAnsi="Arial" w:cs="Arial"/>
                <w:sz w:val="22"/>
                <w:szCs w:val="22"/>
              </w:rPr>
              <w:t>17.6</w:t>
            </w:r>
          </w:p>
        </w:tc>
      </w:tr>
      <w:tr w:rsidR="000D28B8" w:rsidRPr="00034D7A" w:rsidTr="00B35480">
        <w:trPr>
          <w:jc w:val="center"/>
        </w:trPr>
        <w:tc>
          <w:tcPr>
            <w:tcW w:w="5103" w:type="dxa"/>
          </w:tcPr>
          <w:p w:rsidR="000D28B8" w:rsidRPr="00034D7A" w:rsidRDefault="000D28B8" w:rsidP="00B35480">
            <w:pPr>
              <w:rPr>
                <w:rFonts w:ascii="Arial" w:hAnsi="Arial" w:cs="Arial"/>
                <w:sz w:val="22"/>
                <w:szCs w:val="22"/>
              </w:rPr>
            </w:pPr>
            <w:r w:rsidRPr="00034D7A">
              <w:rPr>
                <w:rFonts w:ascii="Arial" w:hAnsi="Arial" w:cs="Arial"/>
                <w:sz w:val="22"/>
                <w:szCs w:val="22"/>
              </w:rPr>
              <w:t>Reduced incidence of quality discounts due to variable weather conditions (Benefit 3)</w:t>
            </w:r>
          </w:p>
        </w:tc>
        <w:tc>
          <w:tcPr>
            <w:tcW w:w="1843" w:type="dxa"/>
          </w:tcPr>
          <w:p w:rsidR="000D28B8" w:rsidRPr="00034D7A" w:rsidRDefault="000D28B8" w:rsidP="00B35480">
            <w:pPr>
              <w:jc w:val="right"/>
              <w:rPr>
                <w:rFonts w:ascii="Arial" w:hAnsi="Arial" w:cs="Arial"/>
                <w:sz w:val="22"/>
                <w:szCs w:val="22"/>
              </w:rPr>
            </w:pPr>
            <w:r w:rsidRPr="00034D7A">
              <w:rPr>
                <w:rFonts w:ascii="Arial" w:hAnsi="Arial" w:cs="Arial"/>
                <w:sz w:val="22"/>
                <w:szCs w:val="22"/>
              </w:rPr>
              <w:t>2.38</w:t>
            </w:r>
          </w:p>
        </w:tc>
        <w:tc>
          <w:tcPr>
            <w:tcW w:w="1701" w:type="dxa"/>
          </w:tcPr>
          <w:p w:rsidR="000D28B8" w:rsidRPr="00034D7A" w:rsidRDefault="000D28B8" w:rsidP="00B35480">
            <w:pPr>
              <w:jc w:val="right"/>
              <w:rPr>
                <w:rFonts w:ascii="Arial" w:hAnsi="Arial" w:cs="Arial"/>
                <w:sz w:val="22"/>
                <w:szCs w:val="22"/>
              </w:rPr>
            </w:pPr>
            <w:r w:rsidRPr="00034D7A">
              <w:rPr>
                <w:rFonts w:ascii="Arial" w:hAnsi="Arial" w:cs="Arial"/>
                <w:sz w:val="22"/>
                <w:szCs w:val="22"/>
              </w:rPr>
              <w:t>11.8</w:t>
            </w:r>
          </w:p>
        </w:tc>
      </w:tr>
      <w:tr w:rsidR="000D28B8" w:rsidRPr="00034D7A" w:rsidTr="00B35480">
        <w:trPr>
          <w:jc w:val="center"/>
        </w:trPr>
        <w:tc>
          <w:tcPr>
            <w:tcW w:w="5103" w:type="dxa"/>
          </w:tcPr>
          <w:p w:rsidR="000D28B8" w:rsidRPr="00034D7A" w:rsidRDefault="000D28B8" w:rsidP="00B35480">
            <w:pPr>
              <w:rPr>
                <w:rFonts w:ascii="Arial" w:hAnsi="Arial" w:cs="Arial"/>
                <w:b/>
                <w:sz w:val="22"/>
                <w:szCs w:val="22"/>
              </w:rPr>
            </w:pPr>
            <w:r w:rsidRPr="00034D7A">
              <w:rPr>
                <w:rFonts w:ascii="Arial" w:hAnsi="Arial" w:cs="Arial"/>
                <w:b/>
                <w:sz w:val="22"/>
                <w:szCs w:val="22"/>
              </w:rPr>
              <w:t>Total</w:t>
            </w:r>
          </w:p>
        </w:tc>
        <w:tc>
          <w:tcPr>
            <w:tcW w:w="1843" w:type="dxa"/>
          </w:tcPr>
          <w:p w:rsidR="000D28B8" w:rsidRPr="00034D7A" w:rsidRDefault="000D28B8" w:rsidP="00B35480">
            <w:pPr>
              <w:jc w:val="right"/>
              <w:rPr>
                <w:rFonts w:ascii="Arial" w:hAnsi="Arial" w:cs="Arial"/>
                <w:b/>
                <w:sz w:val="22"/>
                <w:szCs w:val="22"/>
              </w:rPr>
            </w:pPr>
            <w:r w:rsidRPr="00034D7A">
              <w:rPr>
                <w:rFonts w:ascii="Arial" w:hAnsi="Arial" w:cs="Arial"/>
                <w:b/>
                <w:sz w:val="22"/>
                <w:szCs w:val="22"/>
              </w:rPr>
              <w:t>20.24</w:t>
            </w:r>
          </w:p>
        </w:tc>
        <w:tc>
          <w:tcPr>
            <w:tcW w:w="1701" w:type="dxa"/>
          </w:tcPr>
          <w:p w:rsidR="000D28B8" w:rsidRPr="00034D7A" w:rsidRDefault="000D28B8" w:rsidP="00B35480">
            <w:pPr>
              <w:jc w:val="right"/>
              <w:rPr>
                <w:rFonts w:ascii="Arial" w:hAnsi="Arial" w:cs="Arial"/>
                <w:b/>
                <w:sz w:val="22"/>
                <w:szCs w:val="22"/>
              </w:rPr>
            </w:pPr>
            <w:r w:rsidRPr="00034D7A">
              <w:rPr>
                <w:rFonts w:ascii="Arial" w:hAnsi="Arial" w:cs="Arial"/>
                <w:b/>
                <w:sz w:val="22"/>
                <w:szCs w:val="22"/>
              </w:rPr>
              <w:t>100.0</w:t>
            </w:r>
          </w:p>
        </w:tc>
      </w:tr>
    </w:tbl>
    <w:p w:rsidR="005173A2" w:rsidRDefault="005173A2" w:rsidP="005173A2">
      <w:bookmarkStart w:id="339" w:name="_Toc484441303"/>
      <w:bookmarkStart w:id="340" w:name="_Toc486145279"/>
    </w:p>
    <w:p w:rsidR="005173A2" w:rsidRDefault="005173A2" w:rsidP="005173A2"/>
    <w:p w:rsidR="00034D7A" w:rsidRDefault="00034D7A" w:rsidP="005173A2"/>
    <w:p w:rsidR="00034D7A" w:rsidRDefault="00034D7A" w:rsidP="005173A2"/>
    <w:p w:rsidR="00034D7A" w:rsidRDefault="00034D7A" w:rsidP="005173A2"/>
    <w:p w:rsidR="00034D7A" w:rsidRDefault="00034D7A" w:rsidP="005173A2"/>
    <w:p w:rsidR="00034D7A" w:rsidRDefault="00034D7A" w:rsidP="005173A2"/>
    <w:p w:rsidR="00034D7A" w:rsidRDefault="00034D7A" w:rsidP="005173A2"/>
    <w:p w:rsidR="00034D7A" w:rsidRDefault="00034D7A" w:rsidP="005173A2"/>
    <w:p w:rsidR="000D28B8" w:rsidRPr="005173A2" w:rsidRDefault="000D28B8" w:rsidP="005173A2">
      <w:pPr>
        <w:spacing w:after="240"/>
        <w:rPr>
          <w:rFonts w:ascii="Arial" w:hAnsi="Arial" w:cs="Arial"/>
          <w:b/>
          <w:sz w:val="24"/>
        </w:rPr>
      </w:pPr>
      <w:r w:rsidRPr="005173A2">
        <w:rPr>
          <w:rFonts w:ascii="Arial" w:hAnsi="Arial" w:cs="Arial"/>
          <w:b/>
          <w:sz w:val="24"/>
        </w:rPr>
        <w:t>Sensitivity Analyses</w:t>
      </w:r>
      <w:bookmarkEnd w:id="339"/>
      <w:bookmarkEnd w:id="340"/>
    </w:p>
    <w:p w:rsidR="000D28B8" w:rsidRDefault="000D28B8" w:rsidP="00B35480">
      <w:pPr>
        <w:rPr>
          <w:rFonts w:ascii="Arial" w:hAnsi="Arial" w:cs="Arial"/>
        </w:rPr>
      </w:pPr>
      <w:r w:rsidRPr="00C1096A">
        <w:rPr>
          <w:rFonts w:ascii="Arial" w:hAnsi="Arial" w:cs="Arial"/>
        </w:rPr>
        <w:t xml:space="preserve">A sensitivity analysis was carried out on the discount rate. The analysis was performed for the total investment and with benefits taken over the life of the investment plus 30 years from the last year of investment. All other parameters were held at their base values. </w:t>
      </w:r>
      <w:r w:rsidR="00913E1D">
        <w:rPr>
          <w:rFonts w:ascii="Arial" w:hAnsi="Arial" w:cs="Arial"/>
        </w:rPr>
        <w:t xml:space="preserve">Table 11 </w:t>
      </w:r>
      <w:r w:rsidRPr="00C1096A">
        <w:rPr>
          <w:rFonts w:ascii="Arial" w:hAnsi="Arial" w:cs="Arial"/>
        </w:rPr>
        <w:t>presents the results. The results showed a low sensitivity to the discount rate. This low sensitivity is because the benefits occur in the first 10 years after the investment and therefore are not subjected to heavy discounting.</w:t>
      </w:r>
    </w:p>
    <w:p w:rsidR="00034D7A" w:rsidRPr="00C1096A" w:rsidRDefault="00034D7A" w:rsidP="00B35480">
      <w:pPr>
        <w:rPr>
          <w:rFonts w:ascii="Arial" w:hAnsi="Arial" w:cs="Arial"/>
        </w:rPr>
      </w:pPr>
    </w:p>
    <w:p w:rsidR="000D28B8" w:rsidRPr="00C7408A" w:rsidRDefault="000D28B8" w:rsidP="00C7408A">
      <w:pPr>
        <w:pStyle w:val="Caption"/>
        <w:spacing w:after="240"/>
        <w:jc w:val="center"/>
        <w:rPr>
          <w:rFonts w:ascii="Arial" w:hAnsi="Arial"/>
          <w:b w:val="0"/>
          <w:i/>
          <w:sz w:val="22"/>
          <w:szCs w:val="22"/>
        </w:rPr>
      </w:pPr>
      <w:bookmarkStart w:id="341" w:name="_Ref479865053"/>
      <w:bookmarkStart w:id="342" w:name="_Toc484441238"/>
      <w:r w:rsidRPr="00C7408A">
        <w:rPr>
          <w:rFonts w:ascii="Arial" w:hAnsi="Arial"/>
          <w:b w:val="0"/>
          <w:color w:val="000000" w:themeColor="text1"/>
          <w:sz w:val="22"/>
          <w:szCs w:val="22"/>
        </w:rPr>
        <w:t xml:space="preserve">Table </w:t>
      </w:r>
      <w:bookmarkEnd w:id="341"/>
      <w:r w:rsidR="00913E1D" w:rsidRPr="00913E1D">
        <w:rPr>
          <w:rFonts w:ascii="Arial" w:hAnsi="Arial"/>
          <w:b w:val="0"/>
          <w:color w:val="000000" w:themeColor="text1"/>
          <w:sz w:val="22"/>
          <w:szCs w:val="22"/>
        </w:rPr>
        <w:t>11</w:t>
      </w:r>
      <w:r w:rsidRPr="00C7408A">
        <w:rPr>
          <w:rFonts w:ascii="Arial" w:hAnsi="Arial"/>
          <w:b w:val="0"/>
          <w:color w:val="000000" w:themeColor="text1"/>
          <w:sz w:val="22"/>
          <w:szCs w:val="22"/>
        </w:rPr>
        <w:t>: Sensitivity to Discount Rate</w:t>
      </w:r>
      <w:r w:rsidRPr="00C7408A">
        <w:rPr>
          <w:rFonts w:ascii="Arial" w:hAnsi="Arial"/>
          <w:b w:val="0"/>
          <w:color w:val="000000" w:themeColor="text1"/>
          <w:sz w:val="22"/>
          <w:szCs w:val="22"/>
        </w:rPr>
        <w:br/>
      </w:r>
      <w:r w:rsidRPr="00C7408A">
        <w:rPr>
          <w:rFonts w:ascii="Arial" w:hAnsi="Arial"/>
          <w:b w:val="0"/>
          <w:sz w:val="22"/>
          <w:szCs w:val="22"/>
        </w:rPr>
        <w:t>(Total investment, 30 years)</w:t>
      </w:r>
      <w:bookmarkEnd w:id="342"/>
    </w:p>
    <w:tbl>
      <w:tblPr>
        <w:tblStyle w:val="TableGrid"/>
        <w:tblW w:w="0" w:type="auto"/>
        <w:tblLook w:val="04A0" w:firstRow="1" w:lastRow="0" w:firstColumn="1" w:lastColumn="0" w:noHBand="0" w:noVBand="1"/>
      </w:tblPr>
      <w:tblGrid>
        <w:gridCol w:w="3256"/>
        <w:gridCol w:w="1920"/>
        <w:gridCol w:w="1920"/>
        <w:gridCol w:w="1920"/>
      </w:tblGrid>
      <w:tr w:rsidR="000D28B8" w:rsidRPr="00034D7A" w:rsidTr="00B35480">
        <w:tc>
          <w:tcPr>
            <w:tcW w:w="3256" w:type="dxa"/>
            <w:vMerge w:val="restart"/>
          </w:tcPr>
          <w:p w:rsidR="000D28B8" w:rsidRPr="00034D7A" w:rsidRDefault="000D28B8" w:rsidP="00B35480">
            <w:pPr>
              <w:rPr>
                <w:rFonts w:ascii="Arial" w:hAnsi="Arial" w:cs="Arial"/>
                <w:b/>
                <w:sz w:val="22"/>
                <w:szCs w:val="22"/>
              </w:rPr>
            </w:pPr>
            <w:r w:rsidRPr="00034D7A">
              <w:rPr>
                <w:rFonts w:ascii="Arial" w:hAnsi="Arial" w:cs="Arial"/>
                <w:b/>
                <w:sz w:val="22"/>
                <w:szCs w:val="22"/>
              </w:rPr>
              <w:t>Investment Criteria</w:t>
            </w:r>
          </w:p>
        </w:tc>
        <w:tc>
          <w:tcPr>
            <w:tcW w:w="5760" w:type="dxa"/>
            <w:gridSpan w:val="3"/>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Discount rate</w:t>
            </w:r>
          </w:p>
        </w:tc>
      </w:tr>
      <w:tr w:rsidR="000D28B8" w:rsidRPr="00034D7A" w:rsidTr="00B35480">
        <w:trPr>
          <w:trHeight w:val="118"/>
        </w:trPr>
        <w:tc>
          <w:tcPr>
            <w:tcW w:w="3256" w:type="dxa"/>
            <w:vMerge/>
          </w:tcPr>
          <w:p w:rsidR="000D28B8" w:rsidRPr="00034D7A" w:rsidRDefault="000D28B8" w:rsidP="00B35480">
            <w:pPr>
              <w:rPr>
                <w:rFonts w:ascii="Arial" w:hAnsi="Arial" w:cs="Arial"/>
                <w:b/>
                <w:sz w:val="22"/>
                <w:szCs w:val="22"/>
              </w:rPr>
            </w:pP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0%</w:t>
            </w: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5% (base)</w:t>
            </w: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10%</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25.79</w:t>
            </w:r>
          </w:p>
        </w:tc>
        <w:tc>
          <w:tcPr>
            <w:tcW w:w="1920" w:type="dxa"/>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20.24</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16.23</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1.08</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1.18</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1.29</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24.71</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19.06</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14.94</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23.88</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17.13</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12.58</w:t>
            </w:r>
          </w:p>
        </w:tc>
      </w:tr>
    </w:tbl>
    <w:p w:rsidR="000D28B8" w:rsidRPr="00C1096A" w:rsidRDefault="000D28B8" w:rsidP="00B35480">
      <w:pPr>
        <w:rPr>
          <w:rFonts w:ascii="Arial" w:hAnsi="Arial" w:cs="Arial"/>
          <w:b/>
          <w:sz w:val="24"/>
        </w:rPr>
      </w:pPr>
    </w:p>
    <w:p w:rsidR="000D28B8" w:rsidRDefault="000D28B8" w:rsidP="00B35480">
      <w:pPr>
        <w:rPr>
          <w:rFonts w:ascii="Arial" w:hAnsi="Arial" w:cs="Arial"/>
        </w:rPr>
      </w:pPr>
      <w:r w:rsidRPr="00C1096A">
        <w:rPr>
          <w:rFonts w:ascii="Arial" w:hAnsi="Arial" w:cs="Arial"/>
        </w:rPr>
        <w:t xml:space="preserve">A sensitivity analysis also was carried out on the maximum level of adoption. </w:t>
      </w:r>
      <w:r w:rsidR="00913E1D">
        <w:rPr>
          <w:rFonts w:ascii="Arial" w:hAnsi="Arial" w:cs="Arial"/>
        </w:rPr>
        <w:t xml:space="preserve">Table 12 </w:t>
      </w:r>
      <w:r w:rsidRPr="00C1096A">
        <w:rPr>
          <w:rFonts w:ascii="Arial" w:hAnsi="Arial" w:cs="Arial"/>
        </w:rPr>
        <w:t>presents the results. The results showed a high sensitivity to the maximum level of adoption level. However, even at only 10% adoption of early sowing, returns to the investment are positive.</w:t>
      </w:r>
    </w:p>
    <w:p w:rsidR="00034D7A" w:rsidRPr="00C1096A" w:rsidRDefault="00034D7A" w:rsidP="00B35480">
      <w:pPr>
        <w:rPr>
          <w:rFonts w:ascii="Arial" w:hAnsi="Arial" w:cs="Arial"/>
        </w:rPr>
      </w:pPr>
    </w:p>
    <w:p w:rsidR="000D28B8" w:rsidRPr="00C7408A" w:rsidRDefault="000D28B8" w:rsidP="00C7408A">
      <w:pPr>
        <w:pStyle w:val="Caption"/>
        <w:spacing w:after="240"/>
        <w:jc w:val="center"/>
        <w:rPr>
          <w:rFonts w:ascii="Arial" w:hAnsi="Arial"/>
          <w:b w:val="0"/>
          <w:color w:val="000000" w:themeColor="text1"/>
          <w:sz w:val="22"/>
          <w:szCs w:val="22"/>
        </w:rPr>
      </w:pPr>
      <w:bookmarkStart w:id="343" w:name="_Ref480459427"/>
      <w:bookmarkStart w:id="344" w:name="_Toc484441239"/>
      <w:r w:rsidRPr="00C7408A">
        <w:rPr>
          <w:rFonts w:ascii="Arial" w:hAnsi="Arial"/>
          <w:b w:val="0"/>
          <w:color w:val="000000" w:themeColor="text1"/>
          <w:sz w:val="22"/>
          <w:szCs w:val="22"/>
        </w:rPr>
        <w:t xml:space="preserve">Table </w:t>
      </w:r>
      <w:bookmarkEnd w:id="343"/>
      <w:r w:rsidR="00913E1D">
        <w:rPr>
          <w:rFonts w:ascii="Arial" w:hAnsi="Arial"/>
          <w:b w:val="0"/>
          <w:color w:val="000000" w:themeColor="text1"/>
          <w:sz w:val="22"/>
          <w:szCs w:val="22"/>
        </w:rPr>
        <w:t>12</w:t>
      </w:r>
      <w:r w:rsidRPr="00C7408A">
        <w:rPr>
          <w:rFonts w:ascii="Arial" w:hAnsi="Arial"/>
          <w:b w:val="0"/>
          <w:color w:val="000000" w:themeColor="text1"/>
          <w:sz w:val="22"/>
          <w:szCs w:val="22"/>
        </w:rPr>
        <w:t>: Sensitivity to Maximum Level of Adoption</w:t>
      </w:r>
      <w:r w:rsidRPr="00C7408A">
        <w:rPr>
          <w:rFonts w:ascii="Arial" w:hAnsi="Arial"/>
          <w:b w:val="0"/>
          <w:color w:val="000000" w:themeColor="text1"/>
          <w:sz w:val="22"/>
          <w:szCs w:val="22"/>
        </w:rPr>
        <w:br/>
        <w:t>(Total investment, 30 years)</w:t>
      </w:r>
      <w:bookmarkEnd w:id="344"/>
    </w:p>
    <w:tbl>
      <w:tblPr>
        <w:tblStyle w:val="TableGrid"/>
        <w:tblW w:w="0" w:type="auto"/>
        <w:tblLook w:val="04A0" w:firstRow="1" w:lastRow="0" w:firstColumn="1" w:lastColumn="0" w:noHBand="0" w:noVBand="1"/>
      </w:tblPr>
      <w:tblGrid>
        <w:gridCol w:w="3256"/>
        <w:gridCol w:w="1920"/>
        <w:gridCol w:w="1920"/>
        <w:gridCol w:w="1920"/>
      </w:tblGrid>
      <w:tr w:rsidR="000D28B8" w:rsidRPr="00034D7A" w:rsidTr="00B35480">
        <w:tc>
          <w:tcPr>
            <w:tcW w:w="3256" w:type="dxa"/>
            <w:vMerge w:val="restart"/>
          </w:tcPr>
          <w:p w:rsidR="000D28B8" w:rsidRPr="00034D7A" w:rsidRDefault="000D28B8" w:rsidP="00B35480">
            <w:pPr>
              <w:rPr>
                <w:rFonts w:ascii="Arial" w:hAnsi="Arial" w:cs="Arial"/>
                <w:b/>
                <w:sz w:val="22"/>
                <w:szCs w:val="22"/>
              </w:rPr>
            </w:pPr>
            <w:r w:rsidRPr="00034D7A">
              <w:rPr>
                <w:rFonts w:ascii="Arial" w:hAnsi="Arial" w:cs="Arial"/>
                <w:b/>
                <w:sz w:val="22"/>
                <w:szCs w:val="22"/>
              </w:rPr>
              <w:t>Investment Criteria</w:t>
            </w:r>
          </w:p>
        </w:tc>
        <w:tc>
          <w:tcPr>
            <w:tcW w:w="5760" w:type="dxa"/>
            <w:gridSpan w:val="3"/>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Maximum level of adoption</w:t>
            </w:r>
          </w:p>
        </w:tc>
      </w:tr>
      <w:tr w:rsidR="000D28B8" w:rsidRPr="00034D7A" w:rsidTr="00B35480">
        <w:trPr>
          <w:trHeight w:val="118"/>
        </w:trPr>
        <w:tc>
          <w:tcPr>
            <w:tcW w:w="3256" w:type="dxa"/>
            <w:vMerge/>
          </w:tcPr>
          <w:p w:rsidR="000D28B8" w:rsidRPr="00034D7A" w:rsidRDefault="000D28B8" w:rsidP="00B35480">
            <w:pPr>
              <w:rPr>
                <w:rFonts w:ascii="Arial" w:hAnsi="Arial" w:cs="Arial"/>
                <w:b/>
                <w:sz w:val="22"/>
                <w:szCs w:val="22"/>
              </w:rPr>
            </w:pP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10%</w:t>
            </w: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50% (base)</w:t>
            </w: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70%</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4.78</w:t>
            </w:r>
          </w:p>
        </w:tc>
        <w:tc>
          <w:tcPr>
            <w:tcW w:w="1920" w:type="dxa"/>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20.24</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27.97</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1.18</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1.18</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1.18</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3.60</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19.06</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26.79</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4.04</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17.13</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23.67</w:t>
            </w:r>
          </w:p>
        </w:tc>
      </w:tr>
    </w:tbl>
    <w:p w:rsidR="000D28B8" w:rsidRPr="00C1096A" w:rsidRDefault="000D28B8" w:rsidP="00B35480">
      <w:pPr>
        <w:rPr>
          <w:rFonts w:ascii="Arial" w:hAnsi="Arial" w:cs="Arial"/>
          <w:b/>
          <w:sz w:val="24"/>
        </w:rPr>
      </w:pPr>
    </w:p>
    <w:p w:rsidR="000D28B8" w:rsidRDefault="000D28B8" w:rsidP="00B35480">
      <w:pPr>
        <w:rPr>
          <w:rFonts w:ascii="Arial" w:hAnsi="Arial" w:cs="Arial"/>
        </w:rPr>
      </w:pPr>
      <w:r w:rsidRPr="00C1096A">
        <w:rPr>
          <w:rFonts w:ascii="Arial" w:hAnsi="Arial" w:cs="Arial"/>
        </w:rPr>
        <w:t>Finally, a sensitivity analysis was carried out on the estimated average yield gain for benefit 1 as benefit 1 contributed approximately 70% of the t</w:t>
      </w:r>
      <w:r w:rsidR="00913E1D">
        <w:rPr>
          <w:rFonts w:ascii="Arial" w:hAnsi="Arial" w:cs="Arial"/>
        </w:rPr>
        <w:t xml:space="preserve">otal present value of benefits. Table 13 </w:t>
      </w:r>
      <w:r w:rsidRPr="00C1096A">
        <w:rPr>
          <w:rFonts w:ascii="Arial" w:hAnsi="Arial" w:cs="Arial"/>
        </w:rPr>
        <w:t>presents the results. The results showed a high sensitivity to the average yield gain assumed. This is primarily because benefit 1 occurs in all years and is therefore contributes the highest proportion of benefits. However, even at an estimated average yield gain of only 2%, returns to the investment are positive.</w:t>
      </w:r>
    </w:p>
    <w:p w:rsidR="00B57B13" w:rsidRPr="00C1096A" w:rsidRDefault="00B57B13" w:rsidP="00B35480">
      <w:pPr>
        <w:rPr>
          <w:rFonts w:ascii="Arial" w:hAnsi="Arial" w:cs="Arial"/>
        </w:rPr>
      </w:pPr>
    </w:p>
    <w:p w:rsidR="000D28B8" w:rsidRPr="00C7408A" w:rsidRDefault="000D28B8" w:rsidP="00C7408A">
      <w:pPr>
        <w:pStyle w:val="Caption"/>
        <w:spacing w:after="240"/>
        <w:jc w:val="center"/>
        <w:rPr>
          <w:rFonts w:ascii="Arial" w:hAnsi="Arial"/>
          <w:b w:val="0"/>
          <w:color w:val="000000" w:themeColor="text1"/>
          <w:sz w:val="22"/>
          <w:szCs w:val="22"/>
        </w:rPr>
      </w:pPr>
      <w:bookmarkStart w:id="345" w:name="_Ref480459854"/>
      <w:bookmarkStart w:id="346" w:name="_Toc484441240"/>
      <w:r w:rsidRPr="00C7408A">
        <w:rPr>
          <w:rFonts w:ascii="Arial" w:hAnsi="Arial"/>
          <w:b w:val="0"/>
          <w:color w:val="000000" w:themeColor="text1"/>
          <w:sz w:val="22"/>
          <w:szCs w:val="22"/>
        </w:rPr>
        <w:t>Table</w:t>
      </w:r>
      <w:bookmarkEnd w:id="345"/>
      <w:r w:rsidR="00913E1D">
        <w:rPr>
          <w:rFonts w:ascii="Arial" w:hAnsi="Arial"/>
          <w:b w:val="0"/>
          <w:color w:val="000000" w:themeColor="text1"/>
          <w:sz w:val="22"/>
          <w:szCs w:val="22"/>
        </w:rPr>
        <w:t>13</w:t>
      </w:r>
      <w:r w:rsidRPr="00C7408A">
        <w:rPr>
          <w:rFonts w:ascii="Arial" w:hAnsi="Arial"/>
          <w:b w:val="0"/>
          <w:color w:val="000000" w:themeColor="text1"/>
          <w:sz w:val="22"/>
          <w:szCs w:val="22"/>
        </w:rPr>
        <w:t>: Sensitivity to Estimated Average Yield Gain</w:t>
      </w:r>
      <w:r w:rsidRPr="00C7408A">
        <w:rPr>
          <w:rFonts w:ascii="Arial" w:hAnsi="Arial"/>
          <w:b w:val="0"/>
          <w:color w:val="000000" w:themeColor="text1"/>
          <w:sz w:val="22"/>
          <w:szCs w:val="22"/>
        </w:rPr>
        <w:br/>
        <w:t>(Total investment, 30 years)</w:t>
      </w:r>
      <w:bookmarkEnd w:id="346"/>
    </w:p>
    <w:tbl>
      <w:tblPr>
        <w:tblStyle w:val="TableGrid"/>
        <w:tblW w:w="0" w:type="auto"/>
        <w:tblLook w:val="04A0" w:firstRow="1" w:lastRow="0" w:firstColumn="1" w:lastColumn="0" w:noHBand="0" w:noVBand="1"/>
      </w:tblPr>
      <w:tblGrid>
        <w:gridCol w:w="3256"/>
        <w:gridCol w:w="1920"/>
        <w:gridCol w:w="1920"/>
        <w:gridCol w:w="1920"/>
      </w:tblGrid>
      <w:tr w:rsidR="000D28B8" w:rsidRPr="00034D7A" w:rsidTr="00B35480">
        <w:tc>
          <w:tcPr>
            <w:tcW w:w="3256" w:type="dxa"/>
            <w:vMerge w:val="restart"/>
          </w:tcPr>
          <w:p w:rsidR="000D28B8" w:rsidRPr="00034D7A" w:rsidRDefault="000D28B8" w:rsidP="00B35480">
            <w:pPr>
              <w:rPr>
                <w:rFonts w:ascii="Arial" w:hAnsi="Arial" w:cs="Arial"/>
                <w:b/>
                <w:sz w:val="22"/>
                <w:szCs w:val="22"/>
              </w:rPr>
            </w:pPr>
            <w:r w:rsidRPr="00034D7A">
              <w:rPr>
                <w:rFonts w:ascii="Arial" w:hAnsi="Arial" w:cs="Arial"/>
                <w:b/>
                <w:sz w:val="22"/>
                <w:szCs w:val="22"/>
              </w:rPr>
              <w:t>Investment Criteria</w:t>
            </w:r>
          </w:p>
        </w:tc>
        <w:tc>
          <w:tcPr>
            <w:tcW w:w="5760" w:type="dxa"/>
            <w:gridSpan w:val="3"/>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Average Yield Gain</w:t>
            </w:r>
          </w:p>
        </w:tc>
      </w:tr>
      <w:tr w:rsidR="000D28B8" w:rsidRPr="00034D7A" w:rsidTr="00B35480">
        <w:trPr>
          <w:trHeight w:val="118"/>
        </w:trPr>
        <w:tc>
          <w:tcPr>
            <w:tcW w:w="3256" w:type="dxa"/>
            <w:vMerge/>
          </w:tcPr>
          <w:p w:rsidR="000D28B8" w:rsidRPr="00034D7A" w:rsidRDefault="000D28B8" w:rsidP="00B35480">
            <w:pPr>
              <w:rPr>
                <w:rFonts w:ascii="Arial" w:hAnsi="Arial" w:cs="Arial"/>
                <w:b/>
                <w:sz w:val="22"/>
                <w:szCs w:val="22"/>
              </w:rPr>
            </w:pP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2%</w:t>
            </w: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20% (base)</w:t>
            </w:r>
          </w:p>
        </w:tc>
        <w:tc>
          <w:tcPr>
            <w:tcW w:w="1920" w:type="dxa"/>
          </w:tcPr>
          <w:p w:rsidR="000D28B8" w:rsidRPr="00034D7A" w:rsidRDefault="000D28B8" w:rsidP="00B35480">
            <w:pPr>
              <w:jc w:val="center"/>
              <w:rPr>
                <w:rFonts w:ascii="Arial" w:hAnsi="Arial" w:cs="Arial"/>
                <w:b/>
                <w:sz w:val="22"/>
                <w:szCs w:val="22"/>
              </w:rPr>
            </w:pPr>
            <w:r w:rsidRPr="00034D7A">
              <w:rPr>
                <w:rFonts w:ascii="Arial" w:hAnsi="Arial" w:cs="Arial"/>
                <w:b/>
                <w:sz w:val="22"/>
                <w:szCs w:val="22"/>
              </w:rPr>
              <w:t>40%</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6.06</w:t>
            </w:r>
          </w:p>
        </w:tc>
        <w:tc>
          <w:tcPr>
            <w:tcW w:w="1920" w:type="dxa"/>
            <w:tcBorders>
              <w:top w:val="single" w:sz="4" w:space="0" w:color="auto"/>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20.24</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36.00</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1.18</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1.18</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1.18</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4.88</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19.06</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34.82</w:t>
            </w:r>
          </w:p>
        </w:tc>
      </w:tr>
      <w:tr w:rsidR="000D28B8" w:rsidRPr="00034D7A" w:rsidTr="00B35480">
        <w:tc>
          <w:tcPr>
            <w:tcW w:w="3256" w:type="dxa"/>
          </w:tcPr>
          <w:p w:rsidR="000D28B8" w:rsidRPr="00034D7A" w:rsidRDefault="000D28B8" w:rsidP="00B35480">
            <w:pPr>
              <w:rPr>
                <w:rFonts w:ascii="Arial" w:hAnsi="Arial" w:cs="Arial"/>
                <w:sz w:val="22"/>
                <w:szCs w:val="22"/>
              </w:rPr>
            </w:pPr>
            <w:r w:rsidRPr="00034D7A">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5.13</w:t>
            </w:r>
          </w:p>
        </w:tc>
        <w:tc>
          <w:tcPr>
            <w:tcW w:w="1920" w:type="dxa"/>
            <w:tcBorders>
              <w:top w:val="nil"/>
              <w:left w:val="nil"/>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17.13</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034D7A" w:rsidRDefault="000D28B8" w:rsidP="00B35480">
            <w:pPr>
              <w:jc w:val="center"/>
              <w:rPr>
                <w:rFonts w:ascii="Arial" w:hAnsi="Arial" w:cs="Arial"/>
                <w:sz w:val="22"/>
                <w:szCs w:val="22"/>
              </w:rPr>
            </w:pPr>
            <w:r w:rsidRPr="00034D7A">
              <w:rPr>
                <w:rFonts w:ascii="Arial" w:hAnsi="Arial" w:cs="Arial"/>
                <w:color w:val="000000"/>
                <w:sz w:val="22"/>
                <w:szCs w:val="22"/>
              </w:rPr>
              <w:t>30.47</w:t>
            </w:r>
          </w:p>
        </w:tc>
      </w:tr>
    </w:tbl>
    <w:p w:rsidR="000D28B8" w:rsidRPr="00C1096A" w:rsidRDefault="000D28B8" w:rsidP="00B35480">
      <w:pPr>
        <w:rPr>
          <w:rFonts w:ascii="Arial" w:hAnsi="Arial" w:cs="Arial"/>
          <w:b/>
          <w:sz w:val="24"/>
        </w:rPr>
      </w:pPr>
    </w:p>
    <w:p w:rsidR="000D28B8" w:rsidRDefault="000D28B8" w:rsidP="00B35480">
      <w:pPr>
        <w:rPr>
          <w:rFonts w:ascii="Arial" w:hAnsi="Arial" w:cs="Arial"/>
          <w:b/>
          <w:sz w:val="24"/>
        </w:rPr>
      </w:pPr>
    </w:p>
    <w:p w:rsidR="00034D7A" w:rsidRDefault="00034D7A" w:rsidP="00B35480">
      <w:pPr>
        <w:rPr>
          <w:rFonts w:ascii="Arial" w:hAnsi="Arial" w:cs="Arial"/>
          <w:b/>
          <w:sz w:val="24"/>
        </w:rPr>
      </w:pPr>
    </w:p>
    <w:p w:rsidR="000D28B8" w:rsidRPr="005173A2" w:rsidRDefault="000D28B8" w:rsidP="005173A2">
      <w:pPr>
        <w:spacing w:after="240"/>
        <w:rPr>
          <w:rFonts w:ascii="Arial" w:hAnsi="Arial" w:cs="Arial"/>
          <w:b/>
          <w:sz w:val="24"/>
        </w:rPr>
      </w:pPr>
      <w:bookmarkStart w:id="347" w:name="_Toc484441304"/>
      <w:bookmarkStart w:id="348" w:name="_Toc486145280"/>
      <w:r w:rsidRPr="005173A2">
        <w:rPr>
          <w:rFonts w:ascii="Arial" w:hAnsi="Arial" w:cs="Arial"/>
          <w:b/>
          <w:sz w:val="24"/>
        </w:rPr>
        <w:t>Confidence Ratings and other Findings</w:t>
      </w:r>
      <w:bookmarkEnd w:id="347"/>
      <w:bookmarkEnd w:id="348"/>
      <w:r w:rsidRPr="005173A2">
        <w:rPr>
          <w:rFonts w:ascii="Arial" w:hAnsi="Arial" w:cs="Arial"/>
          <w:b/>
          <w:sz w:val="24"/>
        </w:rPr>
        <w:t xml:space="preserve"> </w:t>
      </w:r>
    </w:p>
    <w:p w:rsidR="000D28B8" w:rsidRPr="00C1096A" w:rsidRDefault="000D28B8" w:rsidP="00B35480">
      <w:pPr>
        <w:widowControl w:val="0"/>
        <w:mirrorIndents/>
        <w:rPr>
          <w:rFonts w:ascii="Arial" w:hAnsi="Arial" w:cs="Arial"/>
        </w:rPr>
      </w:pPr>
      <w:r w:rsidRPr="00C1096A">
        <w:rPr>
          <w:rFonts w:ascii="Arial" w:hAnsi="Arial" w:cs="Arial"/>
        </w:rPr>
        <w:t xml:space="preserve">The results produced are highly dependent on the assumptions made, some of which are uncertain.  There are two factors that warrant recognition. The first factor is the coverage of benefits. Where there are multiple types of benefits it is often not possible to quantify all the benefits that may be linked to the investment. The second factor involves uncertainty regarding the assumptions made, including the linkage between the research and the assumed outcomes. </w:t>
      </w:r>
    </w:p>
    <w:p w:rsidR="00B57B13" w:rsidRDefault="00B57B13" w:rsidP="00B35480">
      <w:pPr>
        <w:widowControl w:val="0"/>
        <w:mirrorIndents/>
        <w:rPr>
          <w:rFonts w:ascii="Arial" w:hAnsi="Arial" w:cs="Arial"/>
        </w:rPr>
      </w:pPr>
    </w:p>
    <w:p w:rsidR="000D28B8" w:rsidRPr="00C1096A" w:rsidRDefault="000D28B8" w:rsidP="00C7408A">
      <w:pPr>
        <w:widowControl w:val="0"/>
        <w:spacing w:after="240"/>
        <w:mirrorIndents/>
        <w:rPr>
          <w:rFonts w:ascii="Arial" w:hAnsi="Arial" w:cs="Arial"/>
        </w:rPr>
      </w:pPr>
      <w:r w:rsidRPr="00C1096A">
        <w:rPr>
          <w:rFonts w:ascii="Arial" w:hAnsi="Arial" w:cs="Arial"/>
        </w:rPr>
        <w:t xml:space="preserve">A confidence rating based on these two factors has been given to the results of the investment analysis </w:t>
      </w:r>
      <w:r w:rsidR="00913E1D">
        <w:rPr>
          <w:rFonts w:ascii="Arial" w:hAnsi="Arial" w:cs="Arial"/>
        </w:rPr>
        <w:t>(Table 14)</w:t>
      </w:r>
      <w:r w:rsidRPr="00C1096A">
        <w:rPr>
          <w:rFonts w:ascii="Arial" w:hAnsi="Arial" w:cs="Arial"/>
        </w:rPr>
        <w:t xml:space="preserve"> The rating categories used are High, Medium and Low, where:</w:t>
      </w:r>
    </w:p>
    <w:p w:rsidR="000D28B8" w:rsidRPr="00C1096A" w:rsidRDefault="000D28B8" w:rsidP="00B35480">
      <w:pPr>
        <w:widowControl w:val="0"/>
        <w:ind w:left="1890" w:hanging="1350"/>
        <w:mirrorIndents/>
        <w:rPr>
          <w:rFonts w:ascii="Arial" w:hAnsi="Arial" w:cs="Arial"/>
        </w:rPr>
      </w:pPr>
      <w:r w:rsidRPr="00C1096A">
        <w:rPr>
          <w:rFonts w:ascii="Arial" w:hAnsi="Arial" w:cs="Arial"/>
        </w:rPr>
        <w:t>High:</w:t>
      </w:r>
      <w:r w:rsidRPr="00C1096A">
        <w:rPr>
          <w:rFonts w:ascii="Arial" w:hAnsi="Arial" w:cs="Arial"/>
        </w:rPr>
        <w:tab/>
        <w:t xml:space="preserve">denotes a good coverage of benefits or reasonable confidence in the assumptions made </w:t>
      </w:r>
    </w:p>
    <w:p w:rsidR="000D28B8" w:rsidRPr="00C1096A" w:rsidRDefault="000D28B8" w:rsidP="00B35480">
      <w:pPr>
        <w:widowControl w:val="0"/>
        <w:ind w:left="1890" w:hanging="1350"/>
        <w:mirrorIndents/>
        <w:rPr>
          <w:rFonts w:ascii="Arial" w:hAnsi="Arial" w:cs="Arial"/>
        </w:rPr>
      </w:pPr>
      <w:r w:rsidRPr="00C1096A">
        <w:rPr>
          <w:rFonts w:ascii="Arial" w:hAnsi="Arial" w:cs="Arial"/>
        </w:rPr>
        <w:t>Medium:</w:t>
      </w:r>
      <w:r w:rsidRPr="00C1096A">
        <w:rPr>
          <w:rFonts w:ascii="Arial" w:hAnsi="Arial" w:cs="Arial"/>
        </w:rPr>
        <w:tab/>
        <w:t xml:space="preserve">denotes only a reasonable coverage of benefits or some uncertainties in assumptions made </w:t>
      </w:r>
    </w:p>
    <w:p w:rsidR="000D28B8" w:rsidRPr="00C1096A" w:rsidRDefault="000D28B8" w:rsidP="00B35480">
      <w:pPr>
        <w:widowControl w:val="0"/>
        <w:ind w:left="1890" w:hanging="1350"/>
        <w:mirrorIndents/>
        <w:rPr>
          <w:rFonts w:ascii="Arial" w:hAnsi="Arial" w:cs="Arial"/>
        </w:rPr>
      </w:pPr>
      <w:r w:rsidRPr="00C1096A">
        <w:rPr>
          <w:rFonts w:ascii="Arial" w:hAnsi="Arial" w:cs="Arial"/>
        </w:rPr>
        <w:t>Low:</w:t>
      </w:r>
      <w:r w:rsidRPr="00C1096A">
        <w:rPr>
          <w:rFonts w:ascii="Arial" w:hAnsi="Arial" w:cs="Arial"/>
        </w:rPr>
        <w:tab/>
        <w:t xml:space="preserve">denotes a poor coverage of benefits or many uncertainties in assumptions made </w:t>
      </w:r>
    </w:p>
    <w:p w:rsidR="000D28B8" w:rsidRPr="00C1096A" w:rsidRDefault="000D28B8" w:rsidP="00B35480">
      <w:pPr>
        <w:widowControl w:val="0"/>
        <w:mirrorIndents/>
        <w:jc w:val="center"/>
        <w:rPr>
          <w:rFonts w:ascii="Arial" w:hAnsi="Arial" w:cs="Arial"/>
        </w:rPr>
      </w:pPr>
    </w:p>
    <w:p w:rsidR="000D28B8" w:rsidRPr="00C7408A" w:rsidRDefault="000D28B8" w:rsidP="00C7408A">
      <w:pPr>
        <w:pStyle w:val="Caption"/>
        <w:spacing w:after="240"/>
        <w:jc w:val="center"/>
        <w:rPr>
          <w:rFonts w:ascii="Arial" w:hAnsi="Arial"/>
          <w:b w:val="0"/>
          <w:i/>
          <w:color w:val="000000" w:themeColor="text1"/>
          <w:sz w:val="22"/>
          <w:szCs w:val="22"/>
        </w:rPr>
      </w:pPr>
      <w:bookmarkStart w:id="349" w:name="_Ref479865106"/>
      <w:bookmarkStart w:id="350" w:name="_Toc484441241"/>
      <w:bookmarkStart w:id="351" w:name="_Toc476387758"/>
      <w:r w:rsidRPr="00C7408A">
        <w:rPr>
          <w:rFonts w:ascii="Arial" w:hAnsi="Arial"/>
          <w:b w:val="0"/>
          <w:color w:val="000000" w:themeColor="text1"/>
          <w:sz w:val="22"/>
          <w:szCs w:val="22"/>
        </w:rPr>
        <w:t xml:space="preserve">Table </w:t>
      </w:r>
      <w:bookmarkEnd w:id="349"/>
      <w:r w:rsidR="00913E1D" w:rsidRPr="00913E1D">
        <w:rPr>
          <w:rFonts w:ascii="Arial" w:hAnsi="Arial"/>
          <w:b w:val="0"/>
          <w:color w:val="000000" w:themeColor="text1"/>
          <w:sz w:val="22"/>
          <w:szCs w:val="22"/>
        </w:rPr>
        <w:t>14</w:t>
      </w:r>
      <w:r w:rsidRPr="00C7408A">
        <w:rPr>
          <w:rFonts w:ascii="Arial" w:hAnsi="Arial"/>
          <w:b w:val="0"/>
          <w:color w:val="000000" w:themeColor="text1"/>
          <w:sz w:val="22"/>
          <w:szCs w:val="22"/>
        </w:rPr>
        <w:t>: Confidence in Analysis of Project</w:t>
      </w:r>
      <w:bookmarkEnd w:id="350"/>
      <w:r w:rsidRPr="00C7408A">
        <w:rPr>
          <w:rFonts w:ascii="Arial" w:hAnsi="Arial"/>
          <w:b w:val="0"/>
          <w:color w:val="000000" w:themeColor="text1"/>
          <w:sz w:val="22"/>
          <w:szCs w:val="22"/>
        </w:rPr>
        <w:t xml:space="preserve"> </w:t>
      </w:r>
      <w:bookmarkEnd w:id="351"/>
    </w:p>
    <w:tbl>
      <w:tblPr>
        <w:tblStyle w:val="TableGrid"/>
        <w:tblW w:w="0" w:type="auto"/>
        <w:tblInd w:w="1951" w:type="dxa"/>
        <w:tblLook w:val="04A0" w:firstRow="1" w:lastRow="0" w:firstColumn="1" w:lastColumn="0" w:noHBand="0" w:noVBand="1"/>
      </w:tblPr>
      <w:tblGrid>
        <w:gridCol w:w="2551"/>
        <w:gridCol w:w="2552"/>
      </w:tblGrid>
      <w:tr w:rsidR="000D28B8" w:rsidRPr="00034D7A" w:rsidTr="00B35480">
        <w:tc>
          <w:tcPr>
            <w:tcW w:w="2551" w:type="dxa"/>
            <w:vAlign w:val="center"/>
          </w:tcPr>
          <w:p w:rsidR="000D28B8" w:rsidRPr="00034D7A" w:rsidRDefault="000D28B8" w:rsidP="00B35480">
            <w:pPr>
              <w:widowControl w:val="0"/>
              <w:mirrorIndents/>
              <w:jc w:val="center"/>
              <w:rPr>
                <w:rFonts w:ascii="Arial" w:hAnsi="Arial" w:cs="Arial"/>
                <w:b/>
                <w:sz w:val="22"/>
                <w:szCs w:val="22"/>
              </w:rPr>
            </w:pPr>
            <w:r w:rsidRPr="00034D7A">
              <w:rPr>
                <w:rFonts w:ascii="Arial" w:hAnsi="Arial" w:cs="Arial"/>
                <w:b/>
                <w:sz w:val="22"/>
                <w:szCs w:val="22"/>
              </w:rPr>
              <w:t>Coverage of Benefits</w:t>
            </w:r>
          </w:p>
        </w:tc>
        <w:tc>
          <w:tcPr>
            <w:tcW w:w="2552" w:type="dxa"/>
            <w:vAlign w:val="center"/>
          </w:tcPr>
          <w:p w:rsidR="000D28B8" w:rsidRPr="00034D7A" w:rsidRDefault="000D28B8" w:rsidP="00B35480">
            <w:pPr>
              <w:widowControl w:val="0"/>
              <w:mirrorIndents/>
              <w:jc w:val="center"/>
              <w:rPr>
                <w:rFonts w:ascii="Arial" w:hAnsi="Arial" w:cs="Arial"/>
                <w:b/>
                <w:sz w:val="22"/>
                <w:szCs w:val="22"/>
              </w:rPr>
            </w:pPr>
            <w:r w:rsidRPr="00034D7A">
              <w:rPr>
                <w:rFonts w:ascii="Arial" w:hAnsi="Arial" w:cs="Arial"/>
                <w:b/>
                <w:sz w:val="22"/>
                <w:szCs w:val="22"/>
              </w:rPr>
              <w:t>Confidence in Assumptions</w:t>
            </w:r>
          </w:p>
        </w:tc>
      </w:tr>
      <w:tr w:rsidR="000D28B8" w:rsidRPr="00034D7A" w:rsidTr="00B35480">
        <w:trPr>
          <w:trHeight w:val="432"/>
        </w:trPr>
        <w:tc>
          <w:tcPr>
            <w:tcW w:w="2551" w:type="dxa"/>
            <w:vAlign w:val="center"/>
          </w:tcPr>
          <w:p w:rsidR="000D28B8" w:rsidRPr="00034D7A" w:rsidRDefault="000D28B8" w:rsidP="00B35480">
            <w:pPr>
              <w:widowControl w:val="0"/>
              <w:mirrorIndents/>
              <w:jc w:val="center"/>
              <w:rPr>
                <w:rFonts w:ascii="Arial" w:hAnsi="Arial" w:cs="Arial"/>
                <w:sz w:val="22"/>
                <w:szCs w:val="22"/>
              </w:rPr>
            </w:pPr>
            <w:r w:rsidRPr="00034D7A">
              <w:rPr>
                <w:rFonts w:ascii="Arial" w:hAnsi="Arial" w:cs="Arial"/>
                <w:sz w:val="22"/>
                <w:szCs w:val="22"/>
              </w:rPr>
              <w:t>Medium-High</w:t>
            </w:r>
          </w:p>
        </w:tc>
        <w:tc>
          <w:tcPr>
            <w:tcW w:w="2552" w:type="dxa"/>
            <w:vAlign w:val="center"/>
          </w:tcPr>
          <w:p w:rsidR="000D28B8" w:rsidRPr="00034D7A" w:rsidRDefault="000D28B8" w:rsidP="00B35480">
            <w:pPr>
              <w:widowControl w:val="0"/>
              <w:mirrorIndents/>
              <w:jc w:val="center"/>
              <w:rPr>
                <w:rFonts w:ascii="Arial" w:hAnsi="Arial" w:cs="Arial"/>
                <w:sz w:val="22"/>
                <w:szCs w:val="22"/>
              </w:rPr>
            </w:pPr>
            <w:r w:rsidRPr="00034D7A">
              <w:rPr>
                <w:rFonts w:ascii="Arial" w:hAnsi="Arial" w:cs="Arial"/>
                <w:sz w:val="22"/>
                <w:szCs w:val="22"/>
              </w:rPr>
              <w:t>Medium-High</w:t>
            </w:r>
          </w:p>
        </w:tc>
      </w:tr>
    </w:tbl>
    <w:p w:rsidR="000D28B8" w:rsidRPr="00C1096A" w:rsidRDefault="000D28B8" w:rsidP="00B35480">
      <w:pPr>
        <w:rPr>
          <w:rFonts w:ascii="Arial" w:hAnsi="Arial" w:cs="Arial"/>
          <w:sz w:val="18"/>
          <w:szCs w:val="18"/>
        </w:rPr>
      </w:pPr>
    </w:p>
    <w:p w:rsidR="000D28B8" w:rsidRPr="00C1096A" w:rsidRDefault="000D28B8" w:rsidP="00B35480">
      <w:pPr>
        <w:rPr>
          <w:rFonts w:ascii="Arial" w:hAnsi="Arial" w:cs="Arial"/>
        </w:rPr>
      </w:pPr>
      <w:r w:rsidRPr="00C1096A">
        <w:rPr>
          <w:rFonts w:ascii="Arial" w:hAnsi="Arial" w:cs="Arial"/>
        </w:rPr>
        <w:t xml:space="preserve">Coverage of benefits was assessed as medium-high as most benefits were economic in nature relating to reduced losses or yield improvements. While some impacts were not valued, their contributions were considered minor compared with those valued. Nevertheless, the investment criteria as provided by the valued benefits are likely to be underestimated to some degree. </w:t>
      </w:r>
    </w:p>
    <w:p w:rsidR="00B57B13" w:rsidRDefault="00B57B13" w:rsidP="00B35480">
      <w:pPr>
        <w:rPr>
          <w:rFonts w:ascii="Arial" w:hAnsi="Arial" w:cs="Arial"/>
        </w:rPr>
      </w:pPr>
    </w:p>
    <w:p w:rsidR="000D28B8" w:rsidRPr="00C1096A" w:rsidRDefault="000D28B8" w:rsidP="00B35480">
      <w:pPr>
        <w:rPr>
          <w:rFonts w:ascii="Arial" w:hAnsi="Arial" w:cs="Arial"/>
          <w:sz w:val="18"/>
          <w:szCs w:val="18"/>
        </w:rPr>
      </w:pPr>
      <w:r w:rsidRPr="00C1096A">
        <w:rPr>
          <w:rFonts w:ascii="Arial" w:hAnsi="Arial" w:cs="Arial"/>
        </w:rPr>
        <w:t>Confidence in assumptions was rated as medium-high. The principal assumption of the average yield gain by the Central Highlands industry due to avoided variable climatic conditions was supported by data provided by the project. The assumptions on adoption were supported by information from project personnel but were less certain given the project’s recent completion at the time of conducting the evaluation.</w:t>
      </w:r>
    </w:p>
    <w:p w:rsidR="000D28B8" w:rsidRPr="00C1096A" w:rsidRDefault="000D28B8" w:rsidP="00F712CF">
      <w:pPr>
        <w:spacing w:after="240"/>
      </w:pPr>
    </w:p>
    <w:p w:rsidR="000D28B8" w:rsidRPr="00C7408A" w:rsidRDefault="000D28B8" w:rsidP="00C7408A">
      <w:pPr>
        <w:spacing w:after="240"/>
        <w:rPr>
          <w:rFonts w:ascii="Arial" w:hAnsi="Arial" w:cs="Arial"/>
          <w:b/>
          <w:sz w:val="40"/>
          <w:szCs w:val="40"/>
        </w:rPr>
      </w:pPr>
      <w:bookmarkStart w:id="352" w:name="_Toc484441305"/>
      <w:bookmarkStart w:id="353" w:name="_Toc486145281"/>
      <w:bookmarkStart w:id="354" w:name="_Toc486145359"/>
      <w:bookmarkStart w:id="355" w:name="_Toc486146275"/>
      <w:r w:rsidRPr="00C7408A">
        <w:rPr>
          <w:rFonts w:ascii="Arial" w:hAnsi="Arial" w:cs="Arial"/>
          <w:b/>
          <w:sz w:val="40"/>
          <w:szCs w:val="40"/>
        </w:rPr>
        <w:t>8. Conclusions</w:t>
      </w:r>
      <w:bookmarkEnd w:id="352"/>
      <w:bookmarkEnd w:id="353"/>
      <w:bookmarkEnd w:id="354"/>
      <w:bookmarkEnd w:id="355"/>
      <w:r w:rsidRPr="00C7408A">
        <w:rPr>
          <w:rFonts w:ascii="Arial" w:hAnsi="Arial" w:cs="Arial"/>
          <w:b/>
          <w:sz w:val="40"/>
          <w:szCs w:val="40"/>
        </w:rPr>
        <w:t xml:space="preserve"> </w:t>
      </w:r>
    </w:p>
    <w:p w:rsidR="000D28B8" w:rsidRPr="00C1096A" w:rsidRDefault="000D28B8" w:rsidP="00B35480">
      <w:pPr>
        <w:rPr>
          <w:rFonts w:ascii="Arial" w:hAnsi="Arial" w:cs="Arial"/>
        </w:rPr>
      </w:pPr>
      <w:r w:rsidRPr="00C1096A">
        <w:rPr>
          <w:rFonts w:ascii="Arial" w:hAnsi="Arial" w:cs="Arial"/>
        </w:rPr>
        <w:t xml:space="preserve">The investment in project DAQ1401 has given growers confidence that planting cotton crops early in the Central Highlands is a good tactic that enables early flowering of cotton crops in spring, bringing forward the time at which crops mature thus avoiding boll-fill during periods of variable conditions. This will provide benefits to the Queensland Central Highland cotton industry. </w:t>
      </w:r>
    </w:p>
    <w:p w:rsidR="00B57B13" w:rsidRDefault="00B57B13" w:rsidP="00B35480">
      <w:pPr>
        <w:rPr>
          <w:rFonts w:ascii="Arial" w:hAnsi="Arial" w:cs="Arial"/>
        </w:rPr>
      </w:pPr>
    </w:p>
    <w:p w:rsidR="000D28B8" w:rsidRPr="00C1096A" w:rsidRDefault="000D28B8" w:rsidP="00B35480">
      <w:pPr>
        <w:rPr>
          <w:rFonts w:ascii="Arial" w:hAnsi="Arial" w:cs="Arial"/>
        </w:rPr>
      </w:pPr>
      <w:r w:rsidRPr="00C1096A">
        <w:rPr>
          <w:rFonts w:ascii="Arial" w:hAnsi="Arial" w:cs="Arial"/>
        </w:rPr>
        <w:t>The R&amp;D undertaken in project DAQ1401 was focussed on cotton sown in the Central Highlands in Queensland. However, the research findings also may be applicable to the Dawson-Callide region in CQ but to a lesser extent. The potential benefits for the Dawson-Callide cotton region have been excluded from the current analysis and therefore the benefits valued are likely an underestimate of the total value of the potential impacts for the investment in project DAQ1401.</w:t>
      </w:r>
    </w:p>
    <w:p w:rsidR="000D28B8" w:rsidRPr="00C1096A" w:rsidRDefault="000D28B8" w:rsidP="00B35480">
      <w:pPr>
        <w:rPr>
          <w:rFonts w:ascii="Arial" w:hAnsi="Arial" w:cs="Arial"/>
        </w:rPr>
      </w:pPr>
    </w:p>
    <w:p w:rsidR="000D28B8" w:rsidRPr="00C1096A" w:rsidRDefault="000D28B8" w:rsidP="00B35480">
      <w:pPr>
        <w:rPr>
          <w:rFonts w:ascii="Arial" w:hAnsi="Arial" w:cs="Arial"/>
        </w:rPr>
      </w:pPr>
      <w:r w:rsidRPr="00C1096A">
        <w:rPr>
          <w:rFonts w:ascii="Arial" w:hAnsi="Arial" w:cs="Arial"/>
        </w:rPr>
        <w:t>Given the counterfactual scenario assumed, total funding from all sources for the project was approximately $1.18 million (present value terms). The value of total benefits was estimated at $20.24 million (present value terms). This result generated an estimated net present value (NPV) of $19.06 million, a benefit-cost ratio (BCR) of approximately 17.1 to 1, an internal rate of return of 69.0% and a modified internal rate of return of 15.4%.</w:t>
      </w:r>
    </w:p>
    <w:p w:rsidR="000D28B8" w:rsidRPr="00C1096A" w:rsidRDefault="000D28B8" w:rsidP="00B35480">
      <w:pPr>
        <w:rPr>
          <w:rFonts w:ascii="Arial" w:hAnsi="Arial" w:cs="Arial"/>
        </w:rPr>
      </w:pPr>
      <w:r w:rsidRPr="00C1096A">
        <w:rPr>
          <w:rFonts w:ascii="Arial" w:hAnsi="Arial" w:cs="Arial"/>
        </w:rPr>
        <w:t>Sensitivity analyses carried out on key variables used in the valuation of impacts indicate that, even using extremely conservative assumptions for the maximum level of adoption or the average yield improvement, results remain positive.</w:t>
      </w:r>
    </w:p>
    <w:p w:rsidR="00B57B13" w:rsidRDefault="00B57B13" w:rsidP="00B35480">
      <w:pPr>
        <w:rPr>
          <w:rFonts w:ascii="Arial" w:hAnsi="Arial" w:cs="Arial"/>
        </w:rPr>
      </w:pPr>
    </w:p>
    <w:p w:rsidR="000D28B8" w:rsidRPr="00C1096A" w:rsidRDefault="000D28B8" w:rsidP="00B35480">
      <w:pPr>
        <w:rPr>
          <w:rFonts w:ascii="Arial" w:hAnsi="Arial" w:cs="Arial"/>
        </w:rPr>
      </w:pPr>
      <w:r w:rsidRPr="00C1096A">
        <w:rPr>
          <w:rFonts w:ascii="Arial" w:hAnsi="Arial" w:cs="Arial"/>
        </w:rPr>
        <w:t xml:space="preserve">The analysis provided a good example of a moderate investment in a geographically specific section of the Australian cotton industry that is likely to provide significant returns to the Queensland cotton industry.  </w:t>
      </w:r>
    </w:p>
    <w:p w:rsidR="000D28B8" w:rsidRDefault="000D28B8" w:rsidP="00B35480">
      <w:pPr>
        <w:rPr>
          <w:rFonts w:ascii="Arial" w:hAnsi="Arial" w:cs="Arial"/>
        </w:rPr>
      </w:pPr>
    </w:p>
    <w:p w:rsidR="00034D7A" w:rsidRPr="00C1096A" w:rsidRDefault="00034D7A" w:rsidP="00B35480">
      <w:pPr>
        <w:rPr>
          <w:rFonts w:ascii="Arial" w:hAnsi="Arial" w:cs="Arial"/>
        </w:rPr>
      </w:pPr>
    </w:p>
    <w:bookmarkStart w:id="356" w:name="_Toc486146276" w:displacedByCustomXml="next"/>
    <w:bookmarkStart w:id="357" w:name="_Toc486145360" w:displacedByCustomXml="next"/>
    <w:bookmarkStart w:id="358" w:name="_Toc486145282" w:displacedByCustomXml="next"/>
    <w:bookmarkStart w:id="359" w:name="_Toc484441306" w:displacedByCustomXml="next"/>
    <w:sdt>
      <w:sdtPr>
        <w:rPr>
          <w:rFonts w:ascii="Arial" w:hAnsi="Arial" w:cs="Arial"/>
          <w:b/>
          <w:sz w:val="40"/>
          <w:szCs w:val="40"/>
        </w:rPr>
        <w:id w:val="1318152680"/>
        <w:docPartObj>
          <w:docPartGallery w:val="Bibliographies"/>
          <w:docPartUnique/>
        </w:docPartObj>
      </w:sdtPr>
      <w:sdtEndPr>
        <w:rPr>
          <w:b w:val="0"/>
          <w:sz w:val="22"/>
          <w:szCs w:val="24"/>
        </w:rPr>
      </w:sdtEndPr>
      <w:sdtContent>
        <w:p w:rsidR="000D28B8" w:rsidRPr="00C7408A" w:rsidRDefault="000D28B8" w:rsidP="00C7408A">
          <w:pPr>
            <w:spacing w:after="240"/>
            <w:rPr>
              <w:rFonts w:ascii="Arial" w:hAnsi="Arial" w:cs="Arial"/>
              <w:b/>
              <w:sz w:val="40"/>
              <w:szCs w:val="40"/>
            </w:rPr>
          </w:pPr>
          <w:r w:rsidRPr="00C7408A">
            <w:rPr>
              <w:rFonts w:ascii="Arial" w:hAnsi="Arial" w:cs="Arial"/>
              <w:b/>
              <w:sz w:val="40"/>
              <w:szCs w:val="40"/>
            </w:rPr>
            <w:t>References</w:t>
          </w:r>
          <w:bookmarkEnd w:id="359"/>
          <w:bookmarkEnd w:id="358"/>
          <w:bookmarkEnd w:id="357"/>
          <w:bookmarkEnd w:id="356"/>
        </w:p>
        <w:sdt>
          <w:sdtPr>
            <w:rPr>
              <w:rFonts w:ascii="Times New Roman" w:eastAsia="Times New Roman" w:hAnsi="Times New Roman" w:cs="Arial"/>
              <w:szCs w:val="24"/>
            </w:rPr>
            <w:id w:val="-573587230"/>
            <w:bibliography/>
          </w:sdtPr>
          <w:sdtEndPr/>
          <w:sdtContent>
            <w:p w:rsidR="000D28B8" w:rsidRPr="00C1096A" w:rsidRDefault="000D28B8" w:rsidP="00B35480">
              <w:pPr>
                <w:pStyle w:val="Bibliography"/>
                <w:ind w:left="720" w:hanging="720"/>
                <w:rPr>
                  <w:rFonts w:cs="Arial"/>
                  <w:noProof/>
                  <w:sz w:val="24"/>
                  <w:szCs w:val="24"/>
                </w:rPr>
              </w:pPr>
              <w:r w:rsidRPr="00C1096A">
                <w:rPr>
                  <w:rFonts w:cs="Arial"/>
                </w:rPr>
                <w:fldChar w:fldCharType="begin"/>
              </w:r>
              <w:r w:rsidRPr="00C1096A">
                <w:rPr>
                  <w:rFonts w:cs="Arial"/>
                </w:rPr>
                <w:instrText xml:space="preserve"> BIBLIOGRAPHY </w:instrText>
              </w:r>
              <w:r w:rsidRPr="00C1096A">
                <w:rPr>
                  <w:rFonts w:cs="Arial"/>
                </w:rPr>
                <w:fldChar w:fldCharType="separate"/>
              </w:r>
              <w:r w:rsidRPr="00C1096A">
                <w:rPr>
                  <w:rFonts w:cs="Arial"/>
                  <w:noProof/>
                </w:rPr>
                <w:t xml:space="preserve">ABC Rural. (2011, January 20). </w:t>
              </w:r>
              <w:r w:rsidRPr="00C1096A">
                <w:rPr>
                  <w:rFonts w:cs="Arial"/>
                  <w:i/>
                  <w:iCs/>
                  <w:noProof/>
                </w:rPr>
                <w:t>Half of Queensland cotton crop destroyed</w:t>
              </w:r>
              <w:r w:rsidRPr="00C1096A">
                <w:rPr>
                  <w:rFonts w:cs="Arial"/>
                  <w:noProof/>
                </w:rPr>
                <w:t>. Retrieved from ABC Rural: http://www.abc.net.au/site-archive/rural/news/content/201101/s3117329.htm</w:t>
              </w:r>
            </w:p>
            <w:p w:rsidR="000D28B8" w:rsidRPr="00C1096A" w:rsidRDefault="000D28B8" w:rsidP="00B35480">
              <w:pPr>
                <w:pStyle w:val="Bibliography"/>
                <w:ind w:left="720" w:hanging="720"/>
                <w:rPr>
                  <w:rFonts w:cs="Arial"/>
                  <w:noProof/>
                </w:rPr>
              </w:pPr>
              <w:r w:rsidRPr="00C1096A">
                <w:rPr>
                  <w:rFonts w:cs="Arial"/>
                  <w:noProof/>
                </w:rPr>
                <w:t xml:space="preserve">Australian Bureau of Statistics. (2016, November 4). </w:t>
              </w:r>
              <w:r w:rsidRPr="00C1096A">
                <w:rPr>
                  <w:rFonts w:cs="Arial"/>
                  <w:i/>
                  <w:iCs/>
                  <w:noProof/>
                </w:rPr>
                <w:t>5204.0 - Australian System of National Accounts, 2015-16.</w:t>
              </w:r>
              <w:r w:rsidRPr="00C1096A">
                <w:rPr>
                  <w:rFonts w:cs="Arial"/>
                  <w:noProof/>
                </w:rPr>
                <w:t xml:space="preserve"> Retrieved from Australian Bureau of Statistics: http://www.abs.gov.au/AUSSTATS/abs@.nsf/DetailsPage/5204.02015-16?OpenDocument</w:t>
              </w:r>
            </w:p>
            <w:p w:rsidR="000D28B8" w:rsidRPr="00C1096A" w:rsidRDefault="000D28B8" w:rsidP="00B35480">
              <w:pPr>
                <w:pStyle w:val="Bibliography"/>
                <w:ind w:left="720" w:hanging="720"/>
                <w:rPr>
                  <w:rFonts w:cs="Arial"/>
                  <w:noProof/>
                </w:rPr>
              </w:pPr>
              <w:r w:rsidRPr="00C1096A">
                <w:rPr>
                  <w:rFonts w:cs="Arial"/>
                  <w:noProof/>
                </w:rPr>
                <w:t xml:space="preserve">Commonwealth of Australia. (2015). </w:t>
              </w:r>
              <w:r w:rsidRPr="00C1096A">
                <w:rPr>
                  <w:rFonts w:cs="Arial"/>
                  <w:i/>
                  <w:iCs/>
                  <w:noProof/>
                </w:rPr>
                <w:t>Agricultural Competitiveness White Paper.</w:t>
              </w:r>
              <w:r w:rsidRPr="00C1096A">
                <w:rPr>
                  <w:rFonts w:cs="Arial"/>
                  <w:noProof/>
                </w:rPr>
                <w:t xml:space="preserve"> Canberra: Commonwealth of Australia. Retrieved from http://agwhitepaper.agriculture.gov.au/SiteCollectionDocuments/ag-competitiveness-white-paper.pdf</w:t>
              </w:r>
            </w:p>
            <w:p w:rsidR="000D28B8" w:rsidRPr="00C1096A" w:rsidRDefault="000D28B8" w:rsidP="00B35480">
              <w:pPr>
                <w:pStyle w:val="Bibliography"/>
                <w:ind w:left="720" w:hanging="720"/>
                <w:rPr>
                  <w:rFonts w:cs="Arial"/>
                  <w:noProof/>
                </w:rPr>
              </w:pPr>
              <w:r w:rsidRPr="00C1096A">
                <w:rPr>
                  <w:rFonts w:cs="Arial"/>
                  <w:noProof/>
                </w:rPr>
                <w:t xml:space="preserve">Cotton Australia. (2014, September 2). </w:t>
              </w:r>
              <w:r w:rsidRPr="00C1096A">
                <w:rPr>
                  <w:rFonts w:cs="Arial"/>
                  <w:i/>
                  <w:iCs/>
                  <w:noProof/>
                </w:rPr>
                <w:t>Planting Window Permit Released for 2014/15 Season</w:t>
              </w:r>
              <w:r w:rsidRPr="00C1096A">
                <w:rPr>
                  <w:rFonts w:cs="Arial"/>
                  <w:noProof/>
                </w:rPr>
                <w:t>. Retrieved from News/Media - Cotton Matters: http://cottonaustralia.com.au/news/article/planting-window-permit-released-for-2014-15-season</w:t>
              </w:r>
            </w:p>
            <w:p w:rsidR="000D28B8" w:rsidRPr="00C1096A" w:rsidRDefault="000D28B8" w:rsidP="00B35480">
              <w:pPr>
                <w:pStyle w:val="Bibliography"/>
                <w:ind w:left="720" w:hanging="720"/>
                <w:rPr>
                  <w:rFonts w:cs="Arial"/>
                  <w:noProof/>
                </w:rPr>
              </w:pPr>
              <w:r w:rsidRPr="00C1096A">
                <w:rPr>
                  <w:rFonts w:cs="Arial"/>
                  <w:noProof/>
                </w:rPr>
                <w:t xml:space="preserve">Cotton Australia. (2016a). </w:t>
              </w:r>
              <w:r w:rsidRPr="00C1096A">
                <w:rPr>
                  <w:rFonts w:cs="Arial"/>
                  <w:i/>
                  <w:iCs/>
                  <w:noProof/>
                </w:rPr>
                <w:t>Economics of Cotton in Australia</w:t>
              </w:r>
              <w:r w:rsidRPr="00C1096A">
                <w:rPr>
                  <w:rFonts w:cs="Arial"/>
                  <w:noProof/>
                </w:rPr>
                <w:t>. Retrieved March 2017, from Cotton Australia: http://cottonaustralia.com.au/cotton-library/fact-sheets/cotton-fact-file-the-economics-of-cotton-in-australia</w:t>
              </w:r>
            </w:p>
            <w:p w:rsidR="000D28B8" w:rsidRPr="00C1096A" w:rsidRDefault="000D28B8" w:rsidP="00B35480">
              <w:pPr>
                <w:pStyle w:val="Bibliography"/>
                <w:ind w:left="720" w:hanging="720"/>
                <w:rPr>
                  <w:rFonts w:cs="Arial"/>
                  <w:noProof/>
                </w:rPr>
              </w:pPr>
              <w:r w:rsidRPr="00C1096A">
                <w:rPr>
                  <w:rFonts w:cs="Arial"/>
                  <w:noProof/>
                </w:rPr>
                <w:t xml:space="preserve">Cotton Australia. (2016b). </w:t>
              </w:r>
              <w:r w:rsidRPr="00C1096A">
                <w:rPr>
                  <w:rFonts w:cs="Arial"/>
                  <w:i/>
                  <w:iCs/>
                  <w:noProof/>
                </w:rPr>
                <w:t>Cotton Annual 2016: Australian Cotton Industry Statistics.</w:t>
              </w:r>
              <w:r w:rsidRPr="00C1096A">
                <w:rPr>
                  <w:rFonts w:cs="Arial"/>
                  <w:noProof/>
                </w:rPr>
                <w:t xml:space="preserve"> Mascot, NSW: Cotton Australia.</w:t>
              </w:r>
            </w:p>
            <w:p w:rsidR="000D28B8" w:rsidRPr="00C1096A" w:rsidRDefault="000D28B8" w:rsidP="00B35480">
              <w:pPr>
                <w:pStyle w:val="Bibliography"/>
                <w:ind w:left="720" w:hanging="720"/>
                <w:rPr>
                  <w:rFonts w:cs="Arial"/>
                  <w:noProof/>
                </w:rPr>
              </w:pPr>
              <w:r w:rsidRPr="00C1096A">
                <w:rPr>
                  <w:rFonts w:cs="Arial"/>
                  <w:noProof/>
                </w:rPr>
                <w:t xml:space="preserve">Cotton Australia. (2017). </w:t>
              </w:r>
              <w:r w:rsidRPr="00C1096A">
                <w:rPr>
                  <w:rFonts w:cs="Arial"/>
                  <w:i/>
                  <w:iCs/>
                  <w:noProof/>
                </w:rPr>
                <w:t>Statistics</w:t>
              </w:r>
              <w:r w:rsidRPr="00C1096A">
                <w:rPr>
                  <w:rFonts w:cs="Arial"/>
                  <w:noProof/>
                </w:rPr>
                <w:t>. Retrieved March 2017, from Cotton Australia: http://cottonaustralia.com.au/cotton-library/statistics</w:t>
              </w:r>
            </w:p>
            <w:p w:rsidR="000D28B8" w:rsidRPr="00C1096A" w:rsidRDefault="000D28B8" w:rsidP="00B35480">
              <w:pPr>
                <w:pStyle w:val="Bibliography"/>
                <w:ind w:left="720" w:hanging="720"/>
                <w:rPr>
                  <w:rFonts w:cs="Arial"/>
                  <w:noProof/>
                </w:rPr>
              </w:pPr>
              <w:r w:rsidRPr="00C1096A">
                <w:rPr>
                  <w:rFonts w:cs="Arial"/>
                  <w:noProof/>
                </w:rPr>
                <w:t xml:space="preserve">Cotton Research and Development Corporation. (2015, Autumn). Working with the weather in Central Queensland. </w:t>
              </w:r>
              <w:r w:rsidRPr="00C1096A">
                <w:rPr>
                  <w:rFonts w:cs="Arial"/>
                  <w:i/>
                  <w:iCs/>
                  <w:noProof/>
                </w:rPr>
                <w:t>Spotlight</w:t>
              </w:r>
              <w:r w:rsidRPr="00C1096A">
                <w:rPr>
                  <w:rFonts w:cs="Arial"/>
                  <w:noProof/>
                </w:rPr>
                <w:t>.</w:t>
              </w:r>
            </w:p>
            <w:p w:rsidR="000D28B8" w:rsidRPr="00C1096A" w:rsidRDefault="000D28B8" w:rsidP="00B35480">
              <w:pPr>
                <w:pStyle w:val="Bibliography"/>
                <w:ind w:left="720" w:hanging="720"/>
                <w:rPr>
                  <w:rFonts w:cs="Arial"/>
                  <w:noProof/>
                </w:rPr>
              </w:pPr>
              <w:r w:rsidRPr="00C1096A">
                <w:rPr>
                  <w:rFonts w:cs="Arial"/>
                  <w:noProof/>
                </w:rPr>
                <w:t xml:space="preserve">Cotton Research and Development Corporation. (2016). </w:t>
              </w:r>
              <w:r w:rsidRPr="00C1096A">
                <w:rPr>
                  <w:rFonts w:cs="Arial"/>
                  <w:i/>
                  <w:iCs/>
                  <w:noProof/>
                </w:rPr>
                <w:t>CRDC Annual Report 2015-2016.</w:t>
              </w:r>
              <w:r w:rsidRPr="00C1096A">
                <w:rPr>
                  <w:rFonts w:cs="Arial"/>
                  <w:noProof/>
                </w:rPr>
                <w:t xml:space="preserve"> Narrabri: Cotton Research and Development Corporation.</w:t>
              </w:r>
            </w:p>
            <w:p w:rsidR="000D28B8" w:rsidRPr="00C1096A" w:rsidRDefault="000D28B8" w:rsidP="00B35480">
              <w:pPr>
                <w:pStyle w:val="Bibliography"/>
                <w:ind w:left="720" w:hanging="720"/>
                <w:rPr>
                  <w:rFonts w:cs="Arial"/>
                  <w:noProof/>
                </w:rPr>
              </w:pPr>
              <w:r w:rsidRPr="00C1096A">
                <w:rPr>
                  <w:rFonts w:cs="Arial"/>
                  <w:noProof/>
                </w:rPr>
                <w:t xml:space="preserve">Cotton Research and Development Corporation. (2017, Autumn). CRDC's early planting research changing the game. </w:t>
              </w:r>
              <w:r w:rsidRPr="00C1096A">
                <w:rPr>
                  <w:rFonts w:cs="Arial"/>
                  <w:i/>
                  <w:iCs/>
                  <w:noProof/>
                </w:rPr>
                <w:t>Spotlight</w:t>
              </w:r>
              <w:r w:rsidRPr="00C1096A">
                <w:rPr>
                  <w:rFonts w:cs="Arial"/>
                  <w:noProof/>
                </w:rPr>
                <w:t>.</w:t>
              </w:r>
            </w:p>
            <w:p w:rsidR="000D28B8" w:rsidRPr="00C1096A" w:rsidRDefault="000D28B8" w:rsidP="00B35480">
              <w:pPr>
                <w:pStyle w:val="Bibliography"/>
                <w:ind w:left="720" w:hanging="720"/>
                <w:rPr>
                  <w:rFonts w:cs="Arial"/>
                  <w:noProof/>
                </w:rPr>
              </w:pPr>
              <w:r w:rsidRPr="00C1096A">
                <w:rPr>
                  <w:rFonts w:cs="Arial"/>
                  <w:noProof/>
                </w:rPr>
                <w:t xml:space="preserve">Council of Rural Research and Development Corporations. (2014). </w:t>
              </w:r>
              <w:r w:rsidRPr="00C1096A">
                <w:rPr>
                  <w:rFonts w:cs="Arial"/>
                  <w:i/>
                  <w:iCs/>
                  <w:noProof/>
                </w:rPr>
                <w:t>Impact Assessment Guidelines.</w:t>
              </w:r>
              <w:r w:rsidRPr="00C1096A">
                <w:rPr>
                  <w:rFonts w:cs="Arial"/>
                  <w:noProof/>
                </w:rPr>
                <w:t xml:space="preserve"> Canberra: CRRDC. Retrieved from http://www.ruralrdc.com.au/wp-content/uploads/2016/04/CRRDC-Impact-Assessment-Guidelines-V.1-070514.pdf</w:t>
              </w:r>
            </w:p>
            <w:p w:rsidR="000D28B8" w:rsidRPr="00C1096A" w:rsidRDefault="000D28B8" w:rsidP="00B35480">
              <w:pPr>
                <w:pStyle w:val="Bibliography"/>
                <w:ind w:left="720" w:hanging="720"/>
                <w:rPr>
                  <w:rFonts w:cs="Arial"/>
                  <w:noProof/>
                </w:rPr>
              </w:pPr>
              <w:r w:rsidRPr="00C1096A">
                <w:rPr>
                  <w:rFonts w:cs="Arial"/>
                  <w:noProof/>
                </w:rPr>
                <w:t xml:space="preserve">Grundy, P. (2015). </w:t>
              </w:r>
              <w:r w:rsidRPr="00C1096A">
                <w:rPr>
                  <w:rFonts w:cs="Arial"/>
                  <w:i/>
                  <w:iCs/>
                  <w:noProof/>
                </w:rPr>
                <w:t>August Sowing for more reliable boll filling.</w:t>
              </w:r>
              <w:r w:rsidRPr="00C1096A">
                <w:rPr>
                  <w:rFonts w:cs="Arial"/>
                  <w:noProof/>
                </w:rPr>
                <w:t xml:space="preserve"> Narrabri: Cotton Research and Development Corporation.</w:t>
              </w:r>
            </w:p>
            <w:p w:rsidR="000D28B8" w:rsidRPr="00C1096A" w:rsidRDefault="000D28B8" w:rsidP="00B35480">
              <w:pPr>
                <w:pStyle w:val="Bibliography"/>
                <w:ind w:left="720" w:hanging="720"/>
                <w:rPr>
                  <w:rFonts w:cs="Arial"/>
                  <w:noProof/>
                </w:rPr>
              </w:pPr>
              <w:r w:rsidRPr="00C1096A">
                <w:rPr>
                  <w:rFonts w:cs="Arial"/>
                  <w:noProof/>
                </w:rPr>
                <w:t xml:space="preserve">MacDonald, A., &amp; Healy, S. (2010, December 8). </w:t>
              </w:r>
              <w:r w:rsidRPr="00C1096A">
                <w:rPr>
                  <w:rFonts w:cs="Arial"/>
                  <w:i/>
                  <w:iCs/>
                  <w:noProof/>
                </w:rPr>
                <w:t>Queensland faces $151m flood disaster clean-up costs</w:t>
              </w:r>
              <w:r w:rsidRPr="00C1096A">
                <w:rPr>
                  <w:rFonts w:cs="Arial"/>
                  <w:noProof/>
                </w:rPr>
                <w:t>. Retrieved from The Courier Mail: http://www.couriermail.com.au/news/queensland/queensland-faces-151m-flood-disaster-clean-up-costs/news-story/4169b4644c294f0146f944817816fc27</w:t>
              </w:r>
            </w:p>
            <w:p w:rsidR="000D28B8" w:rsidRPr="00C1096A" w:rsidRDefault="000D28B8" w:rsidP="00B35480">
              <w:pPr>
                <w:pStyle w:val="Bibliography"/>
                <w:ind w:left="720" w:hanging="720"/>
                <w:rPr>
                  <w:rFonts w:cs="Arial"/>
                  <w:noProof/>
                </w:rPr>
              </w:pPr>
              <w:r w:rsidRPr="00C1096A">
                <w:rPr>
                  <w:rFonts w:cs="Arial"/>
                  <w:noProof/>
                </w:rPr>
                <w:t xml:space="preserve">Monsanto Australia Limited. (2012). </w:t>
              </w:r>
              <w:r w:rsidRPr="00C1096A">
                <w:rPr>
                  <w:rFonts w:cs="Arial"/>
                  <w:i/>
                  <w:iCs/>
                  <w:noProof/>
                </w:rPr>
                <w:t>Resistance Management Plan for Bollgard II(R) Cotton.</w:t>
              </w:r>
              <w:r w:rsidRPr="00C1096A">
                <w:rPr>
                  <w:rFonts w:cs="Arial"/>
                  <w:noProof/>
                </w:rPr>
                <w:t xml:space="preserve"> Monsanto Australia Limited.</w:t>
              </w:r>
            </w:p>
            <w:p w:rsidR="000D28B8" w:rsidRPr="00C1096A" w:rsidRDefault="000D28B8" w:rsidP="00B35480">
              <w:pPr>
                <w:pStyle w:val="Bibliography"/>
                <w:ind w:left="720" w:hanging="720"/>
                <w:rPr>
                  <w:rFonts w:cs="Arial"/>
                  <w:noProof/>
                </w:rPr>
              </w:pPr>
              <w:r w:rsidRPr="00C1096A">
                <w:rPr>
                  <w:rFonts w:cs="Arial"/>
                  <w:noProof/>
                </w:rPr>
                <w:t xml:space="preserve">Monsanto Australia Pty Ltd. (2016). </w:t>
              </w:r>
              <w:r w:rsidRPr="00C1096A">
                <w:rPr>
                  <w:rFonts w:cs="Arial"/>
                  <w:i/>
                  <w:iCs/>
                  <w:noProof/>
                </w:rPr>
                <w:t>Bollgard 3 Resistance Management Plan</w:t>
              </w:r>
              <w:r w:rsidRPr="00C1096A">
                <w:rPr>
                  <w:rFonts w:cs="Arial"/>
                  <w:noProof/>
                </w:rPr>
                <w:t>. Retrieved from Bollgard 3: http://bollgard3.com.au/resistance-management-plan/#post-more-relaxed-planting-windows</w:t>
              </w:r>
            </w:p>
            <w:p w:rsidR="000D28B8" w:rsidRPr="00C1096A" w:rsidRDefault="000D28B8" w:rsidP="00B35480">
              <w:pPr>
                <w:pStyle w:val="Bibliography"/>
                <w:ind w:left="720" w:hanging="720"/>
                <w:rPr>
                  <w:rFonts w:cs="Arial"/>
                  <w:noProof/>
                </w:rPr>
              </w:pPr>
              <w:r w:rsidRPr="00C1096A">
                <w:rPr>
                  <w:rFonts w:cs="Arial"/>
                  <w:noProof/>
                </w:rPr>
                <w:t xml:space="preserve">Office of the Chief Scientist. (2015). </w:t>
              </w:r>
              <w:r w:rsidRPr="00C1096A">
                <w:rPr>
                  <w:rFonts w:cs="Arial"/>
                  <w:i/>
                  <w:iCs/>
                  <w:noProof/>
                </w:rPr>
                <w:t>Strategic Science and Research Priorities.</w:t>
              </w:r>
              <w:r w:rsidRPr="00C1096A">
                <w:rPr>
                  <w:rFonts w:cs="Arial"/>
                  <w:noProof/>
                </w:rPr>
                <w:t xml:space="preserve"> Canberra: Commonwealth of Australia. Retrieved from http://www.chiefscientist.gov.au/wp-content/uploads/STRATEGIC-SCIENCE-AND-RESEARCH-PRIORITIES_181214web.pdf</w:t>
              </w:r>
            </w:p>
            <w:p w:rsidR="000D28B8" w:rsidRPr="00C1096A" w:rsidRDefault="000D28B8" w:rsidP="00B35480">
              <w:pPr>
                <w:pStyle w:val="Bibliography"/>
                <w:ind w:left="720" w:hanging="720"/>
                <w:rPr>
                  <w:rFonts w:cs="Arial"/>
                  <w:noProof/>
                </w:rPr>
              </w:pPr>
              <w:r w:rsidRPr="00C1096A">
                <w:rPr>
                  <w:rFonts w:cs="Arial"/>
                  <w:noProof/>
                </w:rPr>
                <w:t xml:space="preserve">Roth, G. (2014). </w:t>
              </w:r>
              <w:r w:rsidRPr="00C1096A">
                <w:rPr>
                  <w:rFonts w:cs="Arial"/>
                  <w:i/>
                  <w:iCs/>
                  <w:noProof/>
                </w:rPr>
                <w:t>Australian Grown Cotton Sustainability Report 2014.</w:t>
              </w:r>
              <w:r w:rsidRPr="00C1096A">
                <w:rPr>
                  <w:rFonts w:cs="Arial"/>
                  <w:noProof/>
                </w:rPr>
                <w:t xml:space="preserve"> Narrabri: Cotton Research and Development Australia.</w:t>
              </w:r>
            </w:p>
            <w:p w:rsidR="000D28B8" w:rsidRPr="00C1096A" w:rsidRDefault="000D28B8" w:rsidP="00B35480">
              <w:pPr>
                <w:pStyle w:val="Bibliography"/>
                <w:ind w:left="720" w:hanging="720"/>
                <w:rPr>
                  <w:rFonts w:cs="Arial"/>
                  <w:noProof/>
                </w:rPr>
              </w:pPr>
              <w:r w:rsidRPr="00C1096A">
                <w:rPr>
                  <w:rFonts w:cs="Arial"/>
                  <w:noProof/>
                </w:rPr>
                <w:t xml:space="preserve">The Australian Cottongrower. (2010, 2011, 2012, 2013, 2014, 2015 &amp; 2016). </w:t>
              </w:r>
              <w:r w:rsidRPr="00C1096A">
                <w:rPr>
                  <w:rFonts w:cs="Arial"/>
                  <w:i/>
                  <w:iCs/>
                  <w:noProof/>
                </w:rPr>
                <w:t>Cotton Yearbook.</w:t>
              </w:r>
              <w:r w:rsidRPr="00C1096A">
                <w:rPr>
                  <w:rFonts w:cs="Arial"/>
                  <w:noProof/>
                </w:rPr>
                <w:t xml:space="preserve"> Toowoomba: The Australian Cottongrower - Greenmount Press.</w:t>
              </w:r>
            </w:p>
            <w:p w:rsidR="000D28B8" w:rsidRPr="00C1096A" w:rsidRDefault="000D28B8" w:rsidP="00B35480">
              <w:pPr>
                <w:rPr>
                  <w:rFonts w:ascii="Arial" w:hAnsi="Arial" w:cs="Arial"/>
                </w:rPr>
              </w:pPr>
              <w:r w:rsidRPr="00C1096A">
                <w:rPr>
                  <w:rFonts w:ascii="Arial" w:hAnsi="Arial" w:cs="Arial"/>
                  <w:b/>
                  <w:bCs/>
                  <w:noProof/>
                </w:rPr>
                <w:fldChar w:fldCharType="end"/>
              </w:r>
            </w:p>
          </w:sdtContent>
        </w:sdt>
      </w:sdtContent>
    </w:sdt>
    <w:p w:rsidR="000D28B8" w:rsidRPr="00816B58" w:rsidRDefault="000D28B8" w:rsidP="00B35480"/>
    <w:p w:rsidR="00B57B13" w:rsidRDefault="00B57B13">
      <w:pPr>
        <w:spacing w:line="276" w:lineRule="auto"/>
        <w:rPr>
          <w:b/>
          <w:sz w:val="40"/>
          <w:szCs w:val="20"/>
        </w:rPr>
      </w:pPr>
      <w:r>
        <w:rPr>
          <w:b/>
          <w:sz w:val="40"/>
          <w:szCs w:val="20"/>
        </w:rPr>
        <w:br w:type="page"/>
      </w:r>
    </w:p>
    <w:p w:rsidR="000D28B8" w:rsidRPr="00B57B13" w:rsidRDefault="002C2BDB" w:rsidP="00C7408A">
      <w:pPr>
        <w:pStyle w:val="Heading2"/>
      </w:pPr>
      <w:bookmarkStart w:id="360" w:name="_Toc486145283"/>
      <w:bookmarkStart w:id="361" w:name="_Toc490036918"/>
      <w:bookmarkStart w:id="362" w:name="_Hlk487190278"/>
      <w:r w:rsidRPr="00B57B13">
        <w:t xml:space="preserve">Appendix 4: </w:t>
      </w:r>
      <w:r w:rsidR="000D28B8" w:rsidRPr="00B57B13">
        <w:t>An Impact Assessment of DAF Investment in C4Milk: Developing and managing a profitable high milk from forage system in the sub-tropics</w:t>
      </w:r>
      <w:bookmarkEnd w:id="360"/>
      <w:bookmarkEnd w:id="361"/>
    </w:p>
    <w:bookmarkEnd w:id="362"/>
    <w:p w:rsidR="000D28B8" w:rsidRPr="005173A2" w:rsidRDefault="000D28B8" w:rsidP="005173A2">
      <w:pPr>
        <w:spacing w:after="240"/>
        <w:rPr>
          <w:rFonts w:ascii="Arial" w:hAnsi="Arial" w:cs="Arial"/>
          <w:b/>
          <w:sz w:val="24"/>
        </w:rPr>
      </w:pPr>
      <w:r w:rsidRPr="005173A2">
        <w:rPr>
          <w:rFonts w:ascii="Arial" w:hAnsi="Arial" w:cs="Arial"/>
          <w:b/>
          <w:sz w:val="24"/>
        </w:rPr>
        <w:t>Acknowledgments</w:t>
      </w:r>
    </w:p>
    <w:p w:rsidR="000D28B8" w:rsidRPr="00B57B13" w:rsidRDefault="000D28B8" w:rsidP="00E87BF4">
      <w:pPr>
        <w:spacing w:after="60"/>
        <w:rPr>
          <w:rFonts w:ascii="Arial" w:hAnsi="Arial" w:cs="Arial"/>
        </w:rPr>
      </w:pPr>
      <w:r w:rsidRPr="00B57B13">
        <w:rPr>
          <w:rFonts w:ascii="Arial" w:hAnsi="Arial" w:cs="Arial"/>
        </w:rPr>
        <w:t>David Barber</w:t>
      </w:r>
      <w:r w:rsidR="00E87BF4">
        <w:rPr>
          <w:rFonts w:ascii="Arial" w:hAnsi="Arial" w:cs="Arial"/>
        </w:rPr>
        <w:t>,</w:t>
      </w:r>
      <w:r w:rsidRPr="00B57B13">
        <w:rPr>
          <w:rFonts w:ascii="Arial" w:hAnsi="Arial" w:cs="Arial"/>
        </w:rPr>
        <w:t xml:space="preserve"> Senior Research Scientist, Department of Agriculture and Fisheries</w:t>
      </w:r>
      <w:r w:rsidR="00E87BF4">
        <w:rPr>
          <w:rFonts w:ascii="Arial" w:hAnsi="Arial" w:cs="Arial"/>
        </w:rPr>
        <w:t>, Queensland</w:t>
      </w:r>
    </w:p>
    <w:p w:rsidR="000D28B8" w:rsidRPr="00B57B13" w:rsidRDefault="00E87BF4" w:rsidP="00E87BF4">
      <w:pPr>
        <w:spacing w:after="60"/>
        <w:rPr>
          <w:rFonts w:ascii="Arial" w:hAnsi="Arial" w:cs="Arial"/>
        </w:rPr>
      </w:pPr>
      <w:r>
        <w:rPr>
          <w:rFonts w:ascii="Arial" w:hAnsi="Arial" w:cs="Arial"/>
        </w:rPr>
        <w:t>Craig Findsen,</w:t>
      </w:r>
      <w:r w:rsidR="000D28B8" w:rsidRPr="00B57B13">
        <w:rPr>
          <w:rFonts w:ascii="Arial" w:hAnsi="Arial" w:cs="Arial"/>
        </w:rPr>
        <w:t xml:space="preserve"> Dairy Team Leader, Department of Agriculture and Fisheries</w:t>
      </w:r>
      <w:r>
        <w:rPr>
          <w:rFonts w:ascii="Arial" w:hAnsi="Arial" w:cs="Arial"/>
        </w:rPr>
        <w:t>, Queensland</w:t>
      </w:r>
    </w:p>
    <w:p w:rsidR="000D28B8" w:rsidRDefault="000D28B8" w:rsidP="00E87BF4">
      <w:pPr>
        <w:spacing w:after="60"/>
        <w:rPr>
          <w:rFonts w:ascii="Arial" w:hAnsi="Arial" w:cs="Arial"/>
        </w:rPr>
      </w:pPr>
      <w:r w:rsidRPr="00B57B13">
        <w:rPr>
          <w:rFonts w:ascii="Arial" w:hAnsi="Arial" w:cs="Arial"/>
        </w:rPr>
        <w:t>Wayne Jorgensen, Science Director, Department of Agriculture and Fisheries</w:t>
      </w:r>
      <w:r w:rsidR="00E87BF4">
        <w:rPr>
          <w:rFonts w:ascii="Arial" w:hAnsi="Arial" w:cs="Arial"/>
        </w:rPr>
        <w:t>, Queensland</w:t>
      </w:r>
    </w:p>
    <w:p w:rsidR="00E87BF4" w:rsidRPr="00B57B13" w:rsidRDefault="00E87BF4" w:rsidP="00E87BF4">
      <w:pPr>
        <w:spacing w:after="60"/>
        <w:rPr>
          <w:rFonts w:ascii="Arial" w:hAnsi="Arial" w:cs="Arial"/>
        </w:rPr>
      </w:pPr>
      <w:r w:rsidRPr="00B57B13">
        <w:rPr>
          <w:rFonts w:ascii="Arial" w:hAnsi="Arial" w:cs="Arial"/>
        </w:rPr>
        <w:t>Lynda Bull, Executive Support Officer, Department of Agriculture and Fisheries</w:t>
      </w:r>
      <w:r>
        <w:rPr>
          <w:rFonts w:ascii="Arial" w:hAnsi="Arial" w:cs="Arial"/>
        </w:rPr>
        <w:t>, Queensland</w:t>
      </w:r>
    </w:p>
    <w:p w:rsidR="00C7408A" w:rsidRDefault="00E87BF4" w:rsidP="00E87BF4">
      <w:pPr>
        <w:spacing w:after="60"/>
        <w:rPr>
          <w:rFonts w:ascii="Arial" w:hAnsi="Arial" w:cs="Arial"/>
        </w:rPr>
      </w:pPr>
      <w:r w:rsidRPr="00B57B13">
        <w:rPr>
          <w:rFonts w:ascii="Arial" w:hAnsi="Arial" w:cs="Arial"/>
        </w:rPr>
        <w:t>Wayne Hall, Executive Director, Department of Agriculture and Fisheries</w:t>
      </w:r>
      <w:r>
        <w:rPr>
          <w:rFonts w:ascii="Arial" w:hAnsi="Arial" w:cs="Arial"/>
        </w:rPr>
        <w:t>, Queensland</w:t>
      </w:r>
    </w:p>
    <w:p w:rsidR="00C7408A" w:rsidRDefault="00C7408A" w:rsidP="00B35480">
      <w:pPr>
        <w:rPr>
          <w:rFonts w:ascii="Arial" w:hAnsi="Arial" w:cs="Arial"/>
        </w:rPr>
      </w:pPr>
    </w:p>
    <w:p w:rsidR="00E87BF4" w:rsidRPr="00B57B13" w:rsidRDefault="00E87BF4" w:rsidP="00B35480">
      <w:pPr>
        <w:rPr>
          <w:rFonts w:ascii="Arial" w:hAnsi="Arial" w:cs="Arial"/>
        </w:rPr>
      </w:pPr>
    </w:p>
    <w:p w:rsidR="000D28B8" w:rsidRPr="005173A2" w:rsidRDefault="000D28B8" w:rsidP="005173A2">
      <w:pPr>
        <w:spacing w:after="240"/>
        <w:rPr>
          <w:rFonts w:ascii="Arial" w:hAnsi="Arial" w:cs="Arial"/>
          <w:b/>
          <w:sz w:val="24"/>
        </w:rPr>
      </w:pPr>
      <w:bookmarkStart w:id="363" w:name="_Toc484505438"/>
      <w:bookmarkStart w:id="364" w:name="_Toc486145287"/>
      <w:bookmarkStart w:id="365" w:name="_Toc486145365"/>
      <w:bookmarkStart w:id="366" w:name="_Toc486146281"/>
      <w:r w:rsidRPr="005173A2">
        <w:rPr>
          <w:rFonts w:ascii="Arial" w:hAnsi="Arial" w:cs="Arial"/>
          <w:b/>
          <w:sz w:val="24"/>
        </w:rPr>
        <w:t>Abbreviations</w:t>
      </w:r>
      <w:bookmarkEnd w:id="363"/>
      <w:bookmarkEnd w:id="364"/>
      <w:bookmarkEnd w:id="365"/>
      <w:bookmarkEnd w:id="366"/>
    </w:p>
    <w:p w:rsidR="000D28B8" w:rsidRPr="00B57B13" w:rsidRDefault="000D28B8" w:rsidP="00B35480">
      <w:pPr>
        <w:spacing w:line="276" w:lineRule="auto"/>
        <w:rPr>
          <w:rFonts w:ascii="Arial" w:hAnsi="Arial" w:cs="Arial"/>
        </w:rPr>
      </w:pPr>
      <w:r w:rsidRPr="00B57B13">
        <w:rPr>
          <w:rFonts w:ascii="Arial" w:hAnsi="Arial" w:cs="Arial"/>
        </w:rPr>
        <w:t>ABARES</w:t>
      </w:r>
      <w:r w:rsidRPr="00B57B13">
        <w:rPr>
          <w:rFonts w:ascii="Arial" w:hAnsi="Arial" w:cs="Arial"/>
        </w:rPr>
        <w:tab/>
        <w:t xml:space="preserve">Australian Bureau of Agriculture and Resource Economics and Sciences </w:t>
      </w:r>
    </w:p>
    <w:p w:rsidR="000D28B8" w:rsidRPr="00B57B13" w:rsidRDefault="000D28B8" w:rsidP="00B35480">
      <w:pPr>
        <w:spacing w:line="276" w:lineRule="auto"/>
        <w:rPr>
          <w:rFonts w:ascii="Arial" w:hAnsi="Arial" w:cs="Arial"/>
        </w:rPr>
      </w:pPr>
      <w:r w:rsidRPr="00B57B13">
        <w:rPr>
          <w:rFonts w:ascii="Arial" w:hAnsi="Arial" w:cs="Arial"/>
        </w:rPr>
        <w:t>BCR</w:t>
      </w:r>
      <w:r w:rsidRPr="00B57B13">
        <w:rPr>
          <w:rFonts w:ascii="Arial" w:hAnsi="Arial" w:cs="Arial"/>
        </w:rPr>
        <w:tab/>
      </w:r>
      <w:r w:rsidRPr="00B57B13">
        <w:rPr>
          <w:rFonts w:ascii="Arial" w:hAnsi="Arial" w:cs="Arial"/>
        </w:rPr>
        <w:tab/>
        <w:t>Benefit-Cost Ratio</w:t>
      </w:r>
    </w:p>
    <w:p w:rsidR="000D28B8" w:rsidRPr="00B57B13" w:rsidRDefault="000D28B8" w:rsidP="00B35480">
      <w:pPr>
        <w:spacing w:line="276" w:lineRule="auto"/>
        <w:rPr>
          <w:rFonts w:ascii="Arial" w:hAnsi="Arial" w:cs="Arial"/>
        </w:rPr>
      </w:pPr>
      <w:r w:rsidRPr="00B57B13">
        <w:rPr>
          <w:rFonts w:ascii="Arial" w:hAnsi="Arial" w:cs="Arial"/>
        </w:rPr>
        <w:t>c/kg</w:t>
      </w:r>
      <w:r w:rsidRPr="00B57B13">
        <w:rPr>
          <w:rFonts w:ascii="Arial" w:hAnsi="Arial" w:cs="Arial"/>
        </w:rPr>
        <w:tab/>
      </w:r>
      <w:r w:rsidRPr="00B57B13">
        <w:rPr>
          <w:rFonts w:ascii="Arial" w:hAnsi="Arial" w:cs="Arial"/>
        </w:rPr>
        <w:tab/>
        <w:t>Cents per Kilogram</w:t>
      </w:r>
    </w:p>
    <w:p w:rsidR="000D28B8" w:rsidRPr="00B57B13" w:rsidRDefault="000D28B8" w:rsidP="00B35480">
      <w:pPr>
        <w:spacing w:line="276" w:lineRule="auto"/>
        <w:rPr>
          <w:rFonts w:ascii="Arial" w:hAnsi="Arial" w:cs="Arial"/>
        </w:rPr>
      </w:pPr>
      <w:r w:rsidRPr="00B57B13">
        <w:rPr>
          <w:rFonts w:ascii="Arial" w:hAnsi="Arial" w:cs="Arial"/>
        </w:rPr>
        <w:t>c/l</w:t>
      </w:r>
      <w:r w:rsidRPr="00B57B13">
        <w:rPr>
          <w:rFonts w:ascii="Arial" w:hAnsi="Arial" w:cs="Arial"/>
        </w:rPr>
        <w:tab/>
      </w:r>
      <w:r w:rsidRPr="00B57B13">
        <w:rPr>
          <w:rFonts w:ascii="Arial" w:hAnsi="Arial" w:cs="Arial"/>
        </w:rPr>
        <w:tab/>
        <w:t xml:space="preserve">Cents per Litre </w:t>
      </w:r>
    </w:p>
    <w:p w:rsidR="000D28B8" w:rsidRPr="00B57B13" w:rsidRDefault="000D28B8" w:rsidP="00B35480">
      <w:pPr>
        <w:spacing w:line="276" w:lineRule="auto"/>
        <w:rPr>
          <w:rFonts w:ascii="Arial" w:hAnsi="Arial" w:cs="Arial"/>
        </w:rPr>
      </w:pPr>
      <w:r w:rsidRPr="00B57B13">
        <w:rPr>
          <w:rFonts w:ascii="Arial" w:hAnsi="Arial" w:cs="Arial"/>
        </w:rPr>
        <w:t>CBA</w:t>
      </w:r>
      <w:r w:rsidRPr="00B57B13">
        <w:rPr>
          <w:rFonts w:ascii="Arial" w:hAnsi="Arial" w:cs="Arial"/>
        </w:rPr>
        <w:tab/>
      </w:r>
      <w:r w:rsidRPr="00B57B13">
        <w:rPr>
          <w:rFonts w:ascii="Arial" w:hAnsi="Arial" w:cs="Arial"/>
        </w:rPr>
        <w:tab/>
        <w:t>Cost-Benefit Analysis</w:t>
      </w:r>
    </w:p>
    <w:p w:rsidR="000D28B8" w:rsidRPr="00B57B13" w:rsidRDefault="000D28B8" w:rsidP="00B35480">
      <w:pPr>
        <w:spacing w:line="276" w:lineRule="auto"/>
        <w:rPr>
          <w:rFonts w:ascii="Arial" w:hAnsi="Arial" w:cs="Arial"/>
        </w:rPr>
      </w:pPr>
      <w:r w:rsidRPr="00B57B13">
        <w:rPr>
          <w:rFonts w:ascii="Arial" w:hAnsi="Arial" w:cs="Arial"/>
        </w:rPr>
        <w:t>CRC</w:t>
      </w:r>
      <w:r w:rsidRPr="00B57B13">
        <w:rPr>
          <w:rFonts w:ascii="Arial" w:hAnsi="Arial" w:cs="Arial"/>
        </w:rPr>
        <w:tab/>
      </w:r>
      <w:r w:rsidRPr="00B57B13">
        <w:rPr>
          <w:rFonts w:ascii="Arial" w:hAnsi="Arial" w:cs="Arial"/>
        </w:rPr>
        <w:tab/>
        <w:t xml:space="preserve">Cooperative Research Centre </w:t>
      </w:r>
    </w:p>
    <w:p w:rsidR="000D28B8" w:rsidRPr="00B57B13" w:rsidRDefault="000D28B8" w:rsidP="00B35480">
      <w:pPr>
        <w:spacing w:line="276" w:lineRule="auto"/>
        <w:rPr>
          <w:rFonts w:ascii="Arial" w:hAnsi="Arial" w:cs="Arial"/>
        </w:rPr>
      </w:pPr>
      <w:r w:rsidRPr="00B57B13">
        <w:rPr>
          <w:rFonts w:ascii="Arial" w:hAnsi="Arial" w:cs="Arial"/>
        </w:rPr>
        <w:t>CRRDC</w:t>
      </w:r>
      <w:r w:rsidRPr="00B57B13">
        <w:rPr>
          <w:rFonts w:ascii="Arial" w:hAnsi="Arial" w:cs="Arial"/>
        </w:rPr>
        <w:tab/>
        <w:t>Council of Rural Research and Development Corporations</w:t>
      </w:r>
    </w:p>
    <w:p w:rsidR="000D28B8" w:rsidRPr="00B57B13" w:rsidRDefault="000D28B8" w:rsidP="00B35480">
      <w:pPr>
        <w:spacing w:line="276" w:lineRule="auto"/>
        <w:rPr>
          <w:rFonts w:ascii="Arial" w:hAnsi="Arial" w:cs="Arial"/>
        </w:rPr>
      </w:pPr>
      <w:r w:rsidRPr="00B57B13">
        <w:rPr>
          <w:rFonts w:ascii="Arial" w:hAnsi="Arial" w:cs="Arial"/>
        </w:rPr>
        <w:t>DA</w:t>
      </w:r>
      <w:r w:rsidRPr="00B57B13">
        <w:rPr>
          <w:rFonts w:ascii="Arial" w:hAnsi="Arial" w:cs="Arial"/>
        </w:rPr>
        <w:tab/>
      </w:r>
      <w:r w:rsidRPr="00B57B13">
        <w:rPr>
          <w:rFonts w:ascii="Arial" w:hAnsi="Arial" w:cs="Arial"/>
        </w:rPr>
        <w:tab/>
        <w:t>Dairy Australia</w:t>
      </w:r>
    </w:p>
    <w:p w:rsidR="000D28B8" w:rsidRPr="00B57B13" w:rsidRDefault="000D28B8" w:rsidP="00B35480">
      <w:pPr>
        <w:spacing w:line="276" w:lineRule="auto"/>
        <w:rPr>
          <w:rFonts w:ascii="Arial" w:hAnsi="Arial" w:cs="Arial"/>
        </w:rPr>
      </w:pPr>
      <w:r w:rsidRPr="00B57B13">
        <w:rPr>
          <w:rFonts w:ascii="Arial" w:hAnsi="Arial" w:cs="Arial"/>
        </w:rPr>
        <w:t>DAF</w:t>
      </w:r>
      <w:r w:rsidRPr="00B57B13">
        <w:rPr>
          <w:rFonts w:ascii="Arial" w:hAnsi="Arial" w:cs="Arial"/>
        </w:rPr>
        <w:tab/>
      </w:r>
      <w:r w:rsidRPr="00B57B13">
        <w:rPr>
          <w:rFonts w:ascii="Arial" w:hAnsi="Arial" w:cs="Arial"/>
        </w:rPr>
        <w:tab/>
        <w:t>Department of Agriculture and Fisheries</w:t>
      </w:r>
    </w:p>
    <w:p w:rsidR="000D28B8" w:rsidRPr="00B57B13" w:rsidRDefault="000D28B8" w:rsidP="00B35480">
      <w:pPr>
        <w:spacing w:line="276" w:lineRule="auto"/>
        <w:rPr>
          <w:rFonts w:ascii="Arial" w:hAnsi="Arial" w:cs="Arial"/>
          <w:b/>
        </w:rPr>
      </w:pPr>
      <w:r w:rsidRPr="00B57B13">
        <w:rPr>
          <w:rFonts w:ascii="Arial" w:hAnsi="Arial" w:cs="Arial"/>
        </w:rPr>
        <w:t>DAFF</w:t>
      </w:r>
      <w:r w:rsidRPr="00B57B13">
        <w:rPr>
          <w:rFonts w:ascii="Arial" w:hAnsi="Arial" w:cs="Arial"/>
        </w:rPr>
        <w:tab/>
      </w:r>
      <w:r w:rsidRPr="00B57B13">
        <w:rPr>
          <w:rFonts w:ascii="Arial" w:hAnsi="Arial" w:cs="Arial"/>
        </w:rPr>
        <w:tab/>
        <w:t xml:space="preserve">Department of Agriculture, Fisheries, and Forestry </w:t>
      </w:r>
    </w:p>
    <w:p w:rsidR="000D28B8" w:rsidRPr="00B57B13" w:rsidRDefault="000D28B8" w:rsidP="00B35480">
      <w:pPr>
        <w:spacing w:line="276" w:lineRule="auto"/>
        <w:rPr>
          <w:rFonts w:ascii="Arial" w:hAnsi="Arial" w:cs="Arial"/>
        </w:rPr>
      </w:pPr>
      <w:r w:rsidRPr="00B57B13">
        <w:rPr>
          <w:rFonts w:ascii="Arial" w:hAnsi="Arial" w:cs="Arial"/>
        </w:rPr>
        <w:t>DIA</w:t>
      </w:r>
      <w:r w:rsidRPr="00B57B13">
        <w:rPr>
          <w:rFonts w:ascii="Arial" w:hAnsi="Arial" w:cs="Arial"/>
        </w:rPr>
        <w:tab/>
      </w:r>
      <w:r w:rsidRPr="00B57B13">
        <w:rPr>
          <w:rFonts w:ascii="Arial" w:hAnsi="Arial" w:cs="Arial"/>
        </w:rPr>
        <w:tab/>
        <w:t xml:space="preserve">Dairy in Action </w:t>
      </w:r>
    </w:p>
    <w:p w:rsidR="000D28B8" w:rsidRPr="00B57B13" w:rsidRDefault="000D28B8" w:rsidP="00B35480">
      <w:pPr>
        <w:spacing w:line="276" w:lineRule="auto"/>
        <w:rPr>
          <w:rFonts w:ascii="Arial" w:hAnsi="Arial" w:cs="Arial"/>
        </w:rPr>
      </w:pPr>
      <w:r w:rsidRPr="00B57B13">
        <w:rPr>
          <w:rFonts w:ascii="Arial" w:hAnsi="Arial" w:cs="Arial"/>
        </w:rPr>
        <w:t>DM</w:t>
      </w:r>
      <w:r w:rsidRPr="00B57B13">
        <w:rPr>
          <w:rFonts w:ascii="Arial" w:hAnsi="Arial" w:cs="Arial"/>
        </w:rPr>
        <w:tab/>
      </w:r>
      <w:r w:rsidRPr="00B57B13">
        <w:rPr>
          <w:rFonts w:ascii="Arial" w:hAnsi="Arial" w:cs="Arial"/>
        </w:rPr>
        <w:tab/>
        <w:t>Dry Matter</w:t>
      </w:r>
    </w:p>
    <w:p w:rsidR="000D28B8" w:rsidRPr="00B57B13" w:rsidRDefault="000D28B8" w:rsidP="00B35480">
      <w:pPr>
        <w:spacing w:line="276" w:lineRule="auto"/>
        <w:rPr>
          <w:rFonts w:ascii="Arial" w:hAnsi="Arial" w:cs="Arial"/>
        </w:rPr>
      </w:pPr>
      <w:r w:rsidRPr="00B57B13">
        <w:rPr>
          <w:rFonts w:ascii="Arial" w:hAnsi="Arial" w:cs="Arial"/>
        </w:rPr>
        <w:t>DOFTL</w:t>
      </w:r>
      <w:r w:rsidRPr="00B57B13">
        <w:rPr>
          <w:rFonts w:ascii="Arial" w:hAnsi="Arial" w:cs="Arial"/>
        </w:rPr>
        <w:tab/>
        <w:t>DairyOne Forage Testing Laboratory</w:t>
      </w:r>
    </w:p>
    <w:p w:rsidR="000D28B8" w:rsidRPr="00B57B13" w:rsidRDefault="000D28B8" w:rsidP="00B35480">
      <w:pPr>
        <w:spacing w:line="276" w:lineRule="auto"/>
        <w:rPr>
          <w:rFonts w:ascii="Arial" w:hAnsi="Arial" w:cs="Arial"/>
        </w:rPr>
      </w:pPr>
      <w:r w:rsidRPr="00B57B13">
        <w:rPr>
          <w:rFonts w:ascii="Arial" w:hAnsi="Arial" w:cs="Arial"/>
        </w:rPr>
        <w:t>F:C</w:t>
      </w:r>
      <w:r w:rsidRPr="00B57B13">
        <w:rPr>
          <w:rFonts w:ascii="Arial" w:hAnsi="Arial" w:cs="Arial"/>
        </w:rPr>
        <w:tab/>
      </w:r>
      <w:r w:rsidRPr="00B57B13">
        <w:rPr>
          <w:rFonts w:ascii="Arial" w:hAnsi="Arial" w:cs="Arial"/>
        </w:rPr>
        <w:tab/>
        <w:t xml:space="preserve">Forage to Concentrate </w:t>
      </w:r>
    </w:p>
    <w:p w:rsidR="000D28B8" w:rsidRPr="00B57B13" w:rsidRDefault="000D28B8" w:rsidP="00B35480">
      <w:pPr>
        <w:spacing w:line="276" w:lineRule="auto"/>
        <w:rPr>
          <w:rFonts w:ascii="Arial" w:hAnsi="Arial" w:cs="Arial"/>
        </w:rPr>
      </w:pPr>
      <w:r w:rsidRPr="00B57B13">
        <w:rPr>
          <w:rFonts w:ascii="Arial" w:hAnsi="Arial" w:cs="Arial"/>
        </w:rPr>
        <w:t>HMFT</w:t>
      </w:r>
      <w:r w:rsidRPr="00B57B13">
        <w:rPr>
          <w:rFonts w:ascii="Arial" w:hAnsi="Arial" w:cs="Arial"/>
        </w:rPr>
        <w:tab/>
      </w:r>
      <w:r w:rsidRPr="00B57B13">
        <w:rPr>
          <w:rFonts w:ascii="Arial" w:hAnsi="Arial" w:cs="Arial"/>
        </w:rPr>
        <w:tab/>
        <w:t xml:space="preserve">High Milk from Forage Trial </w:t>
      </w:r>
    </w:p>
    <w:p w:rsidR="000D28B8" w:rsidRPr="00B57B13" w:rsidRDefault="000D28B8" w:rsidP="00B35480">
      <w:pPr>
        <w:spacing w:line="276" w:lineRule="auto"/>
        <w:rPr>
          <w:rFonts w:ascii="Arial" w:hAnsi="Arial" w:cs="Arial"/>
        </w:rPr>
      </w:pPr>
      <w:r w:rsidRPr="00B57B13">
        <w:rPr>
          <w:rFonts w:ascii="Arial" w:hAnsi="Arial" w:cs="Arial"/>
        </w:rPr>
        <w:t>IRR</w:t>
      </w:r>
      <w:r w:rsidRPr="00B57B13">
        <w:rPr>
          <w:rFonts w:ascii="Arial" w:hAnsi="Arial" w:cs="Arial"/>
        </w:rPr>
        <w:tab/>
      </w:r>
      <w:r w:rsidRPr="00B57B13">
        <w:rPr>
          <w:rFonts w:ascii="Arial" w:hAnsi="Arial" w:cs="Arial"/>
        </w:rPr>
        <w:tab/>
        <w:t>Internal Rate of Return</w:t>
      </w:r>
    </w:p>
    <w:p w:rsidR="000D28B8" w:rsidRPr="00B57B13" w:rsidRDefault="000D28B8" w:rsidP="00B35480">
      <w:pPr>
        <w:spacing w:line="276" w:lineRule="auto"/>
        <w:rPr>
          <w:rFonts w:ascii="Arial" w:hAnsi="Arial" w:cs="Arial"/>
        </w:rPr>
      </w:pPr>
      <w:r w:rsidRPr="00B57B13">
        <w:rPr>
          <w:rFonts w:ascii="Arial" w:hAnsi="Arial" w:cs="Arial"/>
        </w:rPr>
        <w:t>MIRR</w:t>
      </w:r>
      <w:r w:rsidRPr="00B57B13">
        <w:rPr>
          <w:rFonts w:ascii="Arial" w:hAnsi="Arial" w:cs="Arial"/>
        </w:rPr>
        <w:tab/>
      </w:r>
      <w:r w:rsidRPr="00B57B13">
        <w:rPr>
          <w:rFonts w:ascii="Arial" w:hAnsi="Arial" w:cs="Arial"/>
        </w:rPr>
        <w:tab/>
        <w:t>Modified Internal Rate of Return</w:t>
      </w:r>
    </w:p>
    <w:p w:rsidR="000D28B8" w:rsidRPr="00B57B13" w:rsidRDefault="000D28B8" w:rsidP="00B35480">
      <w:pPr>
        <w:spacing w:line="276" w:lineRule="auto"/>
        <w:rPr>
          <w:rFonts w:ascii="Arial" w:hAnsi="Arial" w:cs="Arial"/>
        </w:rPr>
      </w:pPr>
      <w:r w:rsidRPr="00B57B13">
        <w:rPr>
          <w:rFonts w:ascii="Arial" w:hAnsi="Arial" w:cs="Arial"/>
        </w:rPr>
        <w:t>MOFC</w:t>
      </w:r>
      <w:r w:rsidRPr="00B57B13">
        <w:rPr>
          <w:rFonts w:ascii="Arial" w:hAnsi="Arial" w:cs="Arial"/>
        </w:rPr>
        <w:tab/>
      </w:r>
      <w:r w:rsidRPr="00B57B13">
        <w:rPr>
          <w:rFonts w:ascii="Arial" w:hAnsi="Arial" w:cs="Arial"/>
        </w:rPr>
        <w:tab/>
        <w:t xml:space="preserve">Margin Over Feed Costs </w:t>
      </w:r>
    </w:p>
    <w:p w:rsidR="000D28B8" w:rsidRPr="00B57B13" w:rsidRDefault="000D28B8" w:rsidP="00B35480">
      <w:pPr>
        <w:spacing w:line="276" w:lineRule="auto"/>
        <w:rPr>
          <w:rFonts w:ascii="Arial" w:hAnsi="Arial" w:cs="Arial"/>
        </w:rPr>
      </w:pPr>
      <w:r w:rsidRPr="00B57B13">
        <w:rPr>
          <w:rFonts w:ascii="Arial" w:hAnsi="Arial" w:cs="Arial"/>
        </w:rPr>
        <w:t>NDF</w:t>
      </w:r>
      <w:r w:rsidRPr="00B57B13">
        <w:rPr>
          <w:rFonts w:ascii="Arial" w:hAnsi="Arial" w:cs="Arial"/>
        </w:rPr>
        <w:tab/>
      </w:r>
      <w:r w:rsidRPr="00B57B13">
        <w:rPr>
          <w:rFonts w:ascii="Arial" w:hAnsi="Arial" w:cs="Arial"/>
        </w:rPr>
        <w:tab/>
        <w:t>Neutral Detergent Fibre</w:t>
      </w:r>
    </w:p>
    <w:p w:rsidR="000D28B8" w:rsidRPr="00B57B13" w:rsidRDefault="000D28B8" w:rsidP="00B35480">
      <w:pPr>
        <w:spacing w:line="276" w:lineRule="auto"/>
        <w:rPr>
          <w:rFonts w:ascii="Arial" w:hAnsi="Arial" w:cs="Arial"/>
        </w:rPr>
      </w:pPr>
      <w:r w:rsidRPr="00B57B13">
        <w:rPr>
          <w:rFonts w:ascii="Arial" w:hAnsi="Arial" w:cs="Arial"/>
        </w:rPr>
        <w:t>NSW</w:t>
      </w:r>
      <w:r w:rsidRPr="00B57B13">
        <w:rPr>
          <w:rFonts w:ascii="Arial" w:hAnsi="Arial" w:cs="Arial"/>
        </w:rPr>
        <w:tab/>
      </w:r>
      <w:r w:rsidRPr="00B57B13">
        <w:rPr>
          <w:rFonts w:ascii="Arial" w:hAnsi="Arial" w:cs="Arial"/>
        </w:rPr>
        <w:tab/>
        <w:t>New South Wales</w:t>
      </w:r>
      <w:r w:rsidRPr="00B57B13">
        <w:rPr>
          <w:rFonts w:ascii="Arial" w:hAnsi="Arial" w:cs="Arial"/>
        </w:rPr>
        <w:br/>
        <w:t>iNDF</w:t>
      </w:r>
      <w:r w:rsidRPr="00B57B13">
        <w:rPr>
          <w:rFonts w:ascii="Arial" w:hAnsi="Arial" w:cs="Arial"/>
        </w:rPr>
        <w:tab/>
      </w:r>
      <w:r w:rsidRPr="00B57B13">
        <w:rPr>
          <w:rFonts w:ascii="Arial" w:hAnsi="Arial" w:cs="Arial"/>
        </w:rPr>
        <w:tab/>
        <w:t xml:space="preserve">Indigestible Neutral Detergent Fibre </w:t>
      </w:r>
    </w:p>
    <w:p w:rsidR="000D28B8" w:rsidRPr="00B57B13" w:rsidRDefault="000D28B8" w:rsidP="00B35480">
      <w:pPr>
        <w:spacing w:line="276" w:lineRule="auto"/>
        <w:rPr>
          <w:rFonts w:ascii="Arial" w:hAnsi="Arial" w:cs="Arial"/>
        </w:rPr>
      </w:pPr>
      <w:r w:rsidRPr="00B57B13">
        <w:rPr>
          <w:rFonts w:ascii="Arial" w:hAnsi="Arial" w:cs="Arial"/>
        </w:rPr>
        <w:t>NPV</w:t>
      </w:r>
      <w:r w:rsidRPr="00B57B13">
        <w:rPr>
          <w:rFonts w:ascii="Arial" w:hAnsi="Arial" w:cs="Arial"/>
        </w:rPr>
        <w:tab/>
      </w:r>
      <w:r w:rsidRPr="00B57B13">
        <w:rPr>
          <w:rFonts w:ascii="Arial" w:hAnsi="Arial" w:cs="Arial"/>
        </w:rPr>
        <w:tab/>
        <w:t>Net Present Value</w:t>
      </w:r>
    </w:p>
    <w:p w:rsidR="000D28B8" w:rsidRPr="00B57B13" w:rsidRDefault="000D28B8" w:rsidP="00B35480">
      <w:pPr>
        <w:spacing w:line="276" w:lineRule="auto"/>
        <w:rPr>
          <w:rFonts w:ascii="Arial" w:hAnsi="Arial" w:cs="Arial"/>
        </w:rPr>
      </w:pPr>
      <w:r w:rsidRPr="00B57B13">
        <w:rPr>
          <w:rFonts w:ascii="Arial" w:hAnsi="Arial" w:cs="Arial"/>
        </w:rPr>
        <w:t>PMR</w:t>
      </w:r>
      <w:r w:rsidRPr="00B57B13">
        <w:rPr>
          <w:rFonts w:ascii="Arial" w:hAnsi="Arial" w:cs="Arial"/>
        </w:rPr>
        <w:tab/>
      </w:r>
      <w:r w:rsidRPr="00B57B13">
        <w:rPr>
          <w:rFonts w:ascii="Arial" w:hAnsi="Arial" w:cs="Arial"/>
        </w:rPr>
        <w:tab/>
        <w:t>Partial Mixed Ration</w:t>
      </w:r>
    </w:p>
    <w:p w:rsidR="000D28B8" w:rsidRPr="00B57B13" w:rsidRDefault="000D28B8" w:rsidP="00B35480">
      <w:pPr>
        <w:spacing w:line="276" w:lineRule="auto"/>
        <w:rPr>
          <w:rFonts w:ascii="Arial" w:hAnsi="Arial" w:cs="Arial"/>
        </w:rPr>
      </w:pPr>
      <w:r w:rsidRPr="00B57B13">
        <w:rPr>
          <w:rFonts w:ascii="Arial" w:hAnsi="Arial" w:cs="Arial"/>
        </w:rPr>
        <w:t>PVB</w:t>
      </w:r>
      <w:r w:rsidRPr="00B57B13">
        <w:rPr>
          <w:rFonts w:ascii="Arial" w:hAnsi="Arial" w:cs="Arial"/>
        </w:rPr>
        <w:tab/>
      </w:r>
      <w:r w:rsidRPr="00B57B13">
        <w:rPr>
          <w:rFonts w:ascii="Arial" w:hAnsi="Arial" w:cs="Arial"/>
        </w:rPr>
        <w:tab/>
        <w:t>Present Value of Benefits</w:t>
      </w:r>
    </w:p>
    <w:p w:rsidR="000D28B8" w:rsidRPr="00B57B13" w:rsidRDefault="000D28B8" w:rsidP="00B35480">
      <w:pPr>
        <w:spacing w:line="276" w:lineRule="auto"/>
        <w:rPr>
          <w:rFonts w:ascii="Arial" w:hAnsi="Arial" w:cs="Arial"/>
        </w:rPr>
      </w:pPr>
      <w:r w:rsidRPr="00B57B13">
        <w:rPr>
          <w:rFonts w:ascii="Arial" w:hAnsi="Arial" w:cs="Arial"/>
        </w:rPr>
        <w:t>PVC</w:t>
      </w:r>
      <w:r w:rsidRPr="00B57B13">
        <w:rPr>
          <w:rFonts w:ascii="Arial" w:hAnsi="Arial" w:cs="Arial"/>
        </w:rPr>
        <w:tab/>
      </w:r>
      <w:r w:rsidRPr="00B57B13">
        <w:rPr>
          <w:rFonts w:ascii="Arial" w:hAnsi="Arial" w:cs="Arial"/>
        </w:rPr>
        <w:tab/>
        <w:t>Present Value of Costs</w:t>
      </w:r>
    </w:p>
    <w:p w:rsidR="000D28B8" w:rsidRPr="00B57B13" w:rsidRDefault="000D28B8" w:rsidP="00B35480">
      <w:pPr>
        <w:spacing w:line="276" w:lineRule="auto"/>
        <w:rPr>
          <w:rFonts w:ascii="Arial" w:hAnsi="Arial" w:cs="Arial"/>
        </w:rPr>
      </w:pPr>
      <w:r w:rsidRPr="00B57B13">
        <w:rPr>
          <w:rFonts w:ascii="Arial" w:hAnsi="Arial" w:cs="Arial"/>
        </w:rPr>
        <w:t>QDAS</w:t>
      </w:r>
      <w:r w:rsidRPr="00B57B13">
        <w:rPr>
          <w:rFonts w:ascii="Arial" w:hAnsi="Arial" w:cs="Arial"/>
        </w:rPr>
        <w:tab/>
      </w:r>
      <w:r w:rsidRPr="00B57B13">
        <w:rPr>
          <w:rFonts w:ascii="Arial" w:hAnsi="Arial" w:cs="Arial"/>
        </w:rPr>
        <w:tab/>
        <w:t xml:space="preserve">Queensland Dairy Accounting Scheme </w:t>
      </w:r>
    </w:p>
    <w:p w:rsidR="000D28B8" w:rsidRPr="00B57B13" w:rsidRDefault="000D28B8" w:rsidP="00B35480">
      <w:pPr>
        <w:spacing w:line="276" w:lineRule="auto"/>
        <w:rPr>
          <w:rFonts w:ascii="Arial" w:hAnsi="Arial" w:cs="Arial"/>
        </w:rPr>
      </w:pPr>
      <w:r w:rsidRPr="00B57B13">
        <w:rPr>
          <w:rFonts w:ascii="Arial" w:hAnsi="Arial" w:cs="Arial"/>
        </w:rPr>
        <w:t>R&amp;D</w:t>
      </w:r>
      <w:r w:rsidRPr="00B57B13">
        <w:rPr>
          <w:rFonts w:ascii="Arial" w:hAnsi="Arial" w:cs="Arial"/>
        </w:rPr>
        <w:tab/>
      </w:r>
      <w:r w:rsidRPr="00B57B13">
        <w:rPr>
          <w:rFonts w:ascii="Arial" w:hAnsi="Arial" w:cs="Arial"/>
        </w:rPr>
        <w:tab/>
        <w:t>Research and Development</w:t>
      </w:r>
    </w:p>
    <w:p w:rsidR="000D28B8" w:rsidRPr="00B57B13" w:rsidRDefault="000D28B8" w:rsidP="00B35480">
      <w:pPr>
        <w:spacing w:line="276" w:lineRule="auto"/>
        <w:rPr>
          <w:rFonts w:ascii="Arial" w:hAnsi="Arial" w:cs="Arial"/>
        </w:rPr>
      </w:pPr>
      <w:r w:rsidRPr="00B57B13">
        <w:rPr>
          <w:rFonts w:ascii="Arial" w:hAnsi="Arial" w:cs="Arial"/>
        </w:rPr>
        <w:t>RD&amp;E</w:t>
      </w:r>
      <w:r w:rsidRPr="00B57B13">
        <w:rPr>
          <w:rFonts w:ascii="Arial" w:hAnsi="Arial" w:cs="Arial"/>
        </w:rPr>
        <w:tab/>
      </w:r>
      <w:r w:rsidRPr="00B57B13">
        <w:rPr>
          <w:rFonts w:ascii="Arial" w:hAnsi="Arial" w:cs="Arial"/>
        </w:rPr>
        <w:tab/>
        <w:t>Research, Development and Extension</w:t>
      </w:r>
    </w:p>
    <w:p w:rsidR="000D28B8" w:rsidRPr="00B57B13" w:rsidRDefault="000D28B8" w:rsidP="00B35480">
      <w:pPr>
        <w:spacing w:line="276" w:lineRule="auto"/>
        <w:rPr>
          <w:rFonts w:ascii="Arial" w:hAnsi="Arial" w:cs="Arial"/>
        </w:rPr>
      </w:pPr>
      <w:r w:rsidRPr="00B57B13">
        <w:rPr>
          <w:rFonts w:ascii="Arial" w:hAnsi="Arial" w:cs="Arial"/>
        </w:rPr>
        <w:t>RDC</w:t>
      </w:r>
      <w:r w:rsidRPr="00B57B13">
        <w:rPr>
          <w:rFonts w:ascii="Arial" w:hAnsi="Arial" w:cs="Arial"/>
        </w:rPr>
        <w:tab/>
      </w:r>
      <w:r w:rsidRPr="00B57B13">
        <w:rPr>
          <w:rFonts w:ascii="Arial" w:hAnsi="Arial" w:cs="Arial"/>
        </w:rPr>
        <w:tab/>
        <w:t xml:space="preserve">Research and Development Corporation  </w:t>
      </w:r>
    </w:p>
    <w:p w:rsidR="000D28B8" w:rsidRPr="00B57B13" w:rsidRDefault="000D28B8" w:rsidP="00B35480">
      <w:pPr>
        <w:spacing w:line="276" w:lineRule="auto"/>
        <w:rPr>
          <w:rFonts w:ascii="Arial" w:hAnsi="Arial" w:cs="Arial"/>
        </w:rPr>
      </w:pPr>
      <w:r w:rsidRPr="00B57B13">
        <w:rPr>
          <w:rFonts w:ascii="Arial" w:hAnsi="Arial" w:cs="Arial"/>
        </w:rPr>
        <w:t>TFP</w:t>
      </w:r>
      <w:r w:rsidRPr="00B57B13">
        <w:rPr>
          <w:rFonts w:ascii="Arial" w:hAnsi="Arial" w:cs="Arial"/>
        </w:rPr>
        <w:tab/>
      </w:r>
      <w:r w:rsidRPr="00B57B13">
        <w:rPr>
          <w:rFonts w:ascii="Arial" w:hAnsi="Arial" w:cs="Arial"/>
        </w:rPr>
        <w:tab/>
        <w:t>Total Factor Productivity</w:t>
      </w:r>
    </w:p>
    <w:p w:rsidR="000D28B8" w:rsidRPr="00B57B13" w:rsidRDefault="000D28B8" w:rsidP="00B35480">
      <w:pPr>
        <w:spacing w:line="276" w:lineRule="auto"/>
        <w:rPr>
          <w:rFonts w:ascii="Arial" w:hAnsi="Arial" w:cs="Arial"/>
        </w:rPr>
      </w:pPr>
      <w:r w:rsidRPr="00B57B13">
        <w:rPr>
          <w:rFonts w:ascii="Arial" w:hAnsi="Arial" w:cs="Arial"/>
        </w:rPr>
        <w:t>TMR</w:t>
      </w:r>
      <w:r w:rsidRPr="00B57B13">
        <w:rPr>
          <w:rFonts w:ascii="Arial" w:hAnsi="Arial" w:cs="Arial"/>
        </w:rPr>
        <w:tab/>
      </w:r>
      <w:r w:rsidRPr="00B57B13">
        <w:rPr>
          <w:rFonts w:ascii="Arial" w:hAnsi="Arial" w:cs="Arial"/>
        </w:rPr>
        <w:tab/>
        <w:t>Total Mixed Ration</w:t>
      </w:r>
    </w:p>
    <w:p w:rsidR="000D28B8" w:rsidRPr="00B57B13" w:rsidRDefault="000D28B8" w:rsidP="00B35480">
      <w:pPr>
        <w:spacing w:line="276" w:lineRule="auto"/>
        <w:rPr>
          <w:rFonts w:ascii="Arial" w:hAnsi="Arial" w:cs="Arial"/>
        </w:rPr>
      </w:pPr>
      <w:r w:rsidRPr="00B57B13">
        <w:rPr>
          <w:rFonts w:ascii="Arial" w:hAnsi="Arial" w:cs="Arial"/>
        </w:rPr>
        <w:t>UQ</w:t>
      </w:r>
      <w:r w:rsidRPr="00B57B13">
        <w:rPr>
          <w:rFonts w:ascii="Arial" w:hAnsi="Arial" w:cs="Arial"/>
        </w:rPr>
        <w:tab/>
      </w:r>
      <w:r w:rsidRPr="00B57B13">
        <w:rPr>
          <w:rFonts w:ascii="Arial" w:hAnsi="Arial" w:cs="Arial"/>
        </w:rPr>
        <w:tab/>
        <w:t>University of Queensland</w:t>
      </w:r>
    </w:p>
    <w:p w:rsidR="000D28B8" w:rsidRPr="00C7408A" w:rsidRDefault="000D28B8" w:rsidP="00C7408A">
      <w:pPr>
        <w:spacing w:after="240"/>
        <w:rPr>
          <w:rFonts w:ascii="Arial" w:hAnsi="Arial" w:cs="Arial"/>
          <w:b/>
          <w:sz w:val="40"/>
          <w:szCs w:val="40"/>
        </w:rPr>
      </w:pPr>
      <w:bookmarkStart w:id="367" w:name="_Toc484505439"/>
      <w:bookmarkStart w:id="368" w:name="_Toc486145288"/>
      <w:bookmarkStart w:id="369" w:name="_Toc486145366"/>
      <w:bookmarkStart w:id="370" w:name="_Toc486146282"/>
      <w:r w:rsidRPr="00C7408A">
        <w:rPr>
          <w:rFonts w:ascii="Arial" w:hAnsi="Arial" w:cs="Arial"/>
          <w:b/>
          <w:sz w:val="40"/>
          <w:szCs w:val="40"/>
        </w:rPr>
        <w:t>Executive Summary</w:t>
      </w:r>
      <w:bookmarkEnd w:id="367"/>
      <w:bookmarkEnd w:id="368"/>
      <w:bookmarkEnd w:id="369"/>
      <w:bookmarkEnd w:id="370"/>
    </w:p>
    <w:p w:rsidR="000D28B8" w:rsidRPr="005173A2" w:rsidRDefault="000D28B8" w:rsidP="005173A2">
      <w:pPr>
        <w:spacing w:after="240"/>
        <w:rPr>
          <w:rFonts w:ascii="Arial" w:hAnsi="Arial" w:cs="Arial"/>
          <w:b/>
          <w:sz w:val="24"/>
        </w:rPr>
      </w:pPr>
      <w:bookmarkStart w:id="371" w:name="_Toc484505440"/>
      <w:bookmarkStart w:id="372" w:name="_Toc486145289"/>
      <w:r w:rsidRPr="005173A2">
        <w:rPr>
          <w:rFonts w:ascii="Arial" w:hAnsi="Arial" w:cs="Arial"/>
          <w:b/>
          <w:sz w:val="24"/>
        </w:rPr>
        <w:t>The Report</w:t>
      </w:r>
      <w:bookmarkEnd w:id="371"/>
      <w:bookmarkEnd w:id="372"/>
    </w:p>
    <w:p w:rsidR="000D28B8" w:rsidRPr="00B57B13" w:rsidRDefault="000D28B8" w:rsidP="00C7408A">
      <w:pPr>
        <w:spacing w:after="240"/>
        <w:rPr>
          <w:rFonts w:ascii="Arial" w:hAnsi="Arial" w:cs="Arial"/>
        </w:rPr>
      </w:pPr>
      <w:r w:rsidRPr="00B57B13">
        <w:rPr>
          <w:rFonts w:ascii="Arial" w:hAnsi="Arial" w:cs="Arial"/>
        </w:rPr>
        <w:t xml:space="preserve">This report presents the results of an impact assessment of a </w:t>
      </w:r>
      <w:bookmarkStart w:id="373" w:name="_Hlk484413761"/>
      <w:r w:rsidRPr="00B57B13">
        <w:rPr>
          <w:rFonts w:ascii="Arial" w:hAnsi="Arial" w:cs="Arial"/>
        </w:rPr>
        <w:t xml:space="preserve">Queensland Department of Agriculture and Fisheries </w:t>
      </w:r>
      <w:bookmarkEnd w:id="373"/>
      <w:r w:rsidRPr="00B57B13">
        <w:rPr>
          <w:rFonts w:ascii="Arial" w:hAnsi="Arial" w:cs="Arial"/>
        </w:rPr>
        <w:t xml:space="preserve">(DAF) investment in a project (C4 Milk) to increase operating margins in milk production enterprises from forage feed sources. This project was funded by DAF and Dairy Australia (DA). </w:t>
      </w:r>
    </w:p>
    <w:p w:rsidR="000D28B8" w:rsidRPr="005173A2" w:rsidRDefault="000D28B8" w:rsidP="005173A2">
      <w:pPr>
        <w:spacing w:after="240"/>
        <w:rPr>
          <w:rFonts w:ascii="Arial" w:hAnsi="Arial" w:cs="Arial"/>
          <w:b/>
          <w:sz w:val="24"/>
        </w:rPr>
      </w:pPr>
      <w:bookmarkStart w:id="374" w:name="_Toc484505441"/>
      <w:bookmarkStart w:id="375" w:name="_Toc486145290"/>
      <w:r w:rsidRPr="005173A2">
        <w:rPr>
          <w:rFonts w:ascii="Arial" w:hAnsi="Arial" w:cs="Arial"/>
          <w:b/>
          <w:sz w:val="24"/>
        </w:rPr>
        <w:t>Methods</w:t>
      </w:r>
      <w:bookmarkEnd w:id="374"/>
      <w:bookmarkEnd w:id="375"/>
    </w:p>
    <w:p w:rsidR="000D28B8" w:rsidRPr="00B57B13" w:rsidRDefault="000D28B8" w:rsidP="00C7408A">
      <w:pPr>
        <w:spacing w:after="240"/>
        <w:rPr>
          <w:rFonts w:ascii="Arial" w:hAnsi="Arial" w:cs="Arial"/>
        </w:rPr>
      </w:pPr>
      <w:r w:rsidRPr="00B57B13">
        <w:rPr>
          <w:rFonts w:ascii="Arial" w:hAnsi="Arial" w:cs="Arial"/>
        </w:rPr>
        <w:t>The project was analysed qualitatively within a logical framework that considered project rationale, objectives, activities/outputs, outcomes, and impacts. The principal impact was then valued. Benefits were calculated for a range of time frames up to 30 years from the year of last investment. Past and future cash flows in 2016/17 $ terms were discounted to the year 2016/17 using a discount rate of 5% to estimate investment criteria.</w:t>
      </w:r>
    </w:p>
    <w:p w:rsidR="000D28B8" w:rsidRPr="005173A2" w:rsidRDefault="000D28B8" w:rsidP="005173A2">
      <w:pPr>
        <w:spacing w:after="240"/>
        <w:rPr>
          <w:rFonts w:ascii="Arial" w:hAnsi="Arial" w:cs="Arial"/>
          <w:b/>
          <w:sz w:val="24"/>
        </w:rPr>
      </w:pPr>
      <w:bookmarkStart w:id="376" w:name="_Toc484505442"/>
      <w:bookmarkStart w:id="377" w:name="_Toc486145291"/>
      <w:r w:rsidRPr="005173A2">
        <w:rPr>
          <w:rFonts w:ascii="Arial" w:hAnsi="Arial" w:cs="Arial"/>
          <w:b/>
          <w:sz w:val="24"/>
        </w:rPr>
        <w:t>Impacts</w:t>
      </w:r>
      <w:bookmarkEnd w:id="376"/>
      <w:bookmarkEnd w:id="377"/>
    </w:p>
    <w:p w:rsidR="000D28B8" w:rsidRPr="00B57B13" w:rsidRDefault="000D28B8" w:rsidP="00C7408A">
      <w:pPr>
        <w:spacing w:after="240"/>
        <w:rPr>
          <w:rFonts w:ascii="Arial" w:hAnsi="Arial" w:cs="Arial"/>
          <w:color w:val="000000" w:themeColor="text1"/>
        </w:rPr>
      </w:pPr>
      <w:r w:rsidRPr="00B57B13">
        <w:rPr>
          <w:rFonts w:ascii="Arial" w:hAnsi="Arial" w:cs="Arial"/>
          <w:color w:val="000000" w:themeColor="text1"/>
        </w:rPr>
        <w:t xml:space="preserve">Most of the impacts identified were economic in nature, however social and environmental impacts also were identified. The coverage and certainty of the assumptions associated with the impacts valued are </w:t>
      </w:r>
      <w:r w:rsidRPr="00C7408A">
        <w:rPr>
          <w:rFonts w:ascii="Arial" w:hAnsi="Arial" w:cs="Arial"/>
        </w:rPr>
        <w:t>rated</w:t>
      </w:r>
      <w:r w:rsidRPr="00B57B13">
        <w:rPr>
          <w:rFonts w:ascii="Arial" w:hAnsi="Arial" w:cs="Arial"/>
          <w:color w:val="000000" w:themeColor="text1"/>
        </w:rPr>
        <w:t xml:space="preserve"> as High-Medium. The impacts valued are the increased use of home grown feed and the decreased costs of feed due to improved management of home grown feed. </w:t>
      </w:r>
    </w:p>
    <w:p w:rsidR="000D28B8" w:rsidRPr="00B57B13" w:rsidRDefault="000D28B8" w:rsidP="00C7408A">
      <w:pPr>
        <w:spacing w:after="240"/>
        <w:rPr>
          <w:rFonts w:ascii="Arial" w:hAnsi="Arial" w:cs="Arial"/>
          <w:color w:val="000000" w:themeColor="text1"/>
        </w:rPr>
      </w:pPr>
      <w:r w:rsidRPr="00B57B13">
        <w:rPr>
          <w:rFonts w:ascii="Arial" w:hAnsi="Arial" w:cs="Arial"/>
          <w:color w:val="000000" w:themeColor="text1"/>
        </w:rPr>
        <w:t xml:space="preserve">The </w:t>
      </w:r>
      <w:r w:rsidRPr="00C7408A">
        <w:rPr>
          <w:rFonts w:ascii="Arial" w:hAnsi="Arial" w:cs="Arial"/>
        </w:rPr>
        <w:t>project</w:t>
      </w:r>
      <w:r w:rsidRPr="00B57B13">
        <w:rPr>
          <w:rFonts w:ascii="Arial" w:hAnsi="Arial" w:cs="Arial"/>
          <w:color w:val="000000" w:themeColor="text1"/>
        </w:rPr>
        <w:t xml:space="preserve"> had not been completed at the time of undertaking this evaluation, so not all data from the project were available for consideration. The impacts identified but not valued include the impacts of new types of forage, increased sustainability of the sub-tropical dairy industry, increased knowledge and capacity, and use of alternative feed applicable to southern New South Wales and Victoria. The decision not to value certain impacts was due to restricted data available for on-farm valuation, the required complexity of future scenarios and lack of time and resources for the estimation of adoption and impacts in southern dairy systems. </w:t>
      </w:r>
    </w:p>
    <w:p w:rsidR="000D28B8" w:rsidRPr="00B57B13" w:rsidRDefault="000D28B8" w:rsidP="00C7408A">
      <w:pPr>
        <w:spacing w:after="240"/>
        <w:rPr>
          <w:rFonts w:ascii="Arial" w:hAnsi="Arial" w:cs="Arial"/>
          <w:color w:val="000000" w:themeColor="text1"/>
        </w:rPr>
      </w:pPr>
      <w:r w:rsidRPr="00B57B13">
        <w:rPr>
          <w:rFonts w:ascii="Arial" w:hAnsi="Arial" w:cs="Arial"/>
          <w:color w:val="000000" w:themeColor="text1"/>
        </w:rPr>
        <w:t xml:space="preserve">It is expected the sub-tropical dairy industry will be the primary beneficiary of the investment with other benefits shared along the supply chain including consumers. A second set of benefits will accrue to </w:t>
      </w:r>
      <w:r w:rsidRPr="00C7408A">
        <w:rPr>
          <w:rFonts w:ascii="Arial" w:hAnsi="Arial" w:cs="Arial"/>
        </w:rPr>
        <w:t>temperate</w:t>
      </w:r>
      <w:r w:rsidRPr="00B57B13">
        <w:rPr>
          <w:rFonts w:ascii="Arial" w:hAnsi="Arial" w:cs="Arial"/>
          <w:color w:val="000000" w:themeColor="text1"/>
        </w:rPr>
        <w:t xml:space="preserve"> dairy industries as there has been knowledge transfer between the C4 team and temperate dairying regions. </w:t>
      </w:r>
    </w:p>
    <w:p w:rsidR="000D28B8" w:rsidRPr="005173A2" w:rsidRDefault="000D28B8" w:rsidP="005173A2">
      <w:pPr>
        <w:spacing w:after="240"/>
        <w:rPr>
          <w:rFonts w:ascii="Arial" w:hAnsi="Arial" w:cs="Arial"/>
          <w:b/>
          <w:sz w:val="24"/>
        </w:rPr>
      </w:pPr>
      <w:bookmarkStart w:id="378" w:name="_Toc484505443"/>
      <w:bookmarkStart w:id="379" w:name="_Toc486145292"/>
      <w:r w:rsidRPr="005173A2">
        <w:rPr>
          <w:rFonts w:ascii="Arial" w:hAnsi="Arial" w:cs="Arial"/>
          <w:b/>
          <w:sz w:val="24"/>
        </w:rPr>
        <w:t>Investment Criteria</w:t>
      </w:r>
      <w:bookmarkEnd w:id="378"/>
      <w:bookmarkEnd w:id="379"/>
    </w:p>
    <w:p w:rsidR="000D28B8" w:rsidRPr="00B57B13" w:rsidRDefault="000D28B8" w:rsidP="00C7408A">
      <w:pPr>
        <w:spacing w:after="240"/>
        <w:rPr>
          <w:rFonts w:ascii="Arial" w:hAnsi="Arial" w:cs="Arial"/>
        </w:rPr>
      </w:pPr>
      <w:r w:rsidRPr="00B57B13">
        <w:rPr>
          <w:rFonts w:ascii="Arial" w:hAnsi="Arial" w:cs="Arial"/>
        </w:rPr>
        <w:t xml:space="preserve">Total funding from all sources for the project was $5.8 million (present value terms). The value of benefits was estimated at $29.9 million (present value terms). This gave an estimated net present value of $24.1 million, and a benefit-cost ratio of 5.2 to 1. The investment </w:t>
      </w:r>
      <w:r w:rsidRPr="00C7408A">
        <w:rPr>
          <w:rFonts w:ascii="Arial" w:hAnsi="Arial" w:cs="Arial"/>
          <w:color w:val="000000" w:themeColor="text1"/>
        </w:rPr>
        <w:t>criteria</w:t>
      </w:r>
      <w:r w:rsidRPr="00B57B13">
        <w:rPr>
          <w:rFonts w:ascii="Arial" w:hAnsi="Arial" w:cs="Arial"/>
        </w:rPr>
        <w:t xml:space="preserve"> estimated support the conclusion that this has been a most worthwhile investment, particularly since assumptions were conservative for the impacts that were valued; furthermore, not all impacts identified were valued so the benefits are likely to be an underestimate. </w:t>
      </w:r>
    </w:p>
    <w:p w:rsidR="00C7408A" w:rsidRDefault="00C7408A">
      <w:pPr>
        <w:spacing w:line="276" w:lineRule="auto"/>
        <w:rPr>
          <w:rFonts w:ascii="Arial" w:hAnsi="Arial" w:cs="Arial"/>
        </w:rPr>
      </w:pPr>
      <w:bookmarkStart w:id="380" w:name="_Toc484505444"/>
      <w:bookmarkStart w:id="381" w:name="_Toc486145293"/>
      <w:bookmarkStart w:id="382" w:name="_Toc486145367"/>
      <w:bookmarkStart w:id="383" w:name="_Toc486146283"/>
      <w:r>
        <w:rPr>
          <w:rFonts w:ascii="Arial" w:hAnsi="Arial" w:cs="Arial"/>
        </w:rPr>
        <w:br w:type="page"/>
      </w:r>
    </w:p>
    <w:p w:rsidR="000D28B8" w:rsidRPr="00C7408A" w:rsidRDefault="000D28B8" w:rsidP="00C7408A">
      <w:pPr>
        <w:spacing w:after="240"/>
        <w:rPr>
          <w:rFonts w:ascii="Arial" w:hAnsi="Arial" w:cs="Arial"/>
          <w:b/>
          <w:sz w:val="40"/>
          <w:szCs w:val="40"/>
        </w:rPr>
      </w:pPr>
      <w:r w:rsidRPr="00C7408A">
        <w:rPr>
          <w:rFonts w:ascii="Arial" w:hAnsi="Arial" w:cs="Arial"/>
          <w:b/>
          <w:sz w:val="40"/>
          <w:szCs w:val="40"/>
        </w:rPr>
        <w:t>1. Methods</w:t>
      </w:r>
      <w:bookmarkEnd w:id="380"/>
      <w:bookmarkEnd w:id="381"/>
      <w:bookmarkEnd w:id="382"/>
      <w:bookmarkEnd w:id="383"/>
    </w:p>
    <w:p w:rsidR="000D28B8" w:rsidRPr="00B57B13" w:rsidRDefault="000D28B8" w:rsidP="00C7408A">
      <w:pPr>
        <w:spacing w:after="240"/>
        <w:rPr>
          <w:rFonts w:ascii="Arial" w:hAnsi="Arial" w:cs="Arial"/>
        </w:rPr>
      </w:pPr>
      <w:r w:rsidRPr="00B57B13">
        <w:rPr>
          <w:rFonts w:ascii="Arial" w:hAnsi="Arial" w:cs="Arial"/>
        </w:rPr>
        <w:t xml:space="preserve">The evaluation approach follows general evaluation guidelines that are now well entrenched within the Australian primary industry research sector including Research and Development Corporations (RDCs), Cooperative Research Centres (CRCs), State Departments of Agriculture, and some Universities. This impact assessment uses Cost-Benefit Analysis (CBA) as its principal tool. The approach included both qualitative and quantitative descriptions that are in accord with the evaluation guidelines of the Council of Research and Development Corporations (CRRDC, 2014). </w:t>
      </w:r>
    </w:p>
    <w:p w:rsidR="000D28B8" w:rsidRPr="00B57B13" w:rsidRDefault="000D28B8" w:rsidP="00C7408A">
      <w:pPr>
        <w:spacing w:after="240"/>
        <w:rPr>
          <w:rFonts w:ascii="Arial" w:hAnsi="Arial" w:cs="Arial"/>
          <w:szCs w:val="22"/>
        </w:rPr>
      </w:pPr>
      <w:r w:rsidRPr="00B57B13">
        <w:rPr>
          <w:rFonts w:ascii="Arial" w:hAnsi="Arial" w:cs="Arial"/>
          <w:szCs w:val="22"/>
        </w:rPr>
        <w:t xml:space="preserve">The evaluation process involved identifying and briefly describing project objectives, activities and outputs, outcomes, and impacts. The principal economic, environmental and social </w:t>
      </w:r>
      <w:r w:rsidRPr="00C7408A">
        <w:rPr>
          <w:rFonts w:ascii="Arial" w:hAnsi="Arial" w:cs="Arial"/>
        </w:rPr>
        <w:t>impacts</w:t>
      </w:r>
      <w:r w:rsidRPr="00B57B13">
        <w:rPr>
          <w:rFonts w:ascii="Arial" w:hAnsi="Arial" w:cs="Arial"/>
          <w:szCs w:val="22"/>
        </w:rPr>
        <w:t xml:space="preserve"> were then summarised in a triple bottom line framework. </w:t>
      </w:r>
    </w:p>
    <w:p w:rsidR="000D28B8" w:rsidRPr="00B57B13" w:rsidRDefault="000D28B8" w:rsidP="00C7408A">
      <w:pPr>
        <w:spacing w:after="240"/>
        <w:rPr>
          <w:rFonts w:ascii="Arial" w:hAnsi="Arial" w:cs="Arial"/>
          <w:szCs w:val="22"/>
        </w:rPr>
      </w:pPr>
      <w:r w:rsidRPr="00B57B13">
        <w:rPr>
          <w:rFonts w:ascii="Arial" w:hAnsi="Arial" w:cs="Arial"/>
          <w:szCs w:val="22"/>
        </w:rPr>
        <w:t xml:space="preserve">Some, but not all, of the impacts identified were then valued in monetary terms. The decision not to </w:t>
      </w:r>
      <w:r w:rsidRPr="00C7408A">
        <w:rPr>
          <w:rFonts w:ascii="Arial" w:hAnsi="Arial" w:cs="Arial"/>
        </w:rPr>
        <w:t>value</w:t>
      </w:r>
      <w:r w:rsidRPr="00B57B13">
        <w:rPr>
          <w:rFonts w:ascii="Arial" w:hAnsi="Arial" w:cs="Arial"/>
          <w:szCs w:val="22"/>
        </w:rPr>
        <w:t xml:space="preserve"> certain impacts was due to a shortage of necessary evidence/data and a high degree of uncertainty surrounding the potential impact.</w:t>
      </w:r>
      <w:r w:rsidRPr="00B57B13">
        <w:rPr>
          <w:rFonts w:ascii="Arial" w:hAnsi="Arial" w:cs="Arial"/>
        </w:rPr>
        <w:t xml:space="preserve"> </w:t>
      </w:r>
      <w:r w:rsidRPr="00B57B13">
        <w:rPr>
          <w:rFonts w:ascii="Arial" w:hAnsi="Arial" w:cs="Arial"/>
          <w:szCs w:val="22"/>
        </w:rPr>
        <w:t>The impacts valued therefore are deemed to represent the principal benefits delivered by the project.</w:t>
      </w:r>
    </w:p>
    <w:p w:rsidR="000D28B8" w:rsidRPr="00C7408A" w:rsidRDefault="000D28B8" w:rsidP="00C7408A">
      <w:pPr>
        <w:spacing w:after="240"/>
        <w:rPr>
          <w:rFonts w:ascii="Arial" w:hAnsi="Arial" w:cs="Arial"/>
          <w:b/>
          <w:sz w:val="40"/>
          <w:szCs w:val="40"/>
        </w:rPr>
      </w:pPr>
      <w:bookmarkStart w:id="384" w:name="_Toc484505445"/>
      <w:bookmarkStart w:id="385" w:name="_Toc486145294"/>
      <w:bookmarkStart w:id="386" w:name="_Toc486145368"/>
      <w:bookmarkStart w:id="387" w:name="_Toc486146284"/>
      <w:r w:rsidRPr="00C7408A">
        <w:rPr>
          <w:rFonts w:ascii="Arial" w:hAnsi="Arial" w:cs="Arial"/>
          <w:b/>
          <w:sz w:val="40"/>
          <w:szCs w:val="40"/>
        </w:rPr>
        <w:t>2. Background and Rationale</w:t>
      </w:r>
      <w:bookmarkEnd w:id="384"/>
      <w:bookmarkEnd w:id="385"/>
      <w:bookmarkEnd w:id="386"/>
      <w:bookmarkEnd w:id="387"/>
      <w:r w:rsidRPr="00C7408A">
        <w:rPr>
          <w:rFonts w:ascii="Arial" w:hAnsi="Arial" w:cs="Arial"/>
          <w:b/>
          <w:sz w:val="40"/>
          <w:szCs w:val="40"/>
        </w:rPr>
        <w:t xml:space="preserve"> </w:t>
      </w:r>
    </w:p>
    <w:p w:rsidR="000D28B8" w:rsidRPr="005173A2" w:rsidRDefault="000D28B8" w:rsidP="005173A2">
      <w:pPr>
        <w:spacing w:after="240"/>
        <w:rPr>
          <w:rFonts w:ascii="Arial" w:hAnsi="Arial" w:cs="Arial"/>
          <w:b/>
          <w:sz w:val="24"/>
        </w:rPr>
      </w:pPr>
      <w:bookmarkStart w:id="388" w:name="_Toc484505446"/>
      <w:bookmarkStart w:id="389" w:name="_Toc486145295"/>
      <w:r w:rsidRPr="005173A2">
        <w:rPr>
          <w:rFonts w:ascii="Arial" w:hAnsi="Arial" w:cs="Arial"/>
          <w:b/>
          <w:sz w:val="24"/>
        </w:rPr>
        <w:t>Background</w:t>
      </w:r>
      <w:bookmarkEnd w:id="388"/>
      <w:bookmarkEnd w:id="389"/>
    </w:p>
    <w:p w:rsidR="00C7408A" w:rsidRDefault="000D28B8" w:rsidP="00C7408A">
      <w:pPr>
        <w:spacing w:after="240"/>
        <w:rPr>
          <w:rFonts w:ascii="Arial" w:hAnsi="Arial" w:cs="Arial"/>
          <w:sz w:val="24"/>
        </w:rPr>
      </w:pPr>
      <w:r w:rsidRPr="00B57B13">
        <w:rPr>
          <w:rFonts w:ascii="Arial" w:hAnsi="Arial" w:cs="Arial"/>
        </w:rPr>
        <w:t xml:space="preserve">The sub-tropical dairy industry ranges from the </w:t>
      </w:r>
      <w:r w:rsidRPr="00B57B13">
        <w:rPr>
          <w:rFonts w:ascii="Arial" w:hAnsi="Arial" w:cs="Arial"/>
          <w:shd w:val="clear" w:color="auto" w:fill="FFFFFF"/>
        </w:rPr>
        <w:t>Atherton Tablelands in Far North Queensland to Kempsey in the Central Coast of NSW (DA, 2015). The sub-tropical region is further split into the sub-regions of North Queensland, Central Queensland, South-East Coastal, Darling Downs, Far North Coast New South Wales (NSW),</w:t>
      </w:r>
      <w:r w:rsidRPr="00B57B13" w:rsidDel="00086D10">
        <w:rPr>
          <w:rFonts w:ascii="Arial" w:hAnsi="Arial" w:cs="Arial"/>
          <w:shd w:val="clear" w:color="auto" w:fill="FFFFFF"/>
        </w:rPr>
        <w:t xml:space="preserve"> </w:t>
      </w:r>
      <w:r w:rsidRPr="00B57B13">
        <w:rPr>
          <w:rFonts w:ascii="Arial" w:hAnsi="Arial" w:cs="Arial"/>
          <w:shd w:val="clear" w:color="auto" w:fill="FFFFFF"/>
        </w:rPr>
        <w:t xml:space="preserve">and Mid-North Coast NSW. In the sub-tropical region, the ability to grow different types of forage varies depending on the location and climate. There are </w:t>
      </w:r>
      <w:r w:rsidRPr="00C7408A">
        <w:rPr>
          <w:rFonts w:ascii="Arial" w:hAnsi="Arial" w:cs="Arial"/>
          <w:szCs w:val="22"/>
        </w:rPr>
        <w:t>currently</w:t>
      </w:r>
      <w:r w:rsidRPr="00B57B13">
        <w:rPr>
          <w:rFonts w:ascii="Arial" w:hAnsi="Arial" w:cs="Arial"/>
          <w:shd w:val="clear" w:color="auto" w:fill="FFFFFF"/>
        </w:rPr>
        <w:t xml:space="preserve"> 559 dairy farms in the sub-tropical region (QDAS, 2016;</w:t>
      </w:r>
      <w:r w:rsidRPr="00B57B13">
        <w:rPr>
          <w:rFonts w:ascii="Arial" w:hAnsi="Arial" w:cs="Arial"/>
        </w:rPr>
        <w:t xml:space="preserve"> </w:t>
      </w:r>
      <w:r w:rsidRPr="00B57B13">
        <w:rPr>
          <w:rFonts w:ascii="Arial" w:hAnsi="Arial" w:cs="Arial"/>
          <w:shd w:val="clear" w:color="auto" w:fill="FFFFFF"/>
        </w:rPr>
        <w:t xml:space="preserve">David Barber, pers. comm., 2017) with the farms contributing 4.2% </w:t>
      </w:r>
      <w:r w:rsidRPr="00B57B13">
        <w:rPr>
          <w:rFonts w:ascii="Arial" w:hAnsi="Arial" w:cs="Arial"/>
        </w:rPr>
        <w:t>to Australia’s overall dairy production with an annual production value of $404 m (</w:t>
      </w:r>
      <w:r w:rsidRPr="00B57B13">
        <w:rPr>
          <w:rFonts w:ascii="Arial" w:hAnsi="Arial" w:cs="Arial"/>
          <w:shd w:val="clear" w:color="auto" w:fill="FFFFFF"/>
        </w:rPr>
        <w:t>DAF, 2016, page v</w:t>
      </w:r>
      <w:r w:rsidRPr="00B57B13">
        <w:rPr>
          <w:rFonts w:ascii="Arial" w:hAnsi="Arial" w:cs="Arial"/>
        </w:rPr>
        <w:t>). In Queensland, the number of dairy farms decreased by 19% over the period from 2012-2013 to 2015-2016. The usage of milk produced in Queensland has also changed over time, moving from both fresh milk and manufactured milk products to currently all local fresh milk (DAFF, 2013a, p.8). Thus, there is a need for a constant milk supply throughout the year</w:t>
      </w:r>
      <w:r w:rsidRPr="00B57B13">
        <w:rPr>
          <w:rFonts w:ascii="Arial" w:hAnsi="Arial" w:cs="Arial"/>
          <w:sz w:val="24"/>
        </w:rPr>
        <w:t>.</w:t>
      </w:r>
    </w:p>
    <w:p w:rsidR="000D28B8" w:rsidRPr="00B57B13" w:rsidRDefault="000D28B8" w:rsidP="00C7408A">
      <w:pPr>
        <w:spacing w:after="240"/>
        <w:rPr>
          <w:rFonts w:ascii="Arial" w:hAnsi="Arial" w:cs="Arial"/>
        </w:rPr>
      </w:pPr>
      <w:r w:rsidRPr="00B57B13">
        <w:rPr>
          <w:rFonts w:ascii="Arial" w:hAnsi="Arial" w:cs="Arial"/>
        </w:rPr>
        <w:t xml:space="preserve">Farms in the sub-tropical dairy industry have experienced rising productivity. This has been attributed not to pushing the productivity frontier, but to catching up with southern dairy counterparts’ production levels through the application of different, better practices more suited to the sub-tropical region (ABARES, 2014, p.8). Growth has been realised through lower use of inputs, while outputs have also been decreasing (compared to other regions where inputs and outputs have both increased). The sub-tropical industry still lags behind other dairy regions in terms of total factor productivity (TFP) (ABARES, 2014, p.9). The ABARES report (2014, p.10) also recognises that due to a need to produce year-round fresh milk, purchased feed is necessary as home-grown feed is not always readily available during the autumn feed gap. </w:t>
      </w:r>
    </w:p>
    <w:p w:rsidR="00C7408A" w:rsidRDefault="000D28B8" w:rsidP="00C7408A">
      <w:pPr>
        <w:spacing w:after="240"/>
        <w:rPr>
          <w:rFonts w:ascii="Arial" w:hAnsi="Arial" w:cs="Arial"/>
        </w:rPr>
      </w:pPr>
      <w:r w:rsidRPr="00B57B13">
        <w:rPr>
          <w:rFonts w:ascii="Arial" w:hAnsi="Arial" w:cs="Arial"/>
        </w:rPr>
        <w:t>Over recent years, there has been an increase in volatility of grain prices while fresh milk prices have remained stable. For the sub-tropical dairy industry, this has led to lower margins for farmers. Feed related costs are the largest costs for dairy farms in Queensland, representing about 49% of cash costs in 2015-2016 (DAF, 2016, p.3). Compared to the national average of 31% (ABARES, 2016, p.5) this suggests that there is scope for decreasing feed costs. Fluctuating grain prices along with an increase in feed concentrates have led to a decline in the Margin Over Feed Costs</w:t>
      </w:r>
      <w:r w:rsidRPr="00B57B13">
        <w:rPr>
          <w:rStyle w:val="FootnoteReference"/>
          <w:rFonts w:ascii="Arial" w:hAnsi="Arial" w:cs="Arial"/>
        </w:rPr>
        <w:footnoteReference w:id="3"/>
      </w:r>
      <w:r w:rsidRPr="00B57B13">
        <w:rPr>
          <w:rFonts w:ascii="Arial" w:hAnsi="Arial" w:cs="Arial"/>
        </w:rPr>
        <w:t xml:space="preserve"> (MOFC)</w:t>
      </w:r>
      <w:r w:rsidRPr="00B57B13">
        <w:rPr>
          <w:rStyle w:val="CommentReference"/>
          <w:rFonts w:ascii="Arial" w:hAnsi="Arial" w:cs="Arial"/>
          <w:sz w:val="22"/>
          <w:szCs w:val="22"/>
        </w:rPr>
        <w:t>.</w:t>
      </w:r>
      <w:r w:rsidRPr="00B57B13">
        <w:rPr>
          <w:rFonts w:ascii="Arial" w:hAnsi="Arial" w:cs="Arial"/>
        </w:rPr>
        <w:t xml:space="preserve"> </w:t>
      </w:r>
    </w:p>
    <w:p w:rsidR="000D28B8" w:rsidRPr="00B57B13" w:rsidRDefault="000D28B8" w:rsidP="00C7408A">
      <w:pPr>
        <w:spacing w:after="240"/>
        <w:rPr>
          <w:rFonts w:ascii="Arial" w:hAnsi="Arial" w:cs="Arial"/>
        </w:rPr>
      </w:pPr>
      <w:r w:rsidRPr="00B57B13">
        <w:rPr>
          <w:rFonts w:ascii="Arial" w:hAnsi="Arial" w:cs="Arial"/>
        </w:rPr>
        <w:t xml:space="preserve">The forage to concentrate ratio (F:C) is the ratio of forage to concentrate per litre production of milk. In the most recent Queensland Dairy Accounting Scheme (QDAS) report, some regions such as North Queensland were reported as having an F:C ratio of 57.9:42.1, while other regions such as the Darling Downs where more concentrate was used had a F:C ratio of 49.2:50.8 in 2015-2016 (DAF, 2016a, p.23). </w:t>
      </w:r>
    </w:p>
    <w:p w:rsidR="000D28B8" w:rsidRPr="005173A2" w:rsidRDefault="000D28B8" w:rsidP="005173A2">
      <w:pPr>
        <w:spacing w:after="240"/>
        <w:rPr>
          <w:rFonts w:ascii="Arial" w:hAnsi="Arial" w:cs="Arial"/>
          <w:b/>
          <w:sz w:val="24"/>
        </w:rPr>
      </w:pPr>
      <w:bookmarkStart w:id="390" w:name="_Toc484505447"/>
      <w:bookmarkStart w:id="391" w:name="_Toc486145296"/>
      <w:r w:rsidRPr="005173A2">
        <w:rPr>
          <w:rFonts w:ascii="Arial" w:hAnsi="Arial" w:cs="Arial"/>
          <w:b/>
          <w:sz w:val="24"/>
        </w:rPr>
        <w:t>Rationale</w:t>
      </w:r>
      <w:bookmarkEnd w:id="390"/>
      <w:bookmarkEnd w:id="391"/>
      <w:r w:rsidRPr="005173A2">
        <w:rPr>
          <w:rFonts w:ascii="Arial" w:hAnsi="Arial" w:cs="Arial"/>
          <w:b/>
          <w:sz w:val="24"/>
        </w:rPr>
        <w:t xml:space="preserve"> </w:t>
      </w:r>
    </w:p>
    <w:p w:rsidR="000D28B8" w:rsidRPr="00B57B13" w:rsidRDefault="000D28B8" w:rsidP="00C7408A">
      <w:pPr>
        <w:spacing w:after="240"/>
        <w:rPr>
          <w:rFonts w:ascii="Arial" w:hAnsi="Arial" w:cs="Arial"/>
        </w:rPr>
      </w:pPr>
      <w:r w:rsidRPr="00B57B13">
        <w:rPr>
          <w:rFonts w:ascii="Arial" w:hAnsi="Arial" w:cs="Arial"/>
        </w:rPr>
        <w:t>The project undertaken aimed to increase operating profit margins of sub-tropical dairy farms through developing new forms of sub-tropical forage and feeding regimes to lower overall feed costs.</w:t>
      </w:r>
    </w:p>
    <w:p w:rsidR="000D28B8" w:rsidRPr="00B57B13" w:rsidRDefault="000D28B8" w:rsidP="00C7408A">
      <w:pPr>
        <w:spacing w:after="240"/>
        <w:rPr>
          <w:rFonts w:ascii="Arial" w:hAnsi="Arial" w:cs="Arial"/>
          <w:color w:val="FF0000"/>
        </w:rPr>
      </w:pPr>
      <w:r w:rsidRPr="00B57B13">
        <w:rPr>
          <w:rFonts w:ascii="Arial" w:hAnsi="Arial" w:cs="Arial"/>
        </w:rPr>
        <w:t xml:space="preserve">The sub-tropical environment is suited to many types of pasture; there is potential to lower operating costs by using more home-grown feed in the cow’s diet. Also, there are issues with tropical forages over their temperate counterparts. The types of forage available in the sub-tropical regions have been shown to have a higher than recommended Neutral </w:t>
      </w:r>
      <w:r w:rsidRPr="00B57B13">
        <w:rPr>
          <w:rFonts w:ascii="Arial" w:hAnsi="Arial" w:cs="Arial"/>
          <w:lang w:eastAsia="en-AU"/>
        </w:rPr>
        <w:t>Detergent</w:t>
      </w:r>
      <w:r w:rsidRPr="00B57B13">
        <w:rPr>
          <w:rFonts w:ascii="Arial" w:hAnsi="Arial" w:cs="Arial"/>
        </w:rPr>
        <w:t xml:space="preserve"> Fibre (NDF) content leading to a less efficient conversion of the feed into milk (DAFF, 2013a, p.36).</w:t>
      </w:r>
      <w:r w:rsidRPr="00B57B13">
        <w:rPr>
          <w:rFonts w:ascii="Arial" w:hAnsi="Arial" w:cs="Arial"/>
          <w:b/>
        </w:rPr>
        <w:t xml:space="preserve"> </w:t>
      </w:r>
    </w:p>
    <w:p w:rsidR="000D28B8" w:rsidRPr="00B57B13" w:rsidRDefault="000D28B8" w:rsidP="00C7408A">
      <w:pPr>
        <w:spacing w:after="240"/>
        <w:rPr>
          <w:rFonts w:ascii="Arial" w:hAnsi="Arial" w:cs="Arial"/>
        </w:rPr>
      </w:pPr>
      <w:r w:rsidRPr="00B57B13">
        <w:rPr>
          <w:rFonts w:ascii="Arial" w:hAnsi="Arial" w:cs="Arial"/>
        </w:rPr>
        <w:t xml:space="preserve">Current industry milk production in Queensland is trending downwards as stated in a recent parliamentary public hearing (Queensland Parliament, 2017). It can be expected that farm gate prices over time could be reduced as processors consider the viability of shipping milk from the southern dairy regions. This could lead to more sub-tropical farmers exiting the industry if costs are not lowered. </w:t>
      </w:r>
    </w:p>
    <w:p w:rsidR="000D28B8" w:rsidRPr="00B57B13" w:rsidRDefault="000D28B8" w:rsidP="00C7408A">
      <w:pPr>
        <w:spacing w:after="240"/>
        <w:rPr>
          <w:rFonts w:ascii="Arial" w:hAnsi="Arial" w:cs="Arial"/>
        </w:rPr>
      </w:pPr>
      <w:r w:rsidRPr="00B57B13">
        <w:rPr>
          <w:rFonts w:ascii="Arial" w:hAnsi="Arial" w:cs="Arial"/>
        </w:rPr>
        <w:t xml:space="preserve">Developing high quality forage may significantly reduce cost pressures for farms. Farms with higher home-grown feed per litre produced have been identified as having a lower overall cost per litre of milk. As such, using such feeding systems has been identified as a cost saving measure potentially reducing costs of inputs. The potential for increasing use of sub-tropical forage to lower production costs and increase profitability is the rationale for the project. </w:t>
      </w:r>
    </w:p>
    <w:p w:rsidR="000D28B8" w:rsidRPr="00B57B13" w:rsidRDefault="000D28B8" w:rsidP="00C7408A">
      <w:pPr>
        <w:spacing w:after="240"/>
        <w:rPr>
          <w:rFonts w:ascii="Arial" w:hAnsi="Arial" w:cs="Arial"/>
        </w:rPr>
      </w:pPr>
      <w:r w:rsidRPr="00B57B13">
        <w:rPr>
          <w:rFonts w:ascii="Arial" w:hAnsi="Arial" w:cs="Arial"/>
        </w:rPr>
        <w:t>The C4 Milk project was undertaken as there was an opportunity for the further development of C4 forages within sub-tropical feeding systems. C4 plant’s growing conditions are ideally suited to the sub-tropical climate that applies to the northern dairy industry. Compared to C3 plants, C4 plants are better able to survive the hotter/humid weather, and utilise increased atmospheric CO</w:t>
      </w:r>
      <w:r w:rsidRPr="00B57B13">
        <w:rPr>
          <w:rFonts w:ascii="Arial" w:hAnsi="Arial" w:cs="Arial"/>
          <w:vertAlign w:val="subscript"/>
        </w:rPr>
        <w:t>2</w:t>
      </w:r>
      <w:r w:rsidRPr="00B57B13">
        <w:rPr>
          <w:rFonts w:ascii="Arial" w:hAnsi="Arial" w:cs="Arial"/>
        </w:rPr>
        <w:t xml:space="preserve"> in comparison to C3 plants (Edwards et al 2010). While the C4 forages are suited to the sub-tropical summer, there are problems growing C4 plants in the cooler autumn months. C4 forages also have a wide variability of dietary quality (NDF and Indigestible Neutral Detergent Fibre (iNDF) content) due to the need for the plant to protect itself from harsher weather compared to C3 types (Harper and McNeill, 2015). </w:t>
      </w:r>
    </w:p>
    <w:p w:rsidR="000D28B8" w:rsidRPr="00B57B13" w:rsidRDefault="000D28B8" w:rsidP="00C7408A">
      <w:pPr>
        <w:spacing w:after="240"/>
        <w:rPr>
          <w:rFonts w:ascii="Arial" w:hAnsi="Arial" w:cs="Arial"/>
        </w:rPr>
      </w:pPr>
      <w:r w:rsidRPr="00B57B13">
        <w:rPr>
          <w:rFonts w:ascii="Arial" w:hAnsi="Arial" w:cs="Arial"/>
        </w:rPr>
        <w:t>It is recommended that Dry Matter (DM) intake per day should be 3-4% of the cow’s body weight for maximum milk production (DAFF, 2013a). To ensure a healthy rumen function, NDF should be 28%-34% of DM intake. If NDF is too high or too low, DM intake, crucial for milk fat content and other nutrients that are required for milk production, can be lowered (DAFF, 2013b). There was therefore a concern over NDF and iNDF quantities in forage diets. Along with starch, crude protein, and other nutritional requirements that are required for milk production, there is a need for concentrates to be used in diets to ensure peak milk production. As the costs of concentrates are high, there is an incentive to change from concentrates to more forage if nutritional requirements are still met. Promoting already existing forage types and developing improved and new forage types to suit sub-tropical conditions can both help the implementation of this type of improved feeding regime. As a previous Department of Agriculture, Fisheries, and Forestry (DAFF) project “Developing flexible tropical dairy feeding systems to meet market and climate driven demands” (Sub Tropical Dairy, 2010, p.30) identified, there are numerous tropical forages available to be used as feed sources without compromising nutritional quality. These have the potential to lower feed costs while maintaining or improving milk yield, and increasing the MOFC.</w:t>
      </w:r>
    </w:p>
    <w:p w:rsidR="00C7408A" w:rsidRPr="00C7408A" w:rsidRDefault="000D28B8" w:rsidP="00C7408A">
      <w:pPr>
        <w:spacing w:after="240"/>
        <w:rPr>
          <w:rFonts w:ascii="Arial" w:hAnsi="Arial" w:cs="Arial"/>
        </w:rPr>
      </w:pPr>
      <w:r w:rsidRPr="00B57B13">
        <w:rPr>
          <w:rFonts w:ascii="Arial" w:hAnsi="Arial" w:cs="Arial"/>
        </w:rPr>
        <w:t xml:space="preserve">Different conditions for the use of pasture exist across the different sub-tropical regions. Certain pasture grown in one region or farm, will not have the same nutritional content if grown in another location. With around 25 different types of sub-tropical forages identified as being suitable to be produced, there are numerous strategies that farmers can adopt. As the sub-tropical industry requires constant levels of milk production year-round, development of year-round forage production was a critical requirement of the project. However, there was still an issue of high concentrate use with the autumn feed gap, when high quality pasture is difficult to produce. If forage can be stored and then utilised later, there was a perceived </w:t>
      </w:r>
      <w:r w:rsidRPr="00C7408A">
        <w:rPr>
          <w:rFonts w:ascii="Arial" w:hAnsi="Arial" w:cs="Arial"/>
        </w:rPr>
        <w:t xml:space="preserve">opportunity to reduce concentrate use. </w:t>
      </w:r>
    </w:p>
    <w:p w:rsidR="00C7408A" w:rsidRDefault="000D28B8" w:rsidP="00C7408A">
      <w:pPr>
        <w:rPr>
          <w:rFonts w:ascii="Arial" w:hAnsi="Arial" w:cs="Arial"/>
          <w:color w:val="FF0000"/>
        </w:rPr>
      </w:pPr>
      <w:r w:rsidRPr="00C7408A">
        <w:rPr>
          <w:rFonts w:ascii="Arial" w:hAnsi="Arial" w:cs="Arial"/>
        </w:rPr>
        <w:t xml:space="preserve">The rationale for the extension component of the project was to increase adoption of sub-tropical forages into dairy herd diets. While face to face consultation was the preferred option by farmers, this has not always been feasible with the sub-tropical industry being spread over a vast geographical area. This geographical spread of the industry had been identified earlier as a constraint to use of workshops (ABARES, 2014, p.24). The delivery methods of new research findings and technology therefore were identified as critical to their implementation. Utilising numerous communication channels was seen to help aid the extension of research and development findings. Through on-farm demonstrations, discussion groups, and internet based learning, multiple extension methods were identified as being required to provide information to as many farmers as possible. </w:t>
      </w:r>
      <w:r w:rsidRPr="00C7408A">
        <w:rPr>
          <w:rFonts w:ascii="Arial" w:hAnsi="Arial" w:cs="Arial"/>
          <w:color w:val="FF0000"/>
        </w:rPr>
        <w:t xml:space="preserve"> </w:t>
      </w:r>
      <w:bookmarkStart w:id="392" w:name="_Toc484505448"/>
      <w:bookmarkStart w:id="393" w:name="_Toc486145297"/>
      <w:bookmarkStart w:id="394" w:name="_Toc486145369"/>
      <w:bookmarkStart w:id="395" w:name="_Toc486146285"/>
    </w:p>
    <w:p w:rsidR="00C7408A" w:rsidRDefault="00C7408A">
      <w:pPr>
        <w:spacing w:line="276" w:lineRule="auto"/>
        <w:rPr>
          <w:rFonts w:ascii="Arial" w:hAnsi="Arial" w:cs="Arial"/>
          <w:color w:val="FF0000"/>
        </w:rPr>
      </w:pPr>
    </w:p>
    <w:p w:rsidR="00F712CF" w:rsidRDefault="00F712CF">
      <w:pPr>
        <w:spacing w:line="276" w:lineRule="auto"/>
        <w:rPr>
          <w:rFonts w:ascii="Arial" w:hAnsi="Arial" w:cs="Arial"/>
          <w:color w:val="FF0000"/>
        </w:rPr>
      </w:pPr>
    </w:p>
    <w:p w:rsidR="000D28B8" w:rsidRPr="00C7408A" w:rsidRDefault="000D28B8" w:rsidP="00C7408A">
      <w:pPr>
        <w:spacing w:after="240"/>
        <w:rPr>
          <w:rFonts w:ascii="Arial" w:hAnsi="Arial" w:cs="Arial"/>
          <w:b/>
          <w:sz w:val="40"/>
          <w:szCs w:val="40"/>
        </w:rPr>
      </w:pPr>
      <w:r w:rsidRPr="00C7408A">
        <w:rPr>
          <w:rFonts w:ascii="Arial" w:hAnsi="Arial" w:cs="Arial"/>
          <w:b/>
          <w:sz w:val="40"/>
          <w:szCs w:val="40"/>
        </w:rPr>
        <w:t>3. Project Details</w:t>
      </w:r>
      <w:bookmarkEnd w:id="392"/>
      <w:bookmarkEnd w:id="393"/>
      <w:bookmarkEnd w:id="394"/>
      <w:bookmarkEnd w:id="395"/>
      <w:r w:rsidRPr="00C7408A">
        <w:rPr>
          <w:rFonts w:ascii="Arial" w:hAnsi="Arial" w:cs="Arial"/>
          <w:b/>
          <w:sz w:val="40"/>
          <w:szCs w:val="40"/>
        </w:rPr>
        <w:t xml:space="preserve">  </w:t>
      </w:r>
    </w:p>
    <w:p w:rsidR="000D28B8" w:rsidRDefault="000D28B8" w:rsidP="005173A2">
      <w:pPr>
        <w:spacing w:after="240"/>
        <w:rPr>
          <w:rFonts w:ascii="Arial" w:hAnsi="Arial" w:cs="Arial"/>
          <w:b/>
          <w:sz w:val="24"/>
        </w:rPr>
      </w:pPr>
      <w:bookmarkStart w:id="396" w:name="_Toc484505449"/>
      <w:bookmarkStart w:id="397" w:name="_Toc486145298"/>
      <w:r w:rsidRPr="005173A2">
        <w:rPr>
          <w:rFonts w:ascii="Arial" w:hAnsi="Arial" w:cs="Arial"/>
          <w:b/>
          <w:sz w:val="24"/>
        </w:rPr>
        <w:t>Summary</w:t>
      </w:r>
      <w:bookmarkEnd w:id="396"/>
      <w:bookmarkEnd w:id="397"/>
    </w:p>
    <w:p w:rsidR="00034D7A" w:rsidRDefault="00034D7A" w:rsidP="00034D7A">
      <w:pPr>
        <w:pBdr>
          <w:top w:val="single" w:sz="4" w:space="1" w:color="auto"/>
          <w:left w:val="single" w:sz="4" w:space="4" w:color="auto"/>
          <w:bottom w:val="single" w:sz="4" w:space="1" w:color="auto"/>
          <w:right w:val="single" w:sz="4" w:space="4" w:color="auto"/>
        </w:pBdr>
        <w:spacing w:after="120"/>
        <w:rPr>
          <w:rFonts w:ascii="Arial" w:hAnsi="Arial" w:cs="Arial"/>
          <w:szCs w:val="22"/>
        </w:rPr>
      </w:pPr>
      <w:r w:rsidRPr="00B57B13">
        <w:rPr>
          <w:rFonts w:ascii="Arial" w:hAnsi="Arial" w:cs="Arial"/>
          <w:szCs w:val="22"/>
        </w:rPr>
        <w:t>Title:</w:t>
      </w:r>
      <w:r>
        <w:rPr>
          <w:rFonts w:ascii="Arial" w:hAnsi="Arial" w:cs="Arial"/>
          <w:szCs w:val="22"/>
        </w:rPr>
        <w:t xml:space="preserve"> </w:t>
      </w:r>
      <w:r w:rsidRPr="00B57B13">
        <w:rPr>
          <w:rFonts w:ascii="Arial" w:hAnsi="Arial" w:cs="Arial"/>
          <w:szCs w:val="22"/>
        </w:rPr>
        <w:t>C4Milk: Developing and managing a profitable high milk from forage system in the sub-tropics.</w:t>
      </w:r>
    </w:p>
    <w:p w:rsidR="00034D7A" w:rsidRDefault="00034D7A" w:rsidP="00034D7A">
      <w:pPr>
        <w:pBdr>
          <w:top w:val="single" w:sz="4" w:space="1" w:color="auto"/>
          <w:left w:val="single" w:sz="4" w:space="4" w:color="auto"/>
          <w:bottom w:val="single" w:sz="4" w:space="1" w:color="auto"/>
          <w:right w:val="single" w:sz="4" w:space="4" w:color="auto"/>
        </w:pBdr>
        <w:spacing w:after="120"/>
        <w:rPr>
          <w:rFonts w:ascii="Arial" w:hAnsi="Arial" w:cs="Arial"/>
          <w:szCs w:val="22"/>
        </w:rPr>
      </w:pPr>
      <w:r w:rsidRPr="00B57B13">
        <w:rPr>
          <w:rFonts w:ascii="Arial" w:hAnsi="Arial" w:cs="Arial"/>
          <w:szCs w:val="22"/>
        </w:rPr>
        <w:t>Research Organisation:</w:t>
      </w:r>
      <w:r>
        <w:rPr>
          <w:rFonts w:ascii="Arial" w:hAnsi="Arial" w:cs="Arial"/>
          <w:szCs w:val="22"/>
        </w:rPr>
        <w:t xml:space="preserve"> </w:t>
      </w:r>
      <w:r w:rsidRPr="00B57B13">
        <w:rPr>
          <w:rFonts w:ascii="Arial" w:hAnsi="Arial" w:cs="Arial"/>
          <w:szCs w:val="22"/>
        </w:rPr>
        <w:t>Department of Agriculture and Fisheries, Queensland</w:t>
      </w:r>
    </w:p>
    <w:p w:rsidR="00034D7A" w:rsidRDefault="00034D7A" w:rsidP="00034D7A">
      <w:pPr>
        <w:pBdr>
          <w:top w:val="single" w:sz="4" w:space="1" w:color="auto"/>
          <w:left w:val="single" w:sz="4" w:space="4" w:color="auto"/>
          <w:bottom w:val="single" w:sz="4" w:space="1" w:color="auto"/>
          <w:right w:val="single" w:sz="4" w:space="4" w:color="auto"/>
        </w:pBdr>
        <w:spacing w:after="120"/>
        <w:rPr>
          <w:rFonts w:ascii="Arial" w:hAnsi="Arial" w:cs="Arial"/>
          <w:szCs w:val="22"/>
        </w:rPr>
      </w:pPr>
      <w:r w:rsidRPr="00B57B13">
        <w:rPr>
          <w:rFonts w:ascii="Arial" w:hAnsi="Arial" w:cs="Arial"/>
          <w:szCs w:val="22"/>
        </w:rPr>
        <w:t>Principal Investigator:</w:t>
      </w:r>
      <w:r>
        <w:rPr>
          <w:rFonts w:ascii="Arial" w:hAnsi="Arial" w:cs="Arial"/>
          <w:szCs w:val="22"/>
        </w:rPr>
        <w:t xml:space="preserve"> </w:t>
      </w:r>
      <w:r w:rsidRPr="00B57B13">
        <w:rPr>
          <w:rFonts w:ascii="Arial" w:hAnsi="Arial" w:cs="Arial"/>
          <w:szCs w:val="22"/>
        </w:rPr>
        <w:t>David Barber</w:t>
      </w:r>
    </w:p>
    <w:p w:rsidR="00034D7A" w:rsidRPr="00034D7A" w:rsidRDefault="00034D7A" w:rsidP="00034D7A">
      <w:pPr>
        <w:pBdr>
          <w:top w:val="single" w:sz="4" w:space="1" w:color="auto"/>
          <w:left w:val="single" w:sz="4" w:space="4" w:color="auto"/>
          <w:bottom w:val="single" w:sz="4" w:space="1" w:color="auto"/>
          <w:right w:val="single" w:sz="4" w:space="4" w:color="auto"/>
        </w:pBdr>
        <w:rPr>
          <w:rFonts w:ascii="Arial" w:hAnsi="Arial" w:cs="Arial"/>
        </w:rPr>
      </w:pPr>
      <w:r w:rsidRPr="00B57B13">
        <w:rPr>
          <w:rFonts w:ascii="Arial" w:hAnsi="Arial" w:cs="Arial"/>
          <w:szCs w:val="22"/>
        </w:rPr>
        <w:t>Period:</w:t>
      </w:r>
      <w:r>
        <w:rPr>
          <w:rFonts w:ascii="Arial" w:hAnsi="Arial" w:cs="Arial"/>
          <w:szCs w:val="22"/>
        </w:rPr>
        <w:t xml:space="preserve"> </w:t>
      </w:r>
      <w:r w:rsidRPr="00B57B13">
        <w:rPr>
          <w:rFonts w:ascii="Arial" w:hAnsi="Arial" w:cs="Arial"/>
          <w:szCs w:val="22"/>
        </w:rPr>
        <w:t>1 July 2014 to 30 June 2017</w:t>
      </w:r>
    </w:p>
    <w:p w:rsidR="000D28B8" w:rsidRPr="00B57B13" w:rsidRDefault="000D28B8" w:rsidP="00034D7A">
      <w:pPr>
        <w:tabs>
          <w:tab w:val="left" w:pos="426"/>
        </w:tabs>
        <w:rPr>
          <w:rFonts w:ascii="Arial" w:hAnsi="Arial" w:cs="Arial"/>
          <w:color w:val="FF0000"/>
        </w:rPr>
      </w:pPr>
    </w:p>
    <w:p w:rsidR="000D28B8" w:rsidRPr="005173A2" w:rsidRDefault="000D28B8" w:rsidP="005173A2">
      <w:pPr>
        <w:spacing w:after="240"/>
        <w:rPr>
          <w:rFonts w:ascii="Arial" w:hAnsi="Arial" w:cs="Arial"/>
          <w:b/>
          <w:sz w:val="24"/>
        </w:rPr>
      </w:pPr>
      <w:bookmarkStart w:id="398" w:name="_Toc484505450"/>
      <w:bookmarkStart w:id="399" w:name="_Toc486145299"/>
      <w:r w:rsidRPr="005173A2">
        <w:rPr>
          <w:rFonts w:ascii="Arial" w:hAnsi="Arial" w:cs="Arial"/>
          <w:b/>
          <w:sz w:val="24"/>
        </w:rPr>
        <w:t>Objectives</w:t>
      </w:r>
      <w:bookmarkEnd w:id="398"/>
      <w:bookmarkEnd w:id="399"/>
    </w:p>
    <w:p w:rsidR="000D28B8" w:rsidRPr="00B57B13" w:rsidRDefault="000D28B8" w:rsidP="00B35480">
      <w:pPr>
        <w:rPr>
          <w:rFonts w:ascii="Arial" w:hAnsi="Arial" w:cs="Arial"/>
        </w:rPr>
      </w:pPr>
      <w:r w:rsidRPr="00B57B13">
        <w:rPr>
          <w:rFonts w:ascii="Arial" w:hAnsi="Arial" w:cs="Arial"/>
        </w:rPr>
        <w:t>The objectives of the project were:</w:t>
      </w:r>
    </w:p>
    <w:p w:rsidR="000D28B8" w:rsidRPr="00A8335A" w:rsidRDefault="000D28B8" w:rsidP="000D5A34">
      <w:pPr>
        <w:pStyle w:val="ListParagraph"/>
        <w:numPr>
          <w:ilvl w:val="0"/>
          <w:numId w:val="66"/>
        </w:numPr>
        <w:rPr>
          <w:rFonts w:ascii="Arial" w:hAnsi="Arial" w:cs="Arial"/>
        </w:rPr>
      </w:pPr>
      <w:r w:rsidRPr="00A8335A">
        <w:rPr>
          <w:rFonts w:ascii="Arial" w:hAnsi="Arial" w:cs="Arial"/>
        </w:rPr>
        <w:t>Increase on-farm trialling and adoption of forage and nutrition management strategies, technologies and systems through development activities</w:t>
      </w:r>
    </w:p>
    <w:p w:rsidR="000D28B8" w:rsidRPr="00A8335A" w:rsidRDefault="000D28B8" w:rsidP="000D5A34">
      <w:pPr>
        <w:pStyle w:val="ListParagraph"/>
        <w:numPr>
          <w:ilvl w:val="0"/>
          <w:numId w:val="66"/>
        </w:numPr>
        <w:rPr>
          <w:rFonts w:ascii="Arial" w:hAnsi="Arial" w:cs="Arial"/>
        </w:rPr>
      </w:pPr>
      <w:r w:rsidRPr="00A8335A">
        <w:rPr>
          <w:rFonts w:ascii="Arial" w:hAnsi="Arial" w:cs="Arial"/>
        </w:rPr>
        <w:t>Develop forage and nutrition management strategies that increase the quality of tropical forages and diets to increase milk from forage</w:t>
      </w:r>
    </w:p>
    <w:p w:rsidR="000D28B8" w:rsidRPr="00A8335A" w:rsidRDefault="000D28B8" w:rsidP="000D5A34">
      <w:pPr>
        <w:pStyle w:val="ListParagraph"/>
        <w:numPr>
          <w:ilvl w:val="0"/>
          <w:numId w:val="66"/>
        </w:numPr>
        <w:spacing w:after="240"/>
        <w:rPr>
          <w:rFonts w:ascii="Arial" w:hAnsi="Arial" w:cs="Arial"/>
        </w:rPr>
      </w:pPr>
      <w:r w:rsidRPr="00A8335A">
        <w:rPr>
          <w:rFonts w:ascii="Arial" w:hAnsi="Arial" w:cs="Arial"/>
        </w:rPr>
        <w:t xml:space="preserve">Engage with sub-tropical dairy farmers and service providers through the use of e-Extension technologies in conjunction with existing extension activities to demonstrate and deliver forage and nutrition management strategies </w:t>
      </w:r>
    </w:p>
    <w:p w:rsidR="000D28B8" w:rsidRPr="005173A2" w:rsidRDefault="000D28B8" w:rsidP="005173A2">
      <w:pPr>
        <w:spacing w:after="240"/>
        <w:rPr>
          <w:rFonts w:ascii="Arial" w:hAnsi="Arial" w:cs="Arial"/>
          <w:b/>
          <w:sz w:val="24"/>
        </w:rPr>
      </w:pPr>
      <w:bookmarkStart w:id="400" w:name="_Toc484505451"/>
      <w:bookmarkStart w:id="401" w:name="_Toc486145300"/>
      <w:r w:rsidRPr="005173A2">
        <w:rPr>
          <w:rFonts w:ascii="Arial" w:hAnsi="Arial" w:cs="Arial"/>
          <w:b/>
          <w:sz w:val="24"/>
        </w:rPr>
        <w:t>Logical Framework</w:t>
      </w:r>
      <w:bookmarkEnd w:id="400"/>
      <w:bookmarkEnd w:id="401"/>
      <w:r w:rsidRPr="005173A2">
        <w:rPr>
          <w:rFonts w:ascii="Arial" w:hAnsi="Arial" w:cs="Arial"/>
          <w:b/>
          <w:sz w:val="24"/>
        </w:rPr>
        <w:t xml:space="preserve"> </w:t>
      </w:r>
    </w:p>
    <w:p w:rsidR="000D28B8" w:rsidRPr="00B57B13" w:rsidRDefault="000D28B8" w:rsidP="00A8335A">
      <w:pPr>
        <w:spacing w:after="240"/>
        <w:rPr>
          <w:rFonts w:ascii="Arial" w:hAnsi="Arial" w:cs="Arial"/>
        </w:rPr>
      </w:pPr>
      <w:r w:rsidRPr="00B57B13">
        <w:rPr>
          <w:rFonts w:ascii="Arial" w:hAnsi="Arial" w:cs="Arial"/>
        </w:rPr>
        <w:t xml:space="preserve">Table 1 provides a description of the project in a logical framework developed for the project. </w:t>
      </w:r>
    </w:p>
    <w:p w:rsidR="000D28B8" w:rsidRPr="00034D7A" w:rsidRDefault="000D28B8" w:rsidP="00A8335A">
      <w:pPr>
        <w:pStyle w:val="Caption"/>
        <w:keepNext/>
        <w:spacing w:after="240"/>
        <w:jc w:val="center"/>
        <w:rPr>
          <w:rFonts w:ascii="Arial" w:hAnsi="Arial"/>
          <w:b w:val="0"/>
          <w:sz w:val="22"/>
          <w:szCs w:val="22"/>
        </w:rPr>
      </w:pPr>
      <w:bookmarkStart w:id="402" w:name="_Toc484505458"/>
      <w:r w:rsidRPr="00034D7A">
        <w:rPr>
          <w:rFonts w:ascii="Arial" w:hAnsi="Arial"/>
          <w:b w:val="0"/>
          <w:sz w:val="22"/>
          <w:szCs w:val="22"/>
        </w:rPr>
        <w:t xml:space="preserve">Table </w:t>
      </w:r>
      <w:r w:rsidR="00913E1D" w:rsidRPr="00034D7A">
        <w:rPr>
          <w:rFonts w:ascii="Arial" w:hAnsi="Arial"/>
          <w:b w:val="0"/>
          <w:sz w:val="22"/>
          <w:szCs w:val="22"/>
        </w:rPr>
        <w:t>1</w:t>
      </w:r>
      <w:r w:rsidRPr="00034D7A">
        <w:rPr>
          <w:rFonts w:ascii="Arial" w:hAnsi="Arial"/>
          <w:b w:val="0"/>
          <w:sz w:val="22"/>
          <w:szCs w:val="22"/>
        </w:rPr>
        <w:t>: Logical Framework</w:t>
      </w:r>
      <w:bookmarkEnd w:id="402"/>
    </w:p>
    <w:tbl>
      <w:tblPr>
        <w:tblStyle w:val="TableGrid"/>
        <w:tblW w:w="9129" w:type="dxa"/>
        <w:jc w:val="center"/>
        <w:tblLook w:val="04A0" w:firstRow="1" w:lastRow="0" w:firstColumn="1" w:lastColumn="0" w:noHBand="0" w:noVBand="1"/>
      </w:tblPr>
      <w:tblGrid>
        <w:gridCol w:w="1811"/>
        <w:gridCol w:w="7318"/>
      </w:tblGrid>
      <w:tr w:rsidR="000D28B8" w:rsidRPr="00B57B13" w:rsidTr="00034D7A">
        <w:trPr>
          <w:trHeight w:val="283"/>
          <w:jc w:val="center"/>
        </w:trPr>
        <w:tc>
          <w:tcPr>
            <w:tcW w:w="1811" w:type="dxa"/>
          </w:tcPr>
          <w:p w:rsidR="000D28B8" w:rsidRPr="00B57B13" w:rsidRDefault="000D28B8" w:rsidP="00B35480">
            <w:pPr>
              <w:rPr>
                <w:rFonts w:ascii="Arial" w:hAnsi="Arial" w:cs="Arial"/>
                <w:sz w:val="22"/>
                <w:szCs w:val="22"/>
              </w:rPr>
            </w:pPr>
            <w:bookmarkStart w:id="403" w:name="_Hlk477954387"/>
            <w:r w:rsidRPr="00B57B13">
              <w:rPr>
                <w:rFonts w:ascii="Arial" w:hAnsi="Arial" w:cs="Arial"/>
                <w:sz w:val="22"/>
                <w:szCs w:val="22"/>
              </w:rPr>
              <w:t>Activities and Outputs</w:t>
            </w:r>
          </w:p>
        </w:tc>
        <w:tc>
          <w:tcPr>
            <w:tcW w:w="7318" w:type="dxa"/>
          </w:tcPr>
          <w:p w:rsidR="000D28B8" w:rsidRPr="00B57B13" w:rsidRDefault="000D28B8" w:rsidP="000D5A34">
            <w:pPr>
              <w:pStyle w:val="ListParagraph"/>
              <w:numPr>
                <w:ilvl w:val="0"/>
                <w:numId w:val="34"/>
              </w:numPr>
              <w:suppressAutoHyphens/>
              <w:ind w:left="346"/>
              <w:contextualSpacing w:val="0"/>
              <w:rPr>
                <w:rFonts w:ascii="Arial" w:hAnsi="Arial" w:cs="Arial"/>
                <w:sz w:val="22"/>
                <w:szCs w:val="22"/>
                <w:lang w:val="en-US"/>
              </w:rPr>
            </w:pPr>
            <w:r w:rsidRPr="00B57B13">
              <w:rPr>
                <w:rFonts w:ascii="Arial" w:hAnsi="Arial" w:cs="Arial"/>
                <w:sz w:val="22"/>
                <w:szCs w:val="22"/>
              </w:rPr>
              <w:t xml:space="preserve">The project conducted research into kikuyu grasses. The project screened 107 plants from two different collections of kikuyu (Redlands Research Station and Camden, NSW) for </w:t>
            </w:r>
            <w:r w:rsidRPr="00B57B13">
              <w:rPr>
                <w:rFonts w:ascii="Arial" w:hAnsi="Arial" w:cs="Arial"/>
                <w:sz w:val="22"/>
                <w:szCs w:val="22"/>
                <w:lang w:val="en-US"/>
              </w:rPr>
              <w:t xml:space="preserve">kikuyu yellows resistance, digestibility, and cold tolerance to identify strains that could be suited to the sub-tropical dairy industry.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Results from the kikuyu grass assessment of types were inconclusive. There were varying degrees of success for the different desired attributes but desirable traits for some ecotypes did not positively correlate with other desirable traits. A new research plan for further research was recommended to be developed due to the inconclusive results.</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Research was undertaken to understand the iNDF and DM content of lucerne and forage sorghum. The aims of the lucerne research were to see at what stage of maturity the plant affected iNDF content and if lignin content could predict the iNDF content. Using the grazing height of lucerne in a high forage development trial, the iNDF content was measured by cutting an ungrazed patch of lucerne at the same height that the cows grazed. Results showed as the plant matures, the iNDF content of the stems increased, while the iNDF content of the leaves stayed roughly constant. This was found to be critical for </w:t>
            </w:r>
            <w:bookmarkStart w:id="404" w:name="_Hlk483895385"/>
            <w:r w:rsidRPr="00B57B13">
              <w:rPr>
                <w:rFonts w:ascii="Arial" w:hAnsi="Arial" w:cs="Arial"/>
                <w:sz w:val="22"/>
                <w:szCs w:val="22"/>
              </w:rPr>
              <w:t>managing the DM digestibility of lucerne</w:t>
            </w:r>
            <w:bookmarkEnd w:id="404"/>
            <w:r w:rsidRPr="00B57B13">
              <w:rPr>
                <w:rFonts w:ascii="Arial" w:hAnsi="Arial" w:cs="Arial"/>
                <w:sz w:val="22"/>
                <w:szCs w:val="22"/>
              </w:rPr>
              <w:t xml:space="preserve">, as higher iNDF decreased DM digestibility.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Experiments with sorghum were aimed at determining optimal practices for growing and managing sorghum including stage of growth for grazing and cutting, variety, planting rate, nitrogen application rate and water application rate to lower iNDF content. Samples were tested at UQ Gatton for DM yield, iNDF, NDF, and crude protein content. A full analysis took place at DairyOne Forage Testing Laboratory (DOFTL), Ithaca, USA.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An additional experiment into alternative tropical feeds assessed their energy and protein characteristics. Two types of feed were tested, class one being feed that was already available to grow on farm. Class two included feed types that had the potential to be used but were not commercially available. The first stage of the analysis checked both feed classes for NDF, protein and starch content by sending samples to DOFTL. The second stage ascertained impacts on DM of both feed classes using In Vitro True Digestibility</w:t>
            </w:r>
            <w:r w:rsidRPr="00B57B13" w:rsidDel="003201D3">
              <w:rPr>
                <w:rFonts w:ascii="Arial" w:hAnsi="Arial" w:cs="Arial"/>
                <w:sz w:val="22"/>
                <w:szCs w:val="22"/>
              </w:rPr>
              <w:t xml:space="preserve"> </w:t>
            </w:r>
            <w:r w:rsidRPr="00B57B13">
              <w:rPr>
                <w:rFonts w:ascii="Arial" w:hAnsi="Arial" w:cs="Arial"/>
                <w:sz w:val="22"/>
                <w:szCs w:val="22"/>
              </w:rPr>
              <w:t>measured at the University of Queensland (UQ), Gatton.</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Another experiment tested white sorghum and corn silage both of which were high in starch to see if there was a cost reduction over purchased grain, while maintaining nutritional quality. The findings showed that white sorghum may be used to replace grain as it has a lower cost per kg of starch for both silage and headlage at 29 and 30 cents per kg(c/kg) compared to 50 c/kg for purchased grain.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Twelve different corn varieties were tested with 4 different planting densities. The results showed that planting at 80,000 seeds per hectare was best practice to obtain the highest DM yield per hectare, as the starch content did not vary significantly between planting rates.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From April 2015, brigadier and suga fodder beet were grown to see if they could be used for grazing and silage production respectively in the sub-tropical region. Both fodder beet varieties were shown to have high sugar levels and lower the cost per kg of dry matter and energy.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An experiment at Pimpimbudgee and Goomeri with irrigated and dryland forage types was undertaken to assess yields, DM content, and other nutritional value from forages for silage use. For both dryland and irrigated crops, there was found to be a trade-off between producing high quality feed and high yielding feed. The conclusion reached was that it was for the individual farmer to decide which would be the best crops to grow depending on their feed needs in terms of quality and quantity.</w:t>
            </w:r>
          </w:p>
          <w:p w:rsidR="000D28B8" w:rsidRPr="00B57B13" w:rsidRDefault="000D28B8" w:rsidP="000D5A34">
            <w:pPr>
              <w:pStyle w:val="ListParagraph"/>
              <w:numPr>
                <w:ilvl w:val="0"/>
                <w:numId w:val="34"/>
              </w:numPr>
              <w:suppressAutoHyphens/>
              <w:ind w:left="346"/>
              <w:contextualSpacing w:val="0"/>
              <w:rPr>
                <w:rFonts w:ascii="Arial" w:hAnsi="Arial" w:cs="Arial"/>
                <w:i/>
                <w:color w:val="FF0000"/>
                <w:sz w:val="22"/>
                <w:szCs w:val="22"/>
              </w:rPr>
            </w:pPr>
            <w:r w:rsidRPr="00B57B13">
              <w:rPr>
                <w:rFonts w:ascii="Arial" w:hAnsi="Arial" w:cs="Arial"/>
                <w:sz w:val="22"/>
                <w:szCs w:val="22"/>
              </w:rPr>
              <w:t>A High Milk from Forage Trial (HMFT) investigated different diets to see if the diets could sustain similar milk yields to current diets in industry and have a higher MOFC compared with the average MOFC in the industry</w:t>
            </w:r>
            <w:r w:rsidRPr="00B57B13">
              <w:rPr>
                <w:rFonts w:ascii="Arial" w:hAnsi="Arial" w:cs="Arial"/>
                <w:b/>
                <w:sz w:val="22"/>
                <w:szCs w:val="22"/>
              </w:rPr>
              <w:t xml:space="preserve">. </w:t>
            </w:r>
            <w:r w:rsidRPr="00B57B13">
              <w:rPr>
                <w:rFonts w:ascii="Arial" w:hAnsi="Arial" w:cs="Arial"/>
                <w:sz w:val="22"/>
                <w:szCs w:val="22"/>
              </w:rPr>
              <w:t xml:space="preserve">Research and development at the UQ Gatton campus aimed to develop a year-round feeding strategy with high forage diets. Partial Mixed Ration (PMR) and Total Mixed Ration (TMR) diet systems were identified to be applicable across the sub-tropical dairy regions. This accounted for both irrigated and dryland dairy farms with different forages selected to match the conditions of those regions.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Management of pasture was identified as crucial to ensure adequate utilisation of pasture and to ensure cows did not eat lower quality stems. It was found that cows consistently ate the same proportion of leaf on offer for kikuyu, lablab, and lucerne, irrespective of the size of the grazing area. The conclusion was that to increase DM consumed from pasture, grazing area should be increased.  After the research into the nutritional quality of kikuyu, lucerne and lablab, further research was recommended into optimal yield and forage use.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Results from the high milk from forage trials showed MOFC had a range between 36.6 cents per litre (c/l) and 40.7 c/l (assuming milk income at 60 c/l) with the</w:t>
            </w:r>
            <w:r w:rsidRPr="00B57B13">
              <w:rPr>
                <w:rFonts w:ascii="Arial" w:hAnsi="Arial" w:cs="Arial"/>
                <w:i/>
                <w:sz w:val="22"/>
                <w:szCs w:val="22"/>
              </w:rPr>
              <w:t xml:space="preserve"> </w:t>
            </w:r>
            <w:r w:rsidRPr="00B57B13">
              <w:rPr>
                <w:rFonts w:ascii="Arial" w:hAnsi="Arial" w:cs="Arial"/>
                <w:sz w:val="22"/>
                <w:szCs w:val="22"/>
              </w:rPr>
              <w:t>F:C ratio for all 6 diets having a range of 79:21 to 92:08. Diet costs were lower than industry norms. MOFC was higher than the current industry average of 30.2 c/l (31.1 c/l when adjusted for same milk receipts) (QDAS, 2016).</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A continuation of the HMFT is taking place to demonstrate to farmers the further commercial implications.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At the request of farmers, the lucerne research was extended within the current project. From the findings of the HMFT and the previous lucerne research, cows were tested at various levels of lucerne pasture intake to see the trade-off between increased consumption of pasture allocated and milk yields per DM intake. A response curve from increased pasture consumed, DM intake, and milk yields is being developed to represent this trade off.</w:t>
            </w:r>
            <w:r w:rsidRPr="00B57B13">
              <w:rPr>
                <w:rFonts w:ascii="Arial" w:hAnsi="Arial" w:cs="Arial"/>
                <w:color w:val="FF0000"/>
                <w:sz w:val="22"/>
                <w:szCs w:val="22"/>
              </w:rPr>
              <w:t xml:space="preserve">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Throughout the C4 Milk project numerous extension activities were held at both UQ Gatton and in the sub-tropical regions. The extension activities related to the application of findings of the research and development to improved dairy farm management. The extension activities included Busting the Myths of Grazing demonstrations, Dairy in Action (DIA) discussion groups, Walking the Seasons field days, HMFT open days, and Milking at the Margins workshops. There are still more activities to be completed as part of the project. In all these extension activities, a large majority of farmers rated the extension positively. Most farmers involved within each extension activity said they would implement some of the findings communicated on their farm.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The DIA extension involved discussion groups covering numerous topics in each region throughout the program. The groups covered topics such as feed production and the methods to lower feed costs. The result of the DIA groups was that some farmers made productive changes to their farms through the discussions.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Four open days during the HMFT were conducted while the trial was taking place.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Milking at the Margins Workshops were held between July and August 2016, covering the results from the HMFT trial and how the findings could be implemented. </w:t>
            </w:r>
          </w:p>
          <w:p w:rsidR="000D28B8" w:rsidRPr="00B57B13" w:rsidRDefault="000D28B8" w:rsidP="000D5A34">
            <w:pPr>
              <w:pStyle w:val="ListParagraph"/>
              <w:numPr>
                <w:ilvl w:val="0"/>
                <w:numId w:val="34"/>
              </w:numPr>
              <w:suppressAutoHyphens/>
              <w:ind w:left="346"/>
              <w:contextualSpacing w:val="0"/>
              <w:rPr>
                <w:rFonts w:ascii="Arial" w:hAnsi="Arial" w:cs="Arial"/>
                <w:sz w:val="22"/>
                <w:szCs w:val="22"/>
              </w:rPr>
            </w:pPr>
            <w:r w:rsidRPr="00B57B13">
              <w:rPr>
                <w:rFonts w:ascii="Arial" w:hAnsi="Arial" w:cs="Arial"/>
                <w:sz w:val="22"/>
                <w:szCs w:val="22"/>
              </w:rPr>
              <w:t xml:space="preserve">News articles published in the Northern Dairy Farmer throughout the trial outlined the findings of the research, development, and extension (RD&amp;E) activities. </w:t>
            </w:r>
          </w:p>
          <w:p w:rsidR="000D28B8" w:rsidRPr="00B57B13" w:rsidRDefault="000D28B8" w:rsidP="000D5A34">
            <w:pPr>
              <w:pStyle w:val="ListParagraph"/>
              <w:numPr>
                <w:ilvl w:val="0"/>
                <w:numId w:val="34"/>
              </w:numPr>
              <w:suppressAutoHyphens/>
              <w:ind w:left="346"/>
              <w:contextualSpacing w:val="0"/>
              <w:rPr>
                <w:rFonts w:ascii="Arial" w:hAnsi="Arial" w:cs="Arial"/>
                <w:color w:val="FF0000"/>
                <w:sz w:val="22"/>
                <w:szCs w:val="22"/>
              </w:rPr>
            </w:pPr>
            <w:r w:rsidRPr="00B57B13">
              <w:rPr>
                <w:rFonts w:ascii="Arial" w:hAnsi="Arial" w:cs="Arial"/>
                <w:sz w:val="22"/>
                <w:szCs w:val="22"/>
              </w:rPr>
              <w:t xml:space="preserve">E-extension activity was utilised with YouTube videos and blogs throughout the project. Views of the videos were reported as ranging between 205 to 786 (YouTube, 2017). The project advisory team noted that gaining feedback from the videos was difficult to measure, but generally positive feedback from farmers was received. </w:t>
            </w:r>
          </w:p>
        </w:tc>
      </w:tr>
      <w:tr w:rsidR="000D28B8" w:rsidRPr="00B57B13" w:rsidTr="00034D7A">
        <w:trPr>
          <w:trHeight w:val="283"/>
          <w:jc w:val="center"/>
        </w:trPr>
        <w:tc>
          <w:tcPr>
            <w:tcW w:w="1811" w:type="dxa"/>
          </w:tcPr>
          <w:p w:rsidR="000D28B8" w:rsidRPr="00B57B13" w:rsidRDefault="000D28B8" w:rsidP="00B35480">
            <w:pPr>
              <w:rPr>
                <w:rFonts w:ascii="Arial" w:hAnsi="Arial" w:cs="Arial"/>
                <w:sz w:val="22"/>
                <w:szCs w:val="22"/>
              </w:rPr>
            </w:pPr>
            <w:bookmarkStart w:id="405" w:name="_Hlk478128187"/>
            <w:r w:rsidRPr="00B57B13">
              <w:rPr>
                <w:rFonts w:ascii="Arial" w:hAnsi="Arial" w:cs="Arial"/>
                <w:sz w:val="22"/>
                <w:szCs w:val="22"/>
              </w:rPr>
              <w:t>Outcomes</w:t>
            </w:r>
          </w:p>
        </w:tc>
        <w:tc>
          <w:tcPr>
            <w:tcW w:w="7318" w:type="dxa"/>
          </w:tcPr>
          <w:p w:rsidR="000D28B8" w:rsidRPr="00B57B13" w:rsidRDefault="000D28B8" w:rsidP="000D5A34">
            <w:pPr>
              <w:pStyle w:val="ListParagraph"/>
              <w:numPr>
                <w:ilvl w:val="0"/>
                <w:numId w:val="38"/>
              </w:numPr>
              <w:suppressAutoHyphens/>
              <w:ind w:left="346"/>
              <w:contextualSpacing w:val="0"/>
              <w:rPr>
                <w:rFonts w:ascii="Arial" w:hAnsi="Arial" w:cs="Arial"/>
                <w:sz w:val="22"/>
                <w:szCs w:val="22"/>
              </w:rPr>
            </w:pPr>
            <w:bookmarkStart w:id="406" w:name="_Hlk484512381"/>
            <w:r w:rsidRPr="00B57B13">
              <w:rPr>
                <w:rFonts w:ascii="Arial" w:hAnsi="Arial" w:cs="Arial"/>
                <w:sz w:val="22"/>
                <w:szCs w:val="22"/>
              </w:rPr>
              <w:t>For a new research project</w:t>
            </w:r>
            <w:bookmarkEnd w:id="406"/>
            <w:r w:rsidRPr="00B57B13">
              <w:rPr>
                <w:rFonts w:ascii="Arial" w:hAnsi="Arial" w:cs="Arial"/>
                <w:sz w:val="22"/>
                <w:szCs w:val="22"/>
              </w:rPr>
              <w:t xml:space="preserve">, a research plan was developed to conduct further research into kikuyu grass, but this plan has not been implemented to date.  </w:t>
            </w:r>
          </w:p>
          <w:p w:rsidR="000D28B8" w:rsidRPr="00B57B13" w:rsidRDefault="000D28B8" w:rsidP="000D5A34">
            <w:pPr>
              <w:pStyle w:val="ListParagraph"/>
              <w:numPr>
                <w:ilvl w:val="0"/>
                <w:numId w:val="39"/>
              </w:numPr>
              <w:suppressAutoHyphens/>
              <w:ind w:left="346"/>
              <w:contextualSpacing w:val="0"/>
              <w:rPr>
                <w:rFonts w:ascii="Arial" w:hAnsi="Arial" w:cs="Arial"/>
                <w:sz w:val="22"/>
                <w:szCs w:val="22"/>
              </w:rPr>
            </w:pPr>
            <w:r w:rsidRPr="00B57B13">
              <w:rPr>
                <w:rFonts w:ascii="Arial" w:hAnsi="Arial" w:cs="Arial"/>
                <w:sz w:val="22"/>
                <w:szCs w:val="22"/>
              </w:rPr>
              <w:t xml:space="preserve">Sub-tropical dairy farmers are now undertaking new harvesting and grazing regimes for lucerne and forage sorghum due to increased knowledge of NDF, iNDF, and DM content. </w:t>
            </w:r>
          </w:p>
          <w:p w:rsidR="000D28B8" w:rsidRPr="00B57B13" w:rsidRDefault="000D28B8" w:rsidP="000D5A34">
            <w:pPr>
              <w:pStyle w:val="ListParagraph"/>
              <w:numPr>
                <w:ilvl w:val="0"/>
                <w:numId w:val="39"/>
              </w:numPr>
              <w:suppressAutoHyphens/>
              <w:ind w:left="346"/>
              <w:contextualSpacing w:val="0"/>
              <w:rPr>
                <w:rFonts w:ascii="Arial" w:hAnsi="Arial" w:cs="Arial"/>
                <w:sz w:val="22"/>
                <w:szCs w:val="22"/>
              </w:rPr>
            </w:pPr>
            <w:r w:rsidRPr="00B57B13">
              <w:rPr>
                <w:rFonts w:ascii="Arial" w:hAnsi="Arial" w:cs="Arial"/>
                <w:sz w:val="22"/>
                <w:szCs w:val="22"/>
              </w:rPr>
              <w:t xml:space="preserve">Farmers have reported improved productivity and lower feed costs as a result of the DIA discussions and other extension activities. Sources of improvement included improving irrigation for pastures, leasing more land for feed, and changing planting regimes. </w:t>
            </w:r>
          </w:p>
          <w:p w:rsidR="000D28B8" w:rsidRPr="00B57B13" w:rsidRDefault="000D28B8" w:rsidP="000D5A34">
            <w:pPr>
              <w:pStyle w:val="ListParagraph"/>
              <w:numPr>
                <w:ilvl w:val="0"/>
                <w:numId w:val="39"/>
              </w:numPr>
              <w:suppressAutoHyphens/>
              <w:ind w:left="346"/>
              <w:contextualSpacing w:val="0"/>
              <w:rPr>
                <w:rFonts w:ascii="Arial" w:hAnsi="Arial" w:cs="Arial"/>
                <w:sz w:val="22"/>
                <w:szCs w:val="22"/>
              </w:rPr>
            </w:pPr>
            <w:r w:rsidRPr="00B57B13">
              <w:rPr>
                <w:rFonts w:ascii="Arial" w:hAnsi="Arial" w:cs="Arial"/>
                <w:sz w:val="22"/>
                <w:szCs w:val="22"/>
              </w:rPr>
              <w:t xml:space="preserve">An outcome from the Pimpimbudgee and Goomeri field days is that some farmers have changed their home-grown forage regime by identifying yield requirements against nutritional needs. </w:t>
            </w:r>
          </w:p>
          <w:p w:rsidR="000D28B8" w:rsidRPr="00B57B13" w:rsidRDefault="000D28B8" w:rsidP="000D5A34">
            <w:pPr>
              <w:pStyle w:val="ListParagraph"/>
              <w:numPr>
                <w:ilvl w:val="0"/>
                <w:numId w:val="39"/>
              </w:numPr>
              <w:suppressAutoHyphens/>
              <w:ind w:left="346"/>
              <w:contextualSpacing w:val="0"/>
              <w:rPr>
                <w:rFonts w:ascii="Arial" w:hAnsi="Arial" w:cs="Arial"/>
                <w:sz w:val="22"/>
                <w:szCs w:val="22"/>
              </w:rPr>
            </w:pPr>
            <w:r w:rsidRPr="00B57B13">
              <w:rPr>
                <w:rFonts w:ascii="Arial" w:hAnsi="Arial" w:cs="Arial"/>
                <w:sz w:val="22"/>
                <w:szCs w:val="22"/>
              </w:rPr>
              <w:t>A wider range of forages is being used in the sub-tropical dairy region with increased knowledge of their nutritional content.</w:t>
            </w:r>
          </w:p>
          <w:p w:rsidR="000D28B8" w:rsidRPr="00B57B13" w:rsidRDefault="000D28B8" w:rsidP="000D5A34">
            <w:pPr>
              <w:pStyle w:val="ListParagraph"/>
              <w:numPr>
                <w:ilvl w:val="0"/>
                <w:numId w:val="39"/>
              </w:numPr>
              <w:suppressAutoHyphens/>
              <w:ind w:left="346"/>
              <w:contextualSpacing w:val="0"/>
              <w:rPr>
                <w:rFonts w:ascii="Arial" w:hAnsi="Arial" w:cs="Arial"/>
                <w:sz w:val="22"/>
                <w:szCs w:val="22"/>
              </w:rPr>
            </w:pPr>
            <w:r w:rsidRPr="00B57B13">
              <w:rPr>
                <w:rFonts w:ascii="Arial" w:hAnsi="Arial" w:cs="Arial"/>
                <w:sz w:val="22"/>
                <w:szCs w:val="22"/>
              </w:rPr>
              <w:t xml:space="preserve">Farmers who have implemented more home-grown feed strategies as a result of the C4 project have decreased feed related costs. </w:t>
            </w:r>
          </w:p>
          <w:p w:rsidR="000D28B8" w:rsidRPr="00B57B13" w:rsidRDefault="000D28B8" w:rsidP="000D5A34">
            <w:pPr>
              <w:pStyle w:val="ListParagraph"/>
              <w:numPr>
                <w:ilvl w:val="0"/>
                <w:numId w:val="39"/>
              </w:numPr>
              <w:suppressAutoHyphens/>
              <w:ind w:left="346"/>
              <w:contextualSpacing w:val="0"/>
              <w:rPr>
                <w:rFonts w:ascii="Arial" w:hAnsi="Arial" w:cs="Arial"/>
                <w:sz w:val="22"/>
                <w:szCs w:val="22"/>
              </w:rPr>
            </w:pPr>
            <w:r w:rsidRPr="00B57B13">
              <w:rPr>
                <w:rFonts w:ascii="Arial" w:hAnsi="Arial" w:cs="Arial"/>
                <w:sz w:val="22"/>
                <w:szCs w:val="22"/>
              </w:rPr>
              <w:t>Some farms have lowered their use of starch and protein concentrates by using white sorghum and corn, so potentially reducing cost of protein and starch feed.</w:t>
            </w:r>
          </w:p>
          <w:p w:rsidR="000D28B8" w:rsidRPr="00B57B13" w:rsidRDefault="000D28B8" w:rsidP="000D5A34">
            <w:pPr>
              <w:pStyle w:val="ListParagraph"/>
              <w:numPr>
                <w:ilvl w:val="0"/>
                <w:numId w:val="39"/>
              </w:numPr>
              <w:suppressAutoHyphens/>
              <w:ind w:left="346"/>
              <w:contextualSpacing w:val="0"/>
              <w:rPr>
                <w:rFonts w:ascii="Arial" w:hAnsi="Arial" w:cs="Arial"/>
                <w:sz w:val="22"/>
                <w:szCs w:val="22"/>
              </w:rPr>
            </w:pPr>
            <w:r w:rsidRPr="00B57B13">
              <w:rPr>
                <w:rFonts w:ascii="Arial" w:hAnsi="Arial" w:cs="Arial"/>
                <w:sz w:val="22"/>
                <w:szCs w:val="22"/>
              </w:rPr>
              <w:t xml:space="preserve">Extension actives undertaken allowed farms to have more confidence and capacity in implementing findings from the project. </w:t>
            </w:r>
          </w:p>
          <w:p w:rsidR="000D28B8" w:rsidRPr="00B57B13" w:rsidRDefault="000D28B8" w:rsidP="000D5A34">
            <w:pPr>
              <w:pStyle w:val="ListParagraph"/>
              <w:numPr>
                <w:ilvl w:val="0"/>
                <w:numId w:val="37"/>
              </w:numPr>
              <w:suppressAutoHyphens/>
              <w:ind w:left="346"/>
              <w:contextualSpacing w:val="0"/>
              <w:rPr>
                <w:rFonts w:ascii="Arial" w:hAnsi="Arial" w:cs="Arial"/>
                <w:sz w:val="22"/>
                <w:szCs w:val="22"/>
              </w:rPr>
            </w:pPr>
            <w:r w:rsidRPr="00B57B13">
              <w:rPr>
                <w:rFonts w:ascii="Arial" w:hAnsi="Arial" w:cs="Arial"/>
                <w:sz w:val="22"/>
                <w:szCs w:val="22"/>
              </w:rPr>
              <w:t>Through e-Extension and media presence, farmers stated that they had gained increased confidence in carrying out further research and development activities. As a result, farmers explored new ways to implement home-grown forage within their own farming systems.</w:t>
            </w:r>
          </w:p>
          <w:p w:rsidR="000D28B8" w:rsidRPr="00B57B13" w:rsidRDefault="000D28B8" w:rsidP="000D5A34">
            <w:pPr>
              <w:pStyle w:val="ListParagraph"/>
              <w:numPr>
                <w:ilvl w:val="0"/>
                <w:numId w:val="37"/>
              </w:numPr>
              <w:suppressAutoHyphens/>
              <w:ind w:left="346"/>
              <w:contextualSpacing w:val="0"/>
              <w:rPr>
                <w:rFonts w:ascii="Arial" w:hAnsi="Arial" w:cs="Arial"/>
                <w:sz w:val="22"/>
                <w:szCs w:val="22"/>
              </w:rPr>
            </w:pPr>
            <w:r w:rsidRPr="00B57B13">
              <w:rPr>
                <w:rFonts w:ascii="Arial" w:hAnsi="Arial" w:cs="Arial"/>
                <w:sz w:val="22"/>
                <w:szCs w:val="22"/>
              </w:rPr>
              <w:t xml:space="preserve">Stronger farmer to farmer and farmer-researcher networks were developed with DAF, UQ Gatton, and farmers being closely involved with extension activities. </w:t>
            </w:r>
          </w:p>
          <w:p w:rsidR="000D28B8" w:rsidRPr="00B57B13" w:rsidRDefault="000D28B8" w:rsidP="000D5A34">
            <w:pPr>
              <w:pStyle w:val="ListParagraph"/>
              <w:numPr>
                <w:ilvl w:val="0"/>
                <w:numId w:val="37"/>
              </w:numPr>
              <w:suppressAutoHyphens/>
              <w:ind w:left="346"/>
              <w:contextualSpacing w:val="0"/>
              <w:rPr>
                <w:rFonts w:ascii="Arial" w:hAnsi="Arial" w:cs="Arial"/>
                <w:sz w:val="22"/>
                <w:szCs w:val="22"/>
              </w:rPr>
            </w:pPr>
            <w:r w:rsidRPr="00B57B13">
              <w:rPr>
                <w:rFonts w:ascii="Arial" w:hAnsi="Arial" w:cs="Arial"/>
                <w:sz w:val="22"/>
                <w:szCs w:val="22"/>
              </w:rPr>
              <w:t xml:space="preserve">C4 milk team communicated results from the project to the southern New South Wales and Victorian dairy industry. </w:t>
            </w:r>
          </w:p>
        </w:tc>
      </w:tr>
      <w:bookmarkEnd w:id="405"/>
      <w:tr w:rsidR="000D28B8" w:rsidRPr="00B57B13" w:rsidTr="00034D7A">
        <w:trPr>
          <w:trHeight w:val="283"/>
          <w:jc w:val="center"/>
        </w:trPr>
        <w:tc>
          <w:tcPr>
            <w:tcW w:w="1811" w:type="dxa"/>
          </w:tcPr>
          <w:p w:rsidR="000D28B8" w:rsidRPr="00B57B13" w:rsidRDefault="000D28B8" w:rsidP="00B35480">
            <w:pPr>
              <w:rPr>
                <w:rFonts w:ascii="Arial" w:hAnsi="Arial" w:cs="Arial"/>
                <w:sz w:val="22"/>
                <w:szCs w:val="22"/>
              </w:rPr>
            </w:pPr>
            <w:r w:rsidRPr="00B57B13">
              <w:rPr>
                <w:rFonts w:ascii="Arial" w:hAnsi="Arial" w:cs="Arial"/>
                <w:sz w:val="22"/>
                <w:szCs w:val="22"/>
              </w:rPr>
              <w:t>Impacts</w:t>
            </w:r>
          </w:p>
        </w:tc>
        <w:tc>
          <w:tcPr>
            <w:tcW w:w="7318" w:type="dxa"/>
          </w:tcPr>
          <w:p w:rsidR="000D28B8" w:rsidRPr="00B57B13" w:rsidRDefault="000D28B8" w:rsidP="000D5A34">
            <w:pPr>
              <w:pStyle w:val="ListParagraph"/>
              <w:numPr>
                <w:ilvl w:val="0"/>
                <w:numId w:val="35"/>
              </w:numPr>
              <w:suppressAutoHyphens/>
              <w:ind w:left="346"/>
              <w:contextualSpacing w:val="0"/>
              <w:rPr>
                <w:rFonts w:ascii="Arial" w:hAnsi="Arial" w:cs="Arial"/>
                <w:sz w:val="22"/>
                <w:szCs w:val="22"/>
              </w:rPr>
            </w:pPr>
            <w:r w:rsidRPr="00B57B13">
              <w:rPr>
                <w:rFonts w:ascii="Arial" w:hAnsi="Arial" w:cs="Arial"/>
                <w:sz w:val="22"/>
                <w:szCs w:val="22"/>
              </w:rPr>
              <w:t>Expected higher MOFC for farms across all the sub-tropical regions as more home-grown feed is being used to replace concentrate and grain, due to the HMFT feeding system and other activities. This has led to increased farm profitability and a decreased dependency</w:t>
            </w:r>
            <w:r w:rsidRPr="00B57B13">
              <w:rPr>
                <w:rFonts w:ascii="Arial" w:hAnsi="Arial" w:cs="Arial"/>
                <w:i/>
                <w:sz w:val="22"/>
                <w:szCs w:val="22"/>
              </w:rPr>
              <w:t xml:space="preserve"> </w:t>
            </w:r>
            <w:r w:rsidRPr="00B57B13">
              <w:rPr>
                <w:rFonts w:ascii="Arial" w:hAnsi="Arial" w:cs="Arial"/>
                <w:sz w:val="22"/>
                <w:szCs w:val="22"/>
              </w:rPr>
              <w:t xml:space="preserve">on grain and purchased feed. </w:t>
            </w:r>
          </w:p>
          <w:p w:rsidR="000D28B8" w:rsidRPr="00B57B13" w:rsidRDefault="000D28B8" w:rsidP="000D5A34">
            <w:pPr>
              <w:pStyle w:val="ListParagraph"/>
              <w:numPr>
                <w:ilvl w:val="0"/>
                <w:numId w:val="35"/>
              </w:numPr>
              <w:suppressAutoHyphens/>
              <w:ind w:left="346"/>
              <w:contextualSpacing w:val="0"/>
              <w:rPr>
                <w:rFonts w:ascii="Arial" w:hAnsi="Arial" w:cs="Arial"/>
                <w:color w:val="FF0000"/>
                <w:sz w:val="22"/>
                <w:szCs w:val="22"/>
              </w:rPr>
            </w:pPr>
            <w:r w:rsidRPr="00B57B13">
              <w:rPr>
                <w:rFonts w:ascii="Arial" w:hAnsi="Arial" w:cs="Arial"/>
                <w:sz w:val="22"/>
                <w:szCs w:val="22"/>
              </w:rPr>
              <w:t>Better management practices of home-grown feed implemented, resulting in increased profitability of farms through improved quality of home grown feed.</w:t>
            </w:r>
          </w:p>
          <w:p w:rsidR="000D28B8" w:rsidRPr="00B57B13" w:rsidRDefault="000D28B8" w:rsidP="000D5A34">
            <w:pPr>
              <w:pStyle w:val="ListParagraph"/>
              <w:numPr>
                <w:ilvl w:val="0"/>
                <w:numId w:val="35"/>
              </w:numPr>
              <w:suppressAutoHyphens/>
              <w:ind w:left="346"/>
              <w:contextualSpacing w:val="0"/>
              <w:rPr>
                <w:rFonts w:ascii="Arial" w:hAnsi="Arial" w:cs="Arial"/>
                <w:sz w:val="22"/>
                <w:szCs w:val="22"/>
              </w:rPr>
            </w:pPr>
            <w:r w:rsidRPr="00B57B13">
              <w:rPr>
                <w:rFonts w:ascii="Arial" w:hAnsi="Arial" w:cs="Arial"/>
                <w:sz w:val="22"/>
                <w:szCs w:val="22"/>
              </w:rPr>
              <w:t>More industry certainty due to increased profitability for farmers who implement high forage diets. The increased certainty may lead to some farmers continuing to operate profitably in the industry if farm gate prices for fresh milk decrease. Less farmers may exit the industry due to scenarios of high feed costs and/or lower milk prices.</w:t>
            </w:r>
          </w:p>
          <w:p w:rsidR="000D28B8" w:rsidRPr="00B57B13" w:rsidRDefault="000D28B8" w:rsidP="000D5A34">
            <w:pPr>
              <w:pStyle w:val="ListParagraph"/>
              <w:numPr>
                <w:ilvl w:val="0"/>
                <w:numId w:val="35"/>
              </w:numPr>
              <w:suppressAutoHyphens/>
              <w:ind w:left="346"/>
              <w:contextualSpacing w:val="0"/>
              <w:rPr>
                <w:rFonts w:ascii="Arial" w:hAnsi="Arial" w:cs="Arial"/>
                <w:sz w:val="22"/>
                <w:szCs w:val="22"/>
              </w:rPr>
            </w:pPr>
            <w:r w:rsidRPr="00B57B13">
              <w:rPr>
                <w:rFonts w:ascii="Arial" w:hAnsi="Arial" w:cs="Arial"/>
                <w:sz w:val="22"/>
                <w:szCs w:val="22"/>
              </w:rPr>
              <w:t xml:space="preserve">Farmers have the capacity to keep up to date with the latest forage technology and research due to the networks established through the DIA and other extension activities. </w:t>
            </w:r>
          </w:p>
          <w:p w:rsidR="000D28B8" w:rsidRPr="00B57B13" w:rsidRDefault="000D28B8" w:rsidP="000D5A34">
            <w:pPr>
              <w:pStyle w:val="ListParagraph"/>
              <w:numPr>
                <w:ilvl w:val="0"/>
                <w:numId w:val="36"/>
              </w:numPr>
              <w:suppressAutoHyphens/>
              <w:ind w:left="346"/>
              <w:contextualSpacing w:val="0"/>
              <w:rPr>
                <w:rFonts w:ascii="Arial" w:hAnsi="Arial" w:cs="Arial"/>
                <w:sz w:val="22"/>
                <w:szCs w:val="22"/>
              </w:rPr>
            </w:pPr>
            <w:r w:rsidRPr="00B57B13">
              <w:rPr>
                <w:rFonts w:ascii="Arial" w:hAnsi="Arial" w:cs="Arial"/>
                <w:sz w:val="22"/>
                <w:szCs w:val="22"/>
              </w:rPr>
              <w:t xml:space="preserve">Expected higher profitability of farms throughout the sub-tropical region due to a reduction in feed costs through the implementation of new feed types being identified. </w:t>
            </w:r>
          </w:p>
          <w:p w:rsidR="000D28B8" w:rsidRPr="00B57B13" w:rsidRDefault="000D28B8" w:rsidP="000D5A34">
            <w:pPr>
              <w:pStyle w:val="ListParagraph"/>
              <w:numPr>
                <w:ilvl w:val="0"/>
                <w:numId w:val="36"/>
              </w:numPr>
              <w:suppressAutoHyphens/>
              <w:ind w:left="346"/>
              <w:contextualSpacing w:val="0"/>
              <w:rPr>
                <w:rFonts w:ascii="Arial" w:hAnsi="Arial" w:cs="Arial"/>
                <w:sz w:val="22"/>
                <w:szCs w:val="22"/>
              </w:rPr>
            </w:pPr>
            <w:r w:rsidRPr="00B57B13">
              <w:rPr>
                <w:rFonts w:ascii="Arial" w:hAnsi="Arial" w:cs="Arial"/>
                <w:sz w:val="22"/>
                <w:szCs w:val="22"/>
              </w:rPr>
              <w:t xml:space="preserve">Continued or increased spillovers to regional dairy communities from maintained or increased farm incomes.  </w:t>
            </w:r>
          </w:p>
          <w:p w:rsidR="000D28B8" w:rsidRPr="00B57B13" w:rsidRDefault="000D28B8" w:rsidP="000D5A34">
            <w:pPr>
              <w:pStyle w:val="ListParagraph"/>
              <w:numPr>
                <w:ilvl w:val="0"/>
                <w:numId w:val="36"/>
              </w:numPr>
              <w:suppressAutoHyphens/>
              <w:ind w:left="346"/>
              <w:contextualSpacing w:val="0"/>
              <w:rPr>
                <w:rFonts w:ascii="Arial" w:hAnsi="Arial" w:cs="Arial"/>
                <w:sz w:val="22"/>
                <w:szCs w:val="22"/>
              </w:rPr>
            </w:pPr>
            <w:r w:rsidRPr="00B57B13">
              <w:rPr>
                <w:rFonts w:ascii="Arial" w:hAnsi="Arial" w:cs="Arial"/>
                <w:sz w:val="22"/>
                <w:szCs w:val="22"/>
              </w:rPr>
              <w:t xml:space="preserve">Less milk may be transported to Queensland from southern States resulting in potentially decreased greenhouse gas emissions; however, the net carbon impact would depend on the overall comparative energy intensity in all facets of milk production between temperate and sub-tropical systems. </w:t>
            </w:r>
          </w:p>
          <w:p w:rsidR="000D28B8" w:rsidRPr="00B57B13" w:rsidRDefault="000D28B8" w:rsidP="000D5A34">
            <w:pPr>
              <w:pStyle w:val="ListParagraph"/>
              <w:numPr>
                <w:ilvl w:val="0"/>
                <w:numId w:val="36"/>
              </w:numPr>
              <w:suppressAutoHyphens/>
              <w:ind w:left="346"/>
              <w:contextualSpacing w:val="0"/>
              <w:rPr>
                <w:rFonts w:ascii="Arial" w:hAnsi="Arial" w:cs="Arial"/>
                <w:sz w:val="22"/>
                <w:szCs w:val="22"/>
              </w:rPr>
            </w:pPr>
            <w:r w:rsidRPr="00B57B13">
              <w:rPr>
                <w:rFonts w:ascii="Arial" w:hAnsi="Arial" w:cs="Arial"/>
                <w:sz w:val="22"/>
                <w:szCs w:val="22"/>
              </w:rPr>
              <w:t xml:space="preserve">Increased pressure on water resources in dairy regions due to increased water use on farms due to use of irrigation. But less water being used to grow concentrate and grain by suppliers. </w:t>
            </w:r>
          </w:p>
          <w:p w:rsidR="000D28B8" w:rsidRPr="00B57B13" w:rsidRDefault="000D28B8" w:rsidP="000D5A34">
            <w:pPr>
              <w:pStyle w:val="ListParagraph"/>
              <w:numPr>
                <w:ilvl w:val="0"/>
                <w:numId w:val="36"/>
              </w:numPr>
              <w:suppressAutoHyphens/>
              <w:ind w:left="346"/>
              <w:contextualSpacing w:val="0"/>
              <w:rPr>
                <w:rFonts w:ascii="Arial" w:hAnsi="Arial" w:cs="Arial"/>
                <w:sz w:val="22"/>
                <w:szCs w:val="22"/>
              </w:rPr>
            </w:pPr>
            <w:r w:rsidRPr="00B57B13">
              <w:rPr>
                <w:rFonts w:ascii="Arial" w:hAnsi="Arial" w:cs="Arial"/>
                <w:sz w:val="22"/>
                <w:szCs w:val="22"/>
              </w:rPr>
              <w:t xml:space="preserve">Higher level of animal welfare as a result of a reduction in grain use that in turn may lead to reduced incidents of laminitis in cows. </w:t>
            </w:r>
          </w:p>
          <w:p w:rsidR="000D28B8" w:rsidRPr="00B57B13" w:rsidRDefault="000D28B8" w:rsidP="000D5A34">
            <w:pPr>
              <w:pStyle w:val="ListParagraph"/>
              <w:numPr>
                <w:ilvl w:val="0"/>
                <w:numId w:val="40"/>
              </w:numPr>
              <w:suppressAutoHyphens/>
              <w:ind w:left="346"/>
              <w:contextualSpacing w:val="0"/>
              <w:rPr>
                <w:rFonts w:ascii="Arial" w:hAnsi="Arial" w:cs="Arial"/>
                <w:sz w:val="22"/>
                <w:szCs w:val="22"/>
              </w:rPr>
            </w:pPr>
            <w:r w:rsidRPr="00B57B13">
              <w:rPr>
                <w:rFonts w:ascii="Arial" w:hAnsi="Arial" w:cs="Arial"/>
                <w:sz w:val="22"/>
                <w:szCs w:val="22"/>
              </w:rPr>
              <w:t>Increased research capacity and scientific knowledge relevant to the sub-tropical dairy industry (forage types and their nutritional characteristics).</w:t>
            </w:r>
          </w:p>
          <w:p w:rsidR="000D28B8" w:rsidRPr="00B57B13" w:rsidRDefault="000D28B8" w:rsidP="000D5A34">
            <w:pPr>
              <w:pStyle w:val="ListParagraph"/>
              <w:numPr>
                <w:ilvl w:val="0"/>
                <w:numId w:val="36"/>
              </w:numPr>
              <w:suppressAutoHyphens/>
              <w:ind w:left="346"/>
              <w:contextualSpacing w:val="0"/>
              <w:rPr>
                <w:rFonts w:ascii="Arial" w:hAnsi="Arial" w:cs="Arial"/>
                <w:sz w:val="22"/>
                <w:szCs w:val="22"/>
              </w:rPr>
            </w:pPr>
            <w:r w:rsidRPr="00B57B13">
              <w:rPr>
                <w:rFonts w:ascii="Arial" w:hAnsi="Arial" w:cs="Arial"/>
                <w:sz w:val="22"/>
                <w:szCs w:val="22"/>
              </w:rPr>
              <w:t xml:space="preserve">Demonstrated potential for improved home-grown feed productivity and increase home-grown feed use in Southern NSW and Victoria.  </w:t>
            </w:r>
          </w:p>
        </w:tc>
      </w:tr>
      <w:bookmarkEnd w:id="403"/>
    </w:tbl>
    <w:p w:rsidR="000D28B8" w:rsidRPr="00B57B13" w:rsidRDefault="000D28B8" w:rsidP="00A8335A"/>
    <w:p w:rsidR="000D28B8" w:rsidRPr="00B57B13" w:rsidRDefault="000D28B8" w:rsidP="00A8335A">
      <w:pPr>
        <w:rPr>
          <w:sz w:val="44"/>
          <w:szCs w:val="20"/>
        </w:rPr>
      </w:pPr>
      <w:r w:rsidRPr="00B57B13">
        <w:br w:type="page"/>
      </w:r>
    </w:p>
    <w:p w:rsidR="000D28B8" w:rsidRPr="00A8335A" w:rsidRDefault="000D28B8" w:rsidP="00A8335A">
      <w:pPr>
        <w:spacing w:after="240"/>
        <w:rPr>
          <w:rFonts w:ascii="Arial" w:hAnsi="Arial" w:cs="Arial"/>
          <w:b/>
          <w:sz w:val="40"/>
          <w:szCs w:val="40"/>
        </w:rPr>
      </w:pPr>
      <w:bookmarkStart w:id="407" w:name="_Toc484505452"/>
      <w:bookmarkStart w:id="408" w:name="_Toc486145301"/>
      <w:bookmarkStart w:id="409" w:name="_Toc486145370"/>
      <w:bookmarkStart w:id="410" w:name="_Toc486146286"/>
      <w:r w:rsidRPr="00A8335A">
        <w:rPr>
          <w:rFonts w:ascii="Arial" w:hAnsi="Arial" w:cs="Arial"/>
          <w:b/>
          <w:sz w:val="40"/>
          <w:szCs w:val="40"/>
        </w:rPr>
        <w:t>4. Project Investment</w:t>
      </w:r>
      <w:bookmarkEnd w:id="407"/>
      <w:bookmarkEnd w:id="408"/>
      <w:bookmarkEnd w:id="409"/>
      <w:bookmarkEnd w:id="410"/>
      <w:r w:rsidRPr="00A8335A">
        <w:rPr>
          <w:rFonts w:ascii="Arial" w:hAnsi="Arial" w:cs="Arial"/>
          <w:b/>
          <w:sz w:val="40"/>
          <w:szCs w:val="40"/>
        </w:rPr>
        <w:t xml:space="preserve"> </w:t>
      </w:r>
    </w:p>
    <w:p w:rsidR="000D28B8" w:rsidRPr="00B57B13" w:rsidRDefault="000D28B8" w:rsidP="00A8335A">
      <w:pPr>
        <w:spacing w:after="240"/>
        <w:rPr>
          <w:rFonts w:ascii="Arial" w:hAnsi="Arial" w:cs="Arial"/>
          <w:b/>
          <w:sz w:val="24"/>
        </w:rPr>
      </w:pPr>
      <w:r w:rsidRPr="00B57B13">
        <w:rPr>
          <w:rFonts w:ascii="Arial" w:hAnsi="Arial" w:cs="Arial"/>
          <w:b/>
          <w:sz w:val="24"/>
        </w:rPr>
        <w:t>The Investment</w:t>
      </w:r>
    </w:p>
    <w:p w:rsidR="000D28B8" w:rsidRPr="00B57B13" w:rsidRDefault="000D28B8" w:rsidP="00A8335A">
      <w:pPr>
        <w:spacing w:after="240"/>
        <w:rPr>
          <w:rFonts w:ascii="Arial" w:hAnsi="Arial" w:cs="Arial"/>
        </w:rPr>
      </w:pPr>
      <w:r w:rsidRPr="00B57B13">
        <w:rPr>
          <w:rFonts w:ascii="Arial" w:hAnsi="Arial" w:cs="Arial"/>
        </w:rPr>
        <w:t>Table 2 shows the annual investment for the project funded by DAF, DA, Sub-Tropical Dairy, and Queensland Dairy Organisation.</w:t>
      </w:r>
    </w:p>
    <w:p w:rsidR="000D28B8" w:rsidRPr="00A8335A" w:rsidRDefault="000D28B8" w:rsidP="00A8335A">
      <w:pPr>
        <w:pStyle w:val="Caption"/>
        <w:keepNext/>
        <w:spacing w:after="240"/>
        <w:jc w:val="center"/>
        <w:rPr>
          <w:rFonts w:ascii="Arial" w:hAnsi="Arial"/>
          <w:b w:val="0"/>
          <w:i/>
          <w:sz w:val="22"/>
          <w:szCs w:val="22"/>
        </w:rPr>
      </w:pPr>
      <w:bookmarkStart w:id="411" w:name="_Toc484505459"/>
      <w:r w:rsidRPr="00A8335A">
        <w:rPr>
          <w:rFonts w:ascii="Arial" w:hAnsi="Arial"/>
          <w:b w:val="0"/>
          <w:sz w:val="22"/>
          <w:szCs w:val="22"/>
        </w:rPr>
        <w:t xml:space="preserve">Table </w:t>
      </w:r>
      <w:r w:rsidR="00913E1D">
        <w:rPr>
          <w:rFonts w:ascii="Arial" w:hAnsi="Arial"/>
          <w:b w:val="0"/>
          <w:i/>
          <w:sz w:val="22"/>
          <w:szCs w:val="22"/>
        </w:rPr>
        <w:t>2</w:t>
      </w:r>
      <w:r w:rsidRPr="00A8335A">
        <w:rPr>
          <w:rFonts w:ascii="Arial" w:hAnsi="Arial"/>
          <w:b w:val="0"/>
          <w:sz w:val="22"/>
          <w:szCs w:val="22"/>
        </w:rPr>
        <w:t xml:space="preserve">: Investment by DAF and others for Years ending June 2015 to June 2017 </w:t>
      </w:r>
      <w:r w:rsidR="00A8335A">
        <w:rPr>
          <w:rFonts w:ascii="Arial" w:hAnsi="Arial"/>
          <w:b w:val="0"/>
          <w:sz w:val="22"/>
          <w:szCs w:val="22"/>
        </w:rPr>
        <w:br/>
      </w:r>
      <w:r w:rsidRPr="00A8335A">
        <w:rPr>
          <w:rFonts w:ascii="Arial" w:hAnsi="Arial"/>
          <w:b w:val="0"/>
          <w:sz w:val="22"/>
          <w:szCs w:val="22"/>
        </w:rPr>
        <w:t>(nominal $)</w:t>
      </w:r>
      <w:bookmarkEnd w:id="411"/>
    </w:p>
    <w:tbl>
      <w:tblPr>
        <w:tblW w:w="45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288"/>
        <w:gridCol w:w="1824"/>
        <w:gridCol w:w="2332"/>
        <w:gridCol w:w="1275"/>
      </w:tblGrid>
      <w:tr w:rsidR="000D28B8" w:rsidRPr="00B57B13" w:rsidTr="00034D7A">
        <w:trPr>
          <w:trHeight w:val="245"/>
          <w:jc w:val="center"/>
        </w:trPr>
        <w:tc>
          <w:tcPr>
            <w:tcW w:w="911" w:type="pct"/>
            <w:tcBorders>
              <w:top w:val="single" w:sz="4" w:space="0" w:color="auto"/>
            </w:tcBorders>
            <w:shd w:val="clear" w:color="auto" w:fill="auto"/>
            <w:hideMark/>
          </w:tcPr>
          <w:p w:rsidR="000D28B8" w:rsidRPr="00B57B13" w:rsidRDefault="000D28B8" w:rsidP="00034D7A">
            <w:pPr>
              <w:rPr>
                <w:rFonts w:ascii="Arial" w:hAnsi="Arial" w:cs="Arial"/>
                <w:b/>
                <w:bCs/>
                <w:lang w:eastAsia="en-AU"/>
              </w:rPr>
            </w:pPr>
            <w:r w:rsidRPr="00B57B13">
              <w:rPr>
                <w:rFonts w:ascii="Arial" w:hAnsi="Arial" w:cs="Arial"/>
                <w:b/>
                <w:bCs/>
                <w:lang w:eastAsia="en-AU"/>
              </w:rPr>
              <w:t>Year ended 30</w:t>
            </w:r>
            <w:r w:rsidRPr="00B57B13">
              <w:rPr>
                <w:rFonts w:ascii="Arial" w:hAnsi="Arial" w:cs="Arial"/>
                <w:b/>
                <w:bCs/>
                <w:vertAlign w:val="superscript"/>
                <w:lang w:eastAsia="en-AU"/>
              </w:rPr>
              <w:t>th</w:t>
            </w:r>
            <w:r w:rsidRPr="00B57B13">
              <w:rPr>
                <w:rFonts w:ascii="Arial" w:hAnsi="Arial" w:cs="Arial"/>
                <w:b/>
                <w:bCs/>
                <w:lang w:eastAsia="en-AU"/>
              </w:rPr>
              <w:t xml:space="preserve"> June</w:t>
            </w:r>
          </w:p>
        </w:tc>
        <w:tc>
          <w:tcPr>
            <w:tcW w:w="784" w:type="pct"/>
            <w:tcBorders>
              <w:top w:val="single" w:sz="4" w:space="0" w:color="auto"/>
              <w:bottom w:val="single" w:sz="4" w:space="0" w:color="auto"/>
            </w:tcBorders>
            <w:shd w:val="clear" w:color="auto" w:fill="auto"/>
            <w:hideMark/>
          </w:tcPr>
          <w:p w:rsidR="000D28B8" w:rsidRPr="00B57B13" w:rsidRDefault="000D28B8" w:rsidP="00034D7A">
            <w:pPr>
              <w:jc w:val="center"/>
              <w:rPr>
                <w:rFonts w:ascii="Arial" w:hAnsi="Arial" w:cs="Arial"/>
                <w:b/>
                <w:bCs/>
                <w:lang w:eastAsia="en-AU"/>
              </w:rPr>
            </w:pPr>
            <w:r w:rsidRPr="00B57B13">
              <w:rPr>
                <w:rFonts w:ascii="Arial" w:hAnsi="Arial" w:cs="Arial"/>
                <w:b/>
                <w:bCs/>
                <w:lang w:eastAsia="en-AU"/>
              </w:rPr>
              <w:t>DAF</w:t>
            </w:r>
          </w:p>
        </w:tc>
        <w:tc>
          <w:tcPr>
            <w:tcW w:w="1110" w:type="pct"/>
            <w:tcBorders>
              <w:top w:val="single" w:sz="4" w:space="0" w:color="auto"/>
              <w:bottom w:val="single" w:sz="4" w:space="0" w:color="auto"/>
            </w:tcBorders>
            <w:shd w:val="clear" w:color="auto" w:fill="auto"/>
            <w:hideMark/>
          </w:tcPr>
          <w:p w:rsidR="000D28B8" w:rsidRPr="00B57B13" w:rsidRDefault="000D28B8" w:rsidP="00034D7A">
            <w:pPr>
              <w:jc w:val="center"/>
              <w:rPr>
                <w:rFonts w:ascii="Arial" w:hAnsi="Arial" w:cs="Arial"/>
                <w:b/>
                <w:bCs/>
                <w:lang w:eastAsia="en-AU"/>
              </w:rPr>
            </w:pPr>
            <w:r w:rsidRPr="00B57B13">
              <w:rPr>
                <w:rFonts w:ascii="Arial" w:hAnsi="Arial" w:cs="Arial"/>
                <w:b/>
                <w:bCs/>
                <w:lang w:eastAsia="en-AU"/>
              </w:rPr>
              <w:t>DA</w:t>
            </w:r>
          </w:p>
        </w:tc>
        <w:tc>
          <w:tcPr>
            <w:tcW w:w="1419" w:type="pct"/>
            <w:tcBorders>
              <w:top w:val="single" w:sz="4" w:space="0" w:color="auto"/>
              <w:bottom w:val="single" w:sz="4" w:space="0" w:color="auto"/>
            </w:tcBorders>
          </w:tcPr>
          <w:p w:rsidR="000D28B8" w:rsidRPr="00B57B13" w:rsidRDefault="000D28B8" w:rsidP="00034D7A">
            <w:pPr>
              <w:jc w:val="center"/>
              <w:rPr>
                <w:rFonts w:ascii="Arial" w:hAnsi="Arial" w:cs="Arial"/>
                <w:b/>
                <w:bCs/>
                <w:lang w:eastAsia="en-AU"/>
              </w:rPr>
            </w:pPr>
            <w:r w:rsidRPr="00B57B13">
              <w:rPr>
                <w:rFonts w:ascii="Arial" w:hAnsi="Arial" w:cs="Arial"/>
                <w:b/>
                <w:bCs/>
                <w:lang w:eastAsia="en-AU"/>
              </w:rPr>
              <w:t>Sub-Tropical Dairy and Queensland Dairy Organisation</w:t>
            </w:r>
          </w:p>
        </w:tc>
        <w:tc>
          <w:tcPr>
            <w:tcW w:w="776" w:type="pct"/>
            <w:tcBorders>
              <w:top w:val="single" w:sz="4" w:space="0" w:color="auto"/>
              <w:bottom w:val="single" w:sz="4" w:space="0" w:color="auto"/>
            </w:tcBorders>
            <w:shd w:val="clear" w:color="auto" w:fill="auto"/>
            <w:hideMark/>
          </w:tcPr>
          <w:p w:rsidR="000D28B8" w:rsidRPr="00B57B13" w:rsidRDefault="000D28B8" w:rsidP="00034D7A">
            <w:pPr>
              <w:jc w:val="center"/>
              <w:rPr>
                <w:rFonts w:ascii="Arial" w:hAnsi="Arial" w:cs="Arial"/>
                <w:b/>
                <w:bCs/>
                <w:lang w:eastAsia="en-AU"/>
              </w:rPr>
            </w:pPr>
            <w:r w:rsidRPr="00B57B13">
              <w:rPr>
                <w:rFonts w:ascii="Arial" w:hAnsi="Arial" w:cs="Arial"/>
                <w:b/>
                <w:bCs/>
                <w:lang w:eastAsia="en-AU"/>
              </w:rPr>
              <w:t>TOTAL</w:t>
            </w:r>
          </w:p>
        </w:tc>
      </w:tr>
      <w:tr w:rsidR="000D28B8" w:rsidRPr="00B57B13" w:rsidTr="00F712CF">
        <w:trPr>
          <w:trHeight w:val="245"/>
          <w:jc w:val="center"/>
        </w:trPr>
        <w:tc>
          <w:tcPr>
            <w:tcW w:w="911" w:type="pct"/>
            <w:shd w:val="clear" w:color="auto" w:fill="auto"/>
          </w:tcPr>
          <w:p w:rsidR="000D28B8" w:rsidRPr="00B57B13" w:rsidRDefault="000D28B8" w:rsidP="00B35480">
            <w:pPr>
              <w:jc w:val="both"/>
              <w:rPr>
                <w:rFonts w:ascii="Arial" w:hAnsi="Arial" w:cs="Arial"/>
              </w:rPr>
            </w:pPr>
            <w:r w:rsidRPr="00B57B13">
              <w:rPr>
                <w:rFonts w:ascii="Arial" w:hAnsi="Arial" w:cs="Arial"/>
              </w:rPr>
              <w:t>2015</w:t>
            </w:r>
          </w:p>
        </w:tc>
        <w:tc>
          <w:tcPr>
            <w:tcW w:w="784"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1,350,300</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504,000</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1,864,300</w:t>
            </w:r>
          </w:p>
        </w:tc>
      </w:tr>
      <w:tr w:rsidR="000D28B8" w:rsidRPr="00B57B13" w:rsidTr="00F712CF">
        <w:trPr>
          <w:trHeight w:val="245"/>
          <w:jc w:val="center"/>
        </w:trPr>
        <w:tc>
          <w:tcPr>
            <w:tcW w:w="911" w:type="pct"/>
            <w:shd w:val="clear" w:color="auto" w:fill="auto"/>
          </w:tcPr>
          <w:p w:rsidR="000D28B8" w:rsidRPr="00B57B13" w:rsidRDefault="000D28B8" w:rsidP="00B35480">
            <w:pPr>
              <w:jc w:val="both"/>
              <w:rPr>
                <w:rFonts w:ascii="Arial" w:hAnsi="Arial" w:cs="Arial"/>
              </w:rPr>
            </w:pPr>
            <w:r w:rsidRPr="00B57B13">
              <w:rPr>
                <w:rFonts w:ascii="Arial" w:hAnsi="Arial" w:cs="Arial"/>
              </w:rPr>
              <w:t>2016</w:t>
            </w:r>
          </w:p>
        </w:tc>
        <w:tc>
          <w:tcPr>
            <w:tcW w:w="784"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1,213,139</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448,000</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1,671,139</w:t>
            </w:r>
          </w:p>
        </w:tc>
      </w:tr>
      <w:tr w:rsidR="000D28B8" w:rsidRPr="00B57B13" w:rsidTr="00F712CF">
        <w:trPr>
          <w:trHeight w:val="245"/>
          <w:jc w:val="center"/>
        </w:trPr>
        <w:tc>
          <w:tcPr>
            <w:tcW w:w="911" w:type="pct"/>
            <w:shd w:val="clear" w:color="auto" w:fill="auto"/>
          </w:tcPr>
          <w:p w:rsidR="000D28B8" w:rsidRPr="00B57B13" w:rsidRDefault="000D28B8" w:rsidP="00B35480">
            <w:pPr>
              <w:jc w:val="both"/>
              <w:rPr>
                <w:rFonts w:ascii="Arial" w:hAnsi="Arial" w:cs="Arial"/>
              </w:rPr>
            </w:pPr>
            <w:r w:rsidRPr="00B57B13">
              <w:rPr>
                <w:rFonts w:ascii="Arial" w:hAnsi="Arial" w:cs="Arial"/>
              </w:rPr>
              <w:t>2017</w:t>
            </w:r>
          </w:p>
        </w:tc>
        <w:tc>
          <w:tcPr>
            <w:tcW w:w="784"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1,247,069</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448,000</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lang w:eastAsia="en-AU"/>
              </w:rPr>
            </w:pPr>
            <w:r w:rsidRPr="00B57B13">
              <w:rPr>
                <w:rFonts w:ascii="Arial" w:hAnsi="Arial" w:cs="Arial"/>
                <w:color w:val="000000"/>
              </w:rPr>
              <w:t>1,705,069</w:t>
            </w:r>
          </w:p>
        </w:tc>
      </w:tr>
      <w:tr w:rsidR="000D28B8" w:rsidRPr="00B57B13" w:rsidTr="00034D7A">
        <w:trPr>
          <w:trHeight w:val="245"/>
          <w:jc w:val="center"/>
        </w:trPr>
        <w:tc>
          <w:tcPr>
            <w:tcW w:w="911" w:type="pct"/>
            <w:shd w:val="clear" w:color="auto" w:fill="D9D9D9" w:themeFill="background1" w:themeFillShade="D9"/>
            <w:vAlign w:val="center"/>
            <w:hideMark/>
          </w:tcPr>
          <w:p w:rsidR="000D28B8" w:rsidRPr="00034D7A" w:rsidRDefault="000D28B8" w:rsidP="00B35480">
            <w:pPr>
              <w:rPr>
                <w:rFonts w:ascii="Arial" w:hAnsi="Arial" w:cs="Arial"/>
                <w:bCs/>
                <w:lang w:eastAsia="en-AU"/>
              </w:rPr>
            </w:pPr>
            <w:r w:rsidRPr="00034D7A">
              <w:rPr>
                <w:rFonts w:ascii="Arial" w:hAnsi="Arial" w:cs="Arial"/>
                <w:bCs/>
                <w:lang w:eastAsia="en-AU"/>
              </w:rPr>
              <w:t>Totals</w:t>
            </w:r>
          </w:p>
        </w:tc>
        <w:tc>
          <w:tcPr>
            <w:tcW w:w="7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0D28B8" w:rsidRPr="00B57B13" w:rsidRDefault="000D28B8" w:rsidP="00B35480">
            <w:pPr>
              <w:jc w:val="right"/>
              <w:rPr>
                <w:rFonts w:ascii="Arial" w:hAnsi="Arial" w:cs="Arial"/>
                <w:b/>
                <w:lang w:eastAsia="en-AU"/>
              </w:rPr>
            </w:pPr>
            <w:r w:rsidRPr="00B57B13">
              <w:rPr>
                <w:rFonts w:ascii="Arial" w:hAnsi="Arial" w:cs="Arial"/>
                <w:color w:val="000000"/>
              </w:rPr>
              <w:t>3,810,508</w:t>
            </w:r>
          </w:p>
        </w:tc>
        <w:tc>
          <w:tcPr>
            <w:tcW w:w="11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D28B8" w:rsidRPr="00B57B13" w:rsidRDefault="000D28B8" w:rsidP="00B35480">
            <w:pPr>
              <w:jc w:val="right"/>
              <w:rPr>
                <w:rFonts w:ascii="Arial" w:hAnsi="Arial" w:cs="Arial"/>
                <w:b/>
                <w:lang w:eastAsia="en-AU"/>
              </w:rPr>
            </w:pPr>
            <w:r w:rsidRPr="00B57B13">
              <w:rPr>
                <w:rFonts w:ascii="Arial" w:hAnsi="Arial" w:cs="Arial"/>
                <w:color w:val="000000"/>
              </w:rPr>
              <w:t>1,400,000</w:t>
            </w:r>
          </w:p>
        </w:tc>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D28B8" w:rsidRPr="00B57B13" w:rsidRDefault="000D28B8" w:rsidP="00B35480">
            <w:pPr>
              <w:jc w:val="right"/>
              <w:rPr>
                <w:rFonts w:ascii="Arial" w:hAnsi="Arial" w:cs="Arial"/>
              </w:rPr>
            </w:pPr>
            <w:r w:rsidRPr="00B57B13">
              <w:rPr>
                <w:rFonts w:ascii="Arial" w:hAnsi="Arial" w:cs="Arial"/>
                <w:color w:val="000000"/>
              </w:rPr>
              <w:t>30,000</w:t>
            </w:r>
          </w:p>
        </w:tc>
        <w:tc>
          <w:tcPr>
            <w:tcW w:w="7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D28B8" w:rsidRPr="00B57B13" w:rsidRDefault="000D28B8" w:rsidP="00B35480">
            <w:pPr>
              <w:jc w:val="right"/>
              <w:rPr>
                <w:rFonts w:ascii="Arial" w:hAnsi="Arial" w:cs="Arial"/>
                <w:b/>
                <w:lang w:eastAsia="en-AU"/>
              </w:rPr>
            </w:pPr>
            <w:r w:rsidRPr="00B57B13">
              <w:rPr>
                <w:rFonts w:ascii="Arial" w:hAnsi="Arial" w:cs="Arial"/>
                <w:color w:val="000000"/>
              </w:rPr>
              <w:t>5,240,508</w:t>
            </w:r>
          </w:p>
        </w:tc>
      </w:tr>
    </w:tbl>
    <w:p w:rsidR="000D28B8" w:rsidRPr="00B57B13" w:rsidRDefault="000D28B8" w:rsidP="00A8335A">
      <w:pPr>
        <w:spacing w:after="240"/>
      </w:pPr>
    </w:p>
    <w:p w:rsidR="000D28B8" w:rsidRPr="00B57B13" w:rsidRDefault="000D28B8" w:rsidP="00A8335A">
      <w:pPr>
        <w:spacing w:after="240"/>
        <w:rPr>
          <w:rFonts w:ascii="Arial" w:hAnsi="Arial" w:cs="Arial"/>
          <w:b/>
          <w:sz w:val="24"/>
        </w:rPr>
      </w:pPr>
      <w:r w:rsidRPr="00B57B13">
        <w:rPr>
          <w:rFonts w:ascii="Arial" w:hAnsi="Arial" w:cs="Arial"/>
          <w:b/>
          <w:sz w:val="24"/>
        </w:rPr>
        <w:t>Program Management and Extension Costs</w:t>
      </w:r>
    </w:p>
    <w:p w:rsidR="000D28B8" w:rsidRPr="00B57B13" w:rsidRDefault="000D28B8" w:rsidP="00B35480">
      <w:pPr>
        <w:rPr>
          <w:rFonts w:ascii="Arial" w:hAnsi="Arial" w:cs="Arial"/>
        </w:rPr>
      </w:pPr>
      <w:r w:rsidRPr="00B57B13">
        <w:rPr>
          <w:rFonts w:ascii="Arial" w:hAnsi="Arial" w:cs="Arial"/>
        </w:rPr>
        <w:t xml:space="preserve">The DAF investment in Table 2 already includes an allowance for program management, administration and corporate infrastructure costs. As DA research and development overheads could not be easily isolated from their annual report, a multiplier of 1.12 was applied based on an approximate average multiplier for other RDCs. </w:t>
      </w:r>
    </w:p>
    <w:p w:rsidR="000D28B8" w:rsidRPr="00B57B13" w:rsidRDefault="000D28B8" w:rsidP="00B35480">
      <w:pPr>
        <w:rPr>
          <w:rFonts w:ascii="Arial" w:hAnsi="Arial" w:cs="Arial"/>
          <w:color w:val="FF0000"/>
        </w:rPr>
      </w:pPr>
      <w:r w:rsidRPr="00B57B13">
        <w:rPr>
          <w:rFonts w:ascii="Arial" w:hAnsi="Arial" w:cs="Arial"/>
        </w:rPr>
        <w:t xml:space="preserve">No additional costs of extension were included as the project already included a strong extension component. </w:t>
      </w:r>
    </w:p>
    <w:p w:rsidR="000D28B8" w:rsidRPr="00B57B13" w:rsidRDefault="000D28B8" w:rsidP="00F712CF">
      <w:pPr>
        <w:spacing w:after="240"/>
      </w:pPr>
    </w:p>
    <w:p w:rsidR="000D28B8" w:rsidRPr="00A8335A" w:rsidRDefault="000D28B8" w:rsidP="00A8335A">
      <w:pPr>
        <w:spacing w:after="240"/>
        <w:rPr>
          <w:rFonts w:ascii="Arial" w:hAnsi="Arial" w:cs="Arial"/>
          <w:b/>
          <w:sz w:val="40"/>
          <w:szCs w:val="40"/>
        </w:rPr>
      </w:pPr>
      <w:bookmarkStart w:id="412" w:name="_Toc484505453"/>
      <w:bookmarkStart w:id="413" w:name="_Toc486145302"/>
      <w:bookmarkStart w:id="414" w:name="_Toc486145371"/>
      <w:bookmarkStart w:id="415" w:name="_Toc486146287"/>
      <w:r w:rsidRPr="00A8335A">
        <w:rPr>
          <w:rFonts w:ascii="Arial" w:hAnsi="Arial" w:cs="Arial"/>
          <w:b/>
          <w:sz w:val="40"/>
          <w:szCs w:val="40"/>
        </w:rPr>
        <w:t>5. Impacts</w:t>
      </w:r>
      <w:bookmarkEnd w:id="412"/>
      <w:bookmarkEnd w:id="413"/>
      <w:bookmarkEnd w:id="414"/>
      <w:bookmarkEnd w:id="415"/>
    </w:p>
    <w:p w:rsidR="000D28B8" w:rsidRPr="00B57B13" w:rsidRDefault="000D28B8" w:rsidP="00A8335A">
      <w:pPr>
        <w:spacing w:after="240"/>
        <w:rPr>
          <w:rFonts w:ascii="Arial" w:hAnsi="Arial" w:cs="Arial"/>
        </w:rPr>
      </w:pPr>
      <w:r w:rsidRPr="00B57B13">
        <w:rPr>
          <w:rFonts w:ascii="Arial" w:hAnsi="Arial" w:cs="Arial"/>
        </w:rPr>
        <w:t>The research findings from the C4 milk project have been positively received by sub-tropical dairy farmers. All issues addressed by the project were included in the extension effort. This ensured farmers had a full understanding of the project and how findings were relevant to their farms. While the research and development has provided useful results</w:t>
      </w:r>
      <w:r w:rsidRPr="00B57B13">
        <w:rPr>
          <w:rFonts w:ascii="Arial" w:hAnsi="Arial" w:cs="Arial"/>
          <w:i/>
        </w:rPr>
        <w:t xml:space="preserve">, </w:t>
      </w:r>
      <w:r w:rsidRPr="00B57B13">
        <w:rPr>
          <w:rFonts w:ascii="Arial" w:hAnsi="Arial" w:cs="Arial"/>
        </w:rPr>
        <w:t xml:space="preserve">farms cannot implement all the findings and achieve the same results found in the project. Despite this, there has been feedback from farmers stating that they are likely to implement at least one of the findings on their farm. </w:t>
      </w:r>
    </w:p>
    <w:p w:rsidR="000D28B8" w:rsidRPr="00B57B13" w:rsidRDefault="000D28B8" w:rsidP="00B35480">
      <w:pPr>
        <w:rPr>
          <w:rFonts w:ascii="Arial" w:hAnsi="Arial" w:cs="Arial"/>
        </w:rPr>
      </w:pPr>
      <w:r w:rsidRPr="00B57B13">
        <w:rPr>
          <w:rFonts w:ascii="Arial" w:hAnsi="Arial" w:cs="Arial"/>
        </w:rPr>
        <w:t>The principal potential impacts from the improvements identified in the C4 project are included in Table 3. The table provides a summary of the types of impacts categorised into economic, environmental and social impacts.</w:t>
      </w:r>
    </w:p>
    <w:p w:rsidR="000D28B8" w:rsidRDefault="000D28B8" w:rsidP="00B35480">
      <w:pPr>
        <w:rPr>
          <w:rFonts w:ascii="Arial" w:hAnsi="Arial" w:cs="Arial"/>
        </w:rPr>
      </w:pPr>
    </w:p>
    <w:p w:rsidR="00034D7A" w:rsidRDefault="00034D7A" w:rsidP="00B35480">
      <w:pPr>
        <w:rPr>
          <w:rFonts w:ascii="Arial" w:hAnsi="Arial" w:cs="Arial"/>
        </w:rPr>
      </w:pPr>
    </w:p>
    <w:p w:rsidR="00034D7A" w:rsidRDefault="00034D7A" w:rsidP="00B35480">
      <w:pPr>
        <w:rPr>
          <w:rFonts w:ascii="Arial" w:hAnsi="Arial" w:cs="Arial"/>
        </w:rPr>
      </w:pPr>
    </w:p>
    <w:p w:rsidR="00034D7A" w:rsidRDefault="00034D7A" w:rsidP="00B35480">
      <w:pPr>
        <w:rPr>
          <w:rFonts w:ascii="Arial" w:hAnsi="Arial" w:cs="Arial"/>
        </w:rPr>
      </w:pPr>
    </w:p>
    <w:p w:rsidR="00034D7A" w:rsidRDefault="00034D7A" w:rsidP="00B35480">
      <w:pPr>
        <w:rPr>
          <w:rFonts w:ascii="Arial" w:hAnsi="Arial" w:cs="Arial"/>
        </w:rPr>
      </w:pPr>
    </w:p>
    <w:p w:rsidR="00034D7A" w:rsidRDefault="00034D7A" w:rsidP="00B35480">
      <w:pPr>
        <w:rPr>
          <w:rFonts w:ascii="Arial" w:hAnsi="Arial" w:cs="Arial"/>
        </w:rPr>
      </w:pPr>
    </w:p>
    <w:p w:rsidR="00034D7A" w:rsidRDefault="00034D7A" w:rsidP="00B35480">
      <w:pPr>
        <w:rPr>
          <w:rFonts w:ascii="Arial" w:hAnsi="Arial" w:cs="Arial"/>
        </w:rPr>
      </w:pPr>
    </w:p>
    <w:p w:rsidR="00034D7A" w:rsidRDefault="00034D7A" w:rsidP="00B35480">
      <w:pPr>
        <w:rPr>
          <w:rFonts w:ascii="Arial" w:hAnsi="Arial" w:cs="Arial"/>
        </w:rPr>
      </w:pPr>
    </w:p>
    <w:p w:rsidR="00034D7A" w:rsidRPr="00B57B13" w:rsidRDefault="00034D7A" w:rsidP="00B35480">
      <w:pPr>
        <w:rPr>
          <w:rFonts w:ascii="Arial" w:hAnsi="Arial" w:cs="Arial"/>
        </w:rPr>
      </w:pPr>
    </w:p>
    <w:p w:rsidR="000D28B8" w:rsidRPr="00A8335A" w:rsidRDefault="000D28B8" w:rsidP="00A8335A">
      <w:pPr>
        <w:pStyle w:val="Caption"/>
        <w:keepNext/>
        <w:spacing w:after="240"/>
        <w:jc w:val="center"/>
        <w:rPr>
          <w:rFonts w:ascii="Arial" w:hAnsi="Arial"/>
          <w:b w:val="0"/>
          <w:i/>
          <w:sz w:val="22"/>
          <w:szCs w:val="22"/>
        </w:rPr>
      </w:pPr>
      <w:bookmarkStart w:id="416" w:name="_Toc484505460"/>
      <w:r w:rsidRPr="00034D7A">
        <w:rPr>
          <w:rFonts w:ascii="Arial" w:hAnsi="Arial"/>
          <w:b w:val="0"/>
          <w:sz w:val="22"/>
          <w:szCs w:val="22"/>
        </w:rPr>
        <w:t xml:space="preserve">Table </w:t>
      </w:r>
      <w:r w:rsidR="00913E1D" w:rsidRPr="00034D7A">
        <w:rPr>
          <w:rFonts w:ascii="Arial" w:hAnsi="Arial"/>
          <w:b w:val="0"/>
          <w:sz w:val="22"/>
          <w:szCs w:val="22"/>
        </w:rPr>
        <w:t>3</w:t>
      </w:r>
      <w:r w:rsidRPr="00034D7A">
        <w:rPr>
          <w:rFonts w:ascii="Arial" w:hAnsi="Arial"/>
          <w:b w:val="0"/>
          <w:sz w:val="22"/>
          <w:szCs w:val="22"/>
        </w:rPr>
        <w:t>: Triple</w:t>
      </w:r>
      <w:r w:rsidRPr="00A8335A">
        <w:rPr>
          <w:rFonts w:ascii="Arial" w:hAnsi="Arial"/>
          <w:b w:val="0"/>
          <w:sz w:val="22"/>
          <w:szCs w:val="22"/>
        </w:rPr>
        <w:t xml:space="preserve"> Bottom Line Categories of Principal Impacts from the C4 Project</w:t>
      </w:r>
      <w:bookmarkEnd w:id="416"/>
      <w:r w:rsidRPr="00A8335A">
        <w:rPr>
          <w:rFonts w:ascii="Arial" w:hAnsi="Arial"/>
          <w:b w:val="0"/>
          <w:sz w:val="22"/>
          <w:szCs w:val="22"/>
        </w:rPr>
        <w:t xml:space="preserve"> </w:t>
      </w:r>
    </w:p>
    <w:tbl>
      <w:tblPr>
        <w:tblStyle w:val="TableGrid1"/>
        <w:tblpPr w:leftFromText="180" w:rightFromText="180" w:vertAnchor="text" w:tblpXSpec="center" w:tblpY="1"/>
        <w:tblOverlap w:val="never"/>
        <w:tblW w:w="9209" w:type="dxa"/>
        <w:tblLook w:val="04A0" w:firstRow="1" w:lastRow="0" w:firstColumn="1" w:lastColumn="0" w:noHBand="0" w:noVBand="1"/>
      </w:tblPr>
      <w:tblGrid>
        <w:gridCol w:w="1745"/>
        <w:gridCol w:w="7464"/>
      </w:tblGrid>
      <w:tr w:rsidR="000D28B8" w:rsidRPr="00B57B13" w:rsidTr="00B35480">
        <w:trPr>
          <w:trHeight w:val="58"/>
        </w:trPr>
        <w:tc>
          <w:tcPr>
            <w:tcW w:w="1745" w:type="dxa"/>
            <w:tcBorders>
              <w:bottom w:val="single" w:sz="4" w:space="0" w:color="auto"/>
            </w:tcBorders>
          </w:tcPr>
          <w:p w:rsidR="000D28B8" w:rsidRPr="00B57B13" w:rsidRDefault="000D28B8" w:rsidP="00B35480">
            <w:pPr>
              <w:widowControl w:val="0"/>
              <w:suppressAutoHyphens/>
              <w:rPr>
                <w:rFonts w:ascii="Arial" w:hAnsi="Arial" w:cs="Arial"/>
                <w:color w:val="000000"/>
                <w:szCs w:val="22"/>
              </w:rPr>
            </w:pPr>
            <w:r w:rsidRPr="00B57B13">
              <w:rPr>
                <w:rFonts w:ascii="Arial" w:hAnsi="Arial" w:cs="Arial"/>
                <w:color w:val="000000"/>
                <w:szCs w:val="22"/>
              </w:rPr>
              <w:t>Economic</w:t>
            </w:r>
          </w:p>
        </w:tc>
        <w:tc>
          <w:tcPr>
            <w:tcW w:w="7464" w:type="dxa"/>
            <w:tcBorders>
              <w:bottom w:val="single" w:sz="4" w:space="0" w:color="auto"/>
            </w:tcBorders>
          </w:tcPr>
          <w:p w:rsidR="000D28B8" w:rsidRPr="00B57B13" w:rsidRDefault="000D28B8" w:rsidP="000F22FE">
            <w:pPr>
              <w:pStyle w:val="ListParagraph"/>
              <w:numPr>
                <w:ilvl w:val="0"/>
                <w:numId w:val="12"/>
              </w:numPr>
              <w:suppressAutoHyphens/>
              <w:contextualSpacing w:val="0"/>
              <w:rPr>
                <w:rFonts w:ascii="Arial" w:hAnsi="Arial" w:cs="Arial"/>
                <w:szCs w:val="22"/>
              </w:rPr>
            </w:pPr>
            <w:r w:rsidRPr="00B57B13">
              <w:rPr>
                <w:rFonts w:ascii="Arial" w:hAnsi="Arial" w:cs="Arial"/>
                <w:szCs w:val="22"/>
              </w:rPr>
              <w:t xml:space="preserve">Increased MOFC from the use of increased home-grown feed replacing the use of concentrates. This led to higher productivity and profitability on adopting farms from the research and development activities undertaken by the C4 project. </w:t>
            </w:r>
          </w:p>
          <w:p w:rsidR="000D28B8" w:rsidRPr="00B57B13" w:rsidRDefault="000D28B8" w:rsidP="000F22FE">
            <w:pPr>
              <w:widowControl w:val="0"/>
              <w:numPr>
                <w:ilvl w:val="0"/>
                <w:numId w:val="12"/>
              </w:numPr>
              <w:suppressAutoHyphens/>
              <w:rPr>
                <w:rFonts w:ascii="Arial" w:hAnsi="Arial" w:cs="Arial"/>
                <w:color w:val="000000"/>
                <w:szCs w:val="22"/>
              </w:rPr>
            </w:pPr>
            <w:r w:rsidRPr="00B57B13">
              <w:rPr>
                <w:rFonts w:ascii="Arial" w:hAnsi="Arial" w:cs="Arial"/>
                <w:color w:val="000000"/>
                <w:szCs w:val="22"/>
              </w:rPr>
              <w:t xml:space="preserve">Reduced feed costs on some farms as improved forage management practices have been implemented. </w:t>
            </w:r>
          </w:p>
          <w:p w:rsidR="000D28B8" w:rsidRPr="00B57B13" w:rsidRDefault="000D28B8" w:rsidP="000F22FE">
            <w:pPr>
              <w:widowControl w:val="0"/>
              <w:numPr>
                <w:ilvl w:val="0"/>
                <w:numId w:val="12"/>
              </w:numPr>
              <w:suppressAutoHyphens/>
              <w:rPr>
                <w:rFonts w:ascii="Arial" w:hAnsi="Arial" w:cs="Arial"/>
                <w:strike/>
                <w:color w:val="000000"/>
                <w:szCs w:val="22"/>
              </w:rPr>
            </w:pPr>
            <w:r w:rsidRPr="00B57B13">
              <w:rPr>
                <w:rFonts w:ascii="Arial" w:hAnsi="Arial" w:cs="Arial"/>
                <w:color w:val="000000"/>
                <w:szCs w:val="22"/>
              </w:rPr>
              <w:t xml:space="preserve">Reduced feed costs for farms that implemented new types of sub-tropical feed such as soybeans or fodder beet. </w:t>
            </w:r>
          </w:p>
          <w:p w:rsidR="000D28B8" w:rsidRPr="00B57B13" w:rsidRDefault="000D28B8" w:rsidP="000F22FE">
            <w:pPr>
              <w:widowControl w:val="0"/>
              <w:numPr>
                <w:ilvl w:val="0"/>
                <w:numId w:val="12"/>
              </w:numPr>
              <w:suppressAutoHyphens/>
              <w:rPr>
                <w:rFonts w:ascii="Arial" w:hAnsi="Arial" w:cs="Arial"/>
                <w:color w:val="000000"/>
                <w:szCs w:val="22"/>
              </w:rPr>
            </w:pPr>
            <w:r w:rsidRPr="00B57B13">
              <w:rPr>
                <w:rFonts w:ascii="Arial" w:hAnsi="Arial" w:cs="Arial"/>
                <w:color w:val="000000"/>
                <w:szCs w:val="22"/>
              </w:rPr>
              <w:t>Increased farm financial sustainability and ability for dairy farms to deal with potential future impacts (e.g. higher purchased grain prices, lower farm gate milk prices).</w:t>
            </w:r>
          </w:p>
          <w:p w:rsidR="000D28B8" w:rsidRPr="00B57B13" w:rsidRDefault="000D28B8" w:rsidP="000F22FE">
            <w:pPr>
              <w:widowControl w:val="0"/>
              <w:numPr>
                <w:ilvl w:val="0"/>
                <w:numId w:val="12"/>
              </w:numPr>
              <w:suppressAutoHyphens/>
              <w:rPr>
                <w:rFonts w:ascii="Arial" w:hAnsi="Arial" w:cs="Arial"/>
                <w:color w:val="000000"/>
                <w:szCs w:val="22"/>
              </w:rPr>
            </w:pPr>
            <w:r w:rsidRPr="00B57B13">
              <w:rPr>
                <w:rFonts w:ascii="Arial" w:hAnsi="Arial" w:cs="Arial"/>
                <w:color w:val="000000"/>
                <w:szCs w:val="22"/>
              </w:rPr>
              <w:t>Potential for increased use and higher productivity of home-grown feed in Southern NSW and Victoria.</w:t>
            </w:r>
          </w:p>
        </w:tc>
      </w:tr>
      <w:tr w:rsidR="000D28B8" w:rsidRPr="00B57B13" w:rsidTr="00B35480">
        <w:trPr>
          <w:trHeight w:val="274"/>
        </w:trPr>
        <w:tc>
          <w:tcPr>
            <w:tcW w:w="1745" w:type="dxa"/>
          </w:tcPr>
          <w:p w:rsidR="000D28B8" w:rsidRPr="00B57B13" w:rsidRDefault="000D28B8" w:rsidP="00B35480">
            <w:pPr>
              <w:widowControl w:val="0"/>
              <w:suppressAutoHyphens/>
              <w:rPr>
                <w:rFonts w:ascii="Arial" w:hAnsi="Arial" w:cs="Arial"/>
                <w:color w:val="000000"/>
                <w:szCs w:val="22"/>
              </w:rPr>
            </w:pPr>
            <w:r w:rsidRPr="00B57B13">
              <w:rPr>
                <w:rFonts w:ascii="Arial" w:hAnsi="Arial" w:cs="Arial"/>
                <w:color w:val="000000"/>
                <w:szCs w:val="22"/>
              </w:rPr>
              <w:t>Environmental</w:t>
            </w:r>
          </w:p>
        </w:tc>
        <w:tc>
          <w:tcPr>
            <w:tcW w:w="7464" w:type="dxa"/>
          </w:tcPr>
          <w:p w:rsidR="000D28B8" w:rsidRPr="00B57B13" w:rsidRDefault="000D28B8" w:rsidP="000F22FE">
            <w:pPr>
              <w:pStyle w:val="ListParagraph"/>
              <w:numPr>
                <w:ilvl w:val="0"/>
                <w:numId w:val="11"/>
              </w:numPr>
              <w:suppressAutoHyphens/>
              <w:contextualSpacing w:val="0"/>
              <w:rPr>
                <w:rFonts w:ascii="Arial" w:hAnsi="Arial" w:cs="Arial"/>
                <w:szCs w:val="22"/>
              </w:rPr>
            </w:pPr>
            <w:r w:rsidRPr="00B57B13">
              <w:rPr>
                <w:rFonts w:ascii="Arial" w:hAnsi="Arial" w:cs="Arial"/>
                <w:szCs w:val="22"/>
              </w:rPr>
              <w:t xml:space="preserve">Lower total cost of transport of milk from southern states so lowering greenhouse gas emissions from transport; however, the net impact would depend on the overall comparative energy intensity in all facets of milk production between temperate and sub-tropical systems. </w:t>
            </w:r>
          </w:p>
          <w:p w:rsidR="000D28B8" w:rsidRPr="00B57B13" w:rsidRDefault="000D28B8" w:rsidP="000F22FE">
            <w:pPr>
              <w:widowControl w:val="0"/>
              <w:numPr>
                <w:ilvl w:val="0"/>
                <w:numId w:val="11"/>
              </w:numPr>
              <w:suppressAutoHyphens/>
              <w:rPr>
                <w:rFonts w:ascii="Arial" w:hAnsi="Arial" w:cs="Arial"/>
                <w:szCs w:val="22"/>
              </w:rPr>
            </w:pPr>
            <w:r w:rsidRPr="00B57B13">
              <w:rPr>
                <w:rFonts w:ascii="Arial" w:hAnsi="Arial" w:cs="Arial"/>
                <w:szCs w:val="22"/>
              </w:rPr>
              <w:t xml:space="preserve">Use of more water resources on farm due to increase in production of home-grown irrigated feed. But less water being used to grow concentrates and grain by suppliers. </w:t>
            </w:r>
          </w:p>
        </w:tc>
      </w:tr>
      <w:tr w:rsidR="000D28B8" w:rsidRPr="00B57B13" w:rsidTr="00B35480">
        <w:tc>
          <w:tcPr>
            <w:tcW w:w="1745" w:type="dxa"/>
            <w:tcBorders>
              <w:bottom w:val="single" w:sz="4" w:space="0" w:color="auto"/>
            </w:tcBorders>
          </w:tcPr>
          <w:p w:rsidR="000D28B8" w:rsidRPr="00B57B13" w:rsidRDefault="000D28B8" w:rsidP="00B35480">
            <w:pPr>
              <w:widowControl w:val="0"/>
              <w:suppressAutoHyphens/>
              <w:rPr>
                <w:rFonts w:ascii="Arial" w:hAnsi="Arial" w:cs="Arial"/>
                <w:color w:val="000000"/>
                <w:szCs w:val="22"/>
              </w:rPr>
            </w:pPr>
            <w:r w:rsidRPr="00B57B13">
              <w:rPr>
                <w:rFonts w:ascii="Arial" w:hAnsi="Arial" w:cs="Arial"/>
                <w:color w:val="000000"/>
                <w:szCs w:val="22"/>
              </w:rPr>
              <w:t>Social</w:t>
            </w:r>
          </w:p>
        </w:tc>
        <w:tc>
          <w:tcPr>
            <w:tcW w:w="7464" w:type="dxa"/>
            <w:tcBorders>
              <w:bottom w:val="single" w:sz="4" w:space="0" w:color="auto"/>
            </w:tcBorders>
          </w:tcPr>
          <w:p w:rsidR="000D28B8" w:rsidRPr="00B57B13" w:rsidRDefault="000D28B8" w:rsidP="000F22FE">
            <w:pPr>
              <w:pStyle w:val="ListParagraph"/>
              <w:numPr>
                <w:ilvl w:val="0"/>
                <w:numId w:val="11"/>
              </w:numPr>
              <w:suppressAutoHyphens/>
              <w:contextualSpacing w:val="0"/>
              <w:rPr>
                <w:rFonts w:ascii="Arial" w:hAnsi="Arial" w:cs="Arial"/>
                <w:szCs w:val="22"/>
              </w:rPr>
            </w:pPr>
            <w:r w:rsidRPr="00B57B13">
              <w:rPr>
                <w:rFonts w:ascii="Arial" w:hAnsi="Arial" w:cs="Arial"/>
                <w:szCs w:val="22"/>
              </w:rPr>
              <w:t>Increased regional community well-being through the spillover effects of increased or maintained farm incomes. Less social disruption due to reduced number of farmers leaving the industry.</w:t>
            </w:r>
          </w:p>
          <w:p w:rsidR="000D28B8" w:rsidRPr="00B57B13" w:rsidRDefault="000D28B8" w:rsidP="000F22FE">
            <w:pPr>
              <w:numPr>
                <w:ilvl w:val="0"/>
                <w:numId w:val="11"/>
              </w:numPr>
              <w:suppressAutoHyphens/>
              <w:rPr>
                <w:rFonts w:ascii="Arial" w:hAnsi="Arial" w:cs="Arial"/>
                <w:szCs w:val="22"/>
              </w:rPr>
            </w:pPr>
            <w:r w:rsidRPr="00B57B13">
              <w:rPr>
                <w:rFonts w:ascii="Arial" w:hAnsi="Arial" w:cs="Arial"/>
                <w:szCs w:val="22"/>
              </w:rPr>
              <w:t xml:space="preserve">Increased scientific research capacity and human capital of research personnel through involvement in the project. </w:t>
            </w:r>
          </w:p>
          <w:p w:rsidR="000D28B8" w:rsidRPr="00B57B13" w:rsidRDefault="000D28B8" w:rsidP="000F22FE">
            <w:pPr>
              <w:numPr>
                <w:ilvl w:val="0"/>
                <w:numId w:val="11"/>
              </w:numPr>
              <w:suppressAutoHyphens/>
              <w:rPr>
                <w:rFonts w:ascii="Arial" w:hAnsi="Arial" w:cs="Arial"/>
                <w:szCs w:val="22"/>
              </w:rPr>
            </w:pPr>
            <w:r w:rsidRPr="00B57B13">
              <w:rPr>
                <w:rFonts w:ascii="Arial" w:hAnsi="Arial" w:cs="Arial"/>
                <w:szCs w:val="22"/>
              </w:rPr>
              <w:t xml:space="preserve">Increased farmer capacity to change in the future through improved networks established in the C4 project. </w:t>
            </w:r>
          </w:p>
          <w:p w:rsidR="000D28B8" w:rsidRPr="00B57B13" w:rsidRDefault="000D28B8" w:rsidP="000F22FE">
            <w:pPr>
              <w:numPr>
                <w:ilvl w:val="0"/>
                <w:numId w:val="11"/>
              </w:numPr>
              <w:suppressAutoHyphens/>
              <w:rPr>
                <w:rFonts w:ascii="Arial" w:hAnsi="Arial" w:cs="Arial"/>
                <w:szCs w:val="22"/>
              </w:rPr>
            </w:pPr>
            <w:r w:rsidRPr="00B57B13">
              <w:rPr>
                <w:rFonts w:ascii="Arial" w:hAnsi="Arial" w:cs="Arial"/>
                <w:szCs w:val="22"/>
              </w:rPr>
              <w:t>Increased animal welfare through lower incidence of laminitis from reductions in high grain intakes.</w:t>
            </w:r>
          </w:p>
        </w:tc>
      </w:tr>
    </w:tbl>
    <w:p w:rsidR="000D28B8" w:rsidRDefault="000D28B8" w:rsidP="00B35480">
      <w:pPr>
        <w:widowControl w:val="0"/>
        <w:rPr>
          <w:rFonts w:ascii="Arial" w:hAnsi="Arial" w:cs="Arial"/>
          <w:b/>
          <w:sz w:val="24"/>
        </w:rPr>
      </w:pPr>
    </w:p>
    <w:p w:rsidR="00F712CF" w:rsidRPr="00B57B13" w:rsidRDefault="00F712CF" w:rsidP="00B35480">
      <w:pPr>
        <w:widowControl w:val="0"/>
        <w:rPr>
          <w:rFonts w:ascii="Arial" w:hAnsi="Arial" w:cs="Arial"/>
          <w:b/>
          <w:sz w:val="24"/>
        </w:rPr>
      </w:pPr>
    </w:p>
    <w:p w:rsidR="000D28B8" w:rsidRPr="00B57B13" w:rsidRDefault="000D28B8" w:rsidP="005173A2">
      <w:pPr>
        <w:spacing w:after="240"/>
        <w:rPr>
          <w:rFonts w:ascii="Arial" w:hAnsi="Arial" w:cs="Arial"/>
          <w:b/>
          <w:sz w:val="24"/>
        </w:rPr>
      </w:pPr>
      <w:r w:rsidRPr="00B57B13">
        <w:rPr>
          <w:rFonts w:ascii="Arial" w:hAnsi="Arial" w:cs="Arial"/>
          <w:b/>
          <w:sz w:val="24"/>
        </w:rPr>
        <w:t xml:space="preserve">Public versus Private Impacts </w:t>
      </w:r>
    </w:p>
    <w:p w:rsidR="000D28B8" w:rsidRPr="00B57B13" w:rsidRDefault="000D28B8" w:rsidP="00B35480">
      <w:pPr>
        <w:rPr>
          <w:rFonts w:ascii="Arial" w:hAnsi="Arial" w:cs="Arial"/>
        </w:rPr>
      </w:pPr>
      <w:r w:rsidRPr="00B57B13">
        <w:rPr>
          <w:rFonts w:ascii="Arial" w:hAnsi="Arial" w:cs="Arial"/>
        </w:rPr>
        <w:t xml:space="preserve">Most of the impacts identified are private benefits captured by sub-tropical dairy farmers. There are some public benefits with stronger farming and regional communities, and increased research and scientific knowledge, as well as enhanced human capacity for the future of those involved in the project. </w:t>
      </w:r>
    </w:p>
    <w:p w:rsidR="000D28B8" w:rsidRPr="00B57B13" w:rsidRDefault="000D28B8" w:rsidP="00B35480">
      <w:pPr>
        <w:rPr>
          <w:rFonts w:ascii="Arial" w:hAnsi="Arial" w:cs="Arial"/>
        </w:rPr>
      </w:pPr>
    </w:p>
    <w:p w:rsidR="000D28B8" w:rsidRPr="00B57B13" w:rsidRDefault="000D28B8" w:rsidP="00A8335A">
      <w:pPr>
        <w:widowControl w:val="0"/>
        <w:spacing w:after="240"/>
        <w:rPr>
          <w:rFonts w:ascii="Arial" w:hAnsi="Arial" w:cs="Arial"/>
          <w:b/>
          <w:sz w:val="24"/>
        </w:rPr>
      </w:pPr>
      <w:r w:rsidRPr="00B57B13">
        <w:rPr>
          <w:rFonts w:ascii="Arial" w:hAnsi="Arial" w:cs="Arial"/>
          <w:b/>
          <w:sz w:val="24"/>
        </w:rPr>
        <w:t xml:space="preserve">Distribution of Private Benefits </w:t>
      </w:r>
    </w:p>
    <w:p w:rsidR="000D28B8" w:rsidRPr="00B57B13" w:rsidRDefault="000D28B8" w:rsidP="00A8335A">
      <w:pPr>
        <w:spacing w:after="240"/>
        <w:rPr>
          <w:rFonts w:ascii="Arial" w:hAnsi="Arial" w:cs="Arial"/>
        </w:rPr>
      </w:pPr>
      <w:r w:rsidRPr="00B57B13">
        <w:rPr>
          <w:rFonts w:ascii="Arial" w:hAnsi="Arial" w:cs="Arial"/>
        </w:rPr>
        <w:t xml:space="preserve">The direct beneficiaries of the project will be sub-tropical dairy farmers. There may be an impact on processors in the future, if the sub-tropical industry remains sustainable with less transport costs incurred by processors in shipping milk from other regions. There is also impacts on dairy producers in Southern NSW and Victoria, with increased knowledge of home grown feed production to these regions. </w:t>
      </w:r>
    </w:p>
    <w:p w:rsidR="000D28B8" w:rsidRDefault="000D28B8" w:rsidP="00A8335A">
      <w:pPr>
        <w:spacing w:after="240"/>
        <w:rPr>
          <w:rFonts w:ascii="Arial" w:hAnsi="Arial" w:cs="Arial"/>
        </w:rPr>
      </w:pPr>
      <w:r w:rsidRPr="00B57B13">
        <w:rPr>
          <w:rFonts w:ascii="Arial" w:hAnsi="Arial" w:cs="Arial"/>
        </w:rPr>
        <w:t xml:space="preserve">It can be assumed that the benefits will be captured by farmers who implement the findings of the C4 project. The principal direct losers from increased home-grown feed would be the companies that supply purchased feed. </w:t>
      </w:r>
    </w:p>
    <w:p w:rsidR="00034D7A" w:rsidRPr="00B57B13" w:rsidRDefault="00034D7A" w:rsidP="00A8335A">
      <w:pPr>
        <w:spacing w:after="240"/>
        <w:rPr>
          <w:rFonts w:ascii="Arial" w:hAnsi="Arial" w:cs="Arial"/>
        </w:rPr>
      </w:pPr>
    </w:p>
    <w:p w:rsidR="000D28B8" w:rsidRPr="00B57B13" w:rsidRDefault="000D28B8" w:rsidP="00A8335A">
      <w:pPr>
        <w:widowControl w:val="0"/>
        <w:spacing w:after="240"/>
        <w:rPr>
          <w:rFonts w:ascii="Arial" w:hAnsi="Arial" w:cs="Arial"/>
          <w:b/>
          <w:sz w:val="24"/>
        </w:rPr>
      </w:pPr>
      <w:r w:rsidRPr="00B57B13">
        <w:rPr>
          <w:rFonts w:ascii="Arial" w:hAnsi="Arial" w:cs="Arial"/>
          <w:b/>
          <w:sz w:val="24"/>
        </w:rPr>
        <w:t>Impacts on other Industries</w:t>
      </w:r>
    </w:p>
    <w:p w:rsidR="000D28B8" w:rsidRPr="00B57B13" w:rsidRDefault="000D28B8" w:rsidP="00A8335A">
      <w:pPr>
        <w:spacing w:after="240"/>
        <w:rPr>
          <w:rFonts w:ascii="Arial" w:hAnsi="Arial" w:cs="Arial"/>
        </w:rPr>
      </w:pPr>
      <w:r w:rsidRPr="00B57B13">
        <w:rPr>
          <w:rFonts w:ascii="Arial" w:hAnsi="Arial" w:cs="Arial"/>
        </w:rPr>
        <w:t xml:space="preserve">There is not expected to be a significant impact on industries other than dairying. There may be some spillovers to the beef industry in Queensland and Northern New South Wales if further sub-tropical forages are developed. </w:t>
      </w:r>
    </w:p>
    <w:p w:rsidR="000D28B8" w:rsidRPr="00B57B13" w:rsidRDefault="000D28B8" w:rsidP="00A8335A">
      <w:pPr>
        <w:widowControl w:val="0"/>
        <w:spacing w:after="240"/>
        <w:rPr>
          <w:rFonts w:ascii="Arial" w:hAnsi="Arial" w:cs="Arial"/>
          <w:b/>
          <w:sz w:val="24"/>
        </w:rPr>
      </w:pPr>
      <w:r w:rsidRPr="00B57B13">
        <w:rPr>
          <w:rFonts w:ascii="Arial" w:hAnsi="Arial" w:cs="Arial"/>
          <w:b/>
          <w:sz w:val="24"/>
        </w:rPr>
        <w:t xml:space="preserve">Impacts Overseas </w:t>
      </w:r>
    </w:p>
    <w:p w:rsidR="000D28B8" w:rsidRPr="00B57B13" w:rsidRDefault="000D28B8" w:rsidP="00A8335A">
      <w:pPr>
        <w:spacing w:after="240"/>
        <w:rPr>
          <w:rFonts w:ascii="Arial" w:hAnsi="Arial" w:cs="Arial"/>
        </w:rPr>
      </w:pPr>
      <w:r w:rsidRPr="00B57B13">
        <w:rPr>
          <w:rFonts w:ascii="Arial" w:hAnsi="Arial" w:cs="Arial"/>
        </w:rPr>
        <w:t xml:space="preserve">There is not expected to be any significant impacts overseas. There may be some increased scientific knowledge and research of tropical feeds that may be utilised internationally in other sub-tropical or tropical dairy regions. </w:t>
      </w:r>
    </w:p>
    <w:p w:rsidR="000D28B8" w:rsidRPr="00A8335A" w:rsidRDefault="000D28B8" w:rsidP="00A8335A">
      <w:pPr>
        <w:widowControl w:val="0"/>
        <w:spacing w:after="240"/>
        <w:rPr>
          <w:rFonts w:ascii="Arial" w:hAnsi="Arial" w:cs="Arial"/>
          <w:b/>
          <w:sz w:val="24"/>
        </w:rPr>
      </w:pPr>
      <w:bookmarkStart w:id="417" w:name="_Toc486145303"/>
      <w:r w:rsidRPr="00A8335A">
        <w:rPr>
          <w:rFonts w:ascii="Arial" w:hAnsi="Arial" w:cs="Arial"/>
          <w:b/>
          <w:sz w:val="24"/>
        </w:rPr>
        <w:t>Match with National Priorities</w:t>
      </w:r>
      <w:bookmarkEnd w:id="417"/>
    </w:p>
    <w:p w:rsidR="000D28B8" w:rsidRPr="00B57B13" w:rsidRDefault="000D28B8" w:rsidP="00A8335A">
      <w:pPr>
        <w:spacing w:after="240"/>
        <w:rPr>
          <w:rFonts w:ascii="Arial" w:hAnsi="Arial" w:cs="Arial"/>
          <w:szCs w:val="20"/>
        </w:rPr>
      </w:pPr>
      <w:r w:rsidRPr="00B57B13">
        <w:rPr>
          <w:rFonts w:ascii="Arial" w:hAnsi="Arial" w:cs="Arial"/>
          <w:bCs/>
        </w:rPr>
        <w:t>The Australian Government’s Science and Research Priorities and Rural RD&amp;E Priorities are reproduced in Table 4. The C4 Milk investment contributes primarily to Rural RD&amp;E Priorities 1 and 4, and to Science and Research Priority 1</w:t>
      </w:r>
      <w:r w:rsidRPr="00B57B13">
        <w:rPr>
          <w:rFonts w:ascii="Arial" w:hAnsi="Arial" w:cs="Arial"/>
          <w:szCs w:val="20"/>
        </w:rPr>
        <w:t>.</w:t>
      </w:r>
    </w:p>
    <w:p w:rsidR="000D28B8" w:rsidRPr="00A8335A" w:rsidRDefault="000D28B8" w:rsidP="00A8335A">
      <w:pPr>
        <w:pStyle w:val="Caption"/>
        <w:keepNext/>
        <w:spacing w:after="240"/>
        <w:jc w:val="center"/>
        <w:rPr>
          <w:rFonts w:ascii="Arial" w:hAnsi="Arial"/>
          <w:b w:val="0"/>
          <w:i/>
          <w:sz w:val="22"/>
          <w:szCs w:val="22"/>
        </w:rPr>
      </w:pPr>
      <w:bookmarkStart w:id="418" w:name="_Toc484505461"/>
      <w:r w:rsidRPr="00034D7A">
        <w:rPr>
          <w:rFonts w:ascii="Arial" w:hAnsi="Arial"/>
          <w:b w:val="0"/>
          <w:sz w:val="22"/>
          <w:szCs w:val="22"/>
        </w:rPr>
        <w:t xml:space="preserve">Table </w:t>
      </w:r>
      <w:r w:rsidR="00913E1D" w:rsidRPr="00034D7A">
        <w:rPr>
          <w:rFonts w:ascii="Arial" w:hAnsi="Arial"/>
          <w:b w:val="0"/>
          <w:sz w:val="22"/>
          <w:szCs w:val="22"/>
        </w:rPr>
        <w:t>4</w:t>
      </w:r>
      <w:r w:rsidRPr="00034D7A">
        <w:rPr>
          <w:rFonts w:ascii="Arial" w:hAnsi="Arial"/>
          <w:b w:val="0"/>
          <w:sz w:val="22"/>
          <w:szCs w:val="22"/>
        </w:rPr>
        <w:t>:</w:t>
      </w:r>
      <w:r w:rsidRPr="00A8335A">
        <w:rPr>
          <w:rFonts w:ascii="Arial" w:hAnsi="Arial"/>
          <w:b w:val="0"/>
          <w:sz w:val="22"/>
          <w:szCs w:val="22"/>
        </w:rPr>
        <w:t xml:space="preserve"> Australian Government Research Priorities</w:t>
      </w:r>
      <w:bookmarkEnd w:id="418"/>
    </w:p>
    <w:tbl>
      <w:tblPr>
        <w:tblStyle w:val="TableGrid1"/>
        <w:tblW w:w="0" w:type="auto"/>
        <w:tblInd w:w="988" w:type="dxa"/>
        <w:tblLook w:val="04A0" w:firstRow="1" w:lastRow="0" w:firstColumn="1" w:lastColumn="0" w:noHBand="0" w:noVBand="1"/>
      </w:tblPr>
      <w:tblGrid>
        <w:gridCol w:w="3520"/>
        <w:gridCol w:w="3425"/>
      </w:tblGrid>
      <w:tr w:rsidR="000D28B8" w:rsidRPr="00B57B13" w:rsidTr="00B35480">
        <w:tc>
          <w:tcPr>
            <w:tcW w:w="6945" w:type="dxa"/>
            <w:gridSpan w:val="2"/>
          </w:tcPr>
          <w:p w:rsidR="000D28B8" w:rsidRPr="00B57B13" w:rsidRDefault="000D28B8" w:rsidP="00B35480">
            <w:pPr>
              <w:suppressAutoHyphens/>
              <w:spacing w:after="220"/>
              <w:ind w:left="720"/>
              <w:jc w:val="center"/>
              <w:rPr>
                <w:rFonts w:ascii="Arial" w:hAnsi="Arial" w:cs="Arial"/>
                <w:b/>
                <w:color w:val="000000"/>
                <w:szCs w:val="22"/>
              </w:rPr>
            </w:pPr>
            <w:r w:rsidRPr="00B57B13">
              <w:rPr>
                <w:rFonts w:ascii="Arial" w:hAnsi="Arial" w:cs="Arial"/>
                <w:b/>
                <w:color w:val="000000"/>
                <w:szCs w:val="22"/>
              </w:rPr>
              <w:t>Australian Government</w:t>
            </w:r>
          </w:p>
        </w:tc>
      </w:tr>
      <w:tr w:rsidR="000D28B8" w:rsidRPr="00B57B13" w:rsidTr="00B35480">
        <w:tc>
          <w:tcPr>
            <w:tcW w:w="3520" w:type="dxa"/>
          </w:tcPr>
          <w:p w:rsidR="000D28B8" w:rsidRPr="00B57B13" w:rsidRDefault="000D28B8" w:rsidP="00B35480">
            <w:pPr>
              <w:suppressAutoHyphens/>
              <w:spacing w:after="220"/>
              <w:rPr>
                <w:rFonts w:ascii="Arial" w:hAnsi="Arial" w:cs="Arial"/>
                <w:b/>
                <w:color w:val="000000"/>
                <w:szCs w:val="22"/>
              </w:rPr>
            </w:pPr>
            <w:r w:rsidRPr="00B57B13">
              <w:rPr>
                <w:rFonts w:ascii="Arial" w:hAnsi="Arial" w:cs="Arial"/>
                <w:b/>
                <w:color w:val="000000"/>
                <w:szCs w:val="22"/>
              </w:rPr>
              <w:t>Rural RD&amp;E Priorities (est. 2015)</w:t>
            </w:r>
          </w:p>
        </w:tc>
        <w:tc>
          <w:tcPr>
            <w:tcW w:w="3425" w:type="dxa"/>
          </w:tcPr>
          <w:p w:rsidR="000D28B8" w:rsidRPr="00B57B13" w:rsidRDefault="000D28B8" w:rsidP="00B35480">
            <w:pPr>
              <w:suppressAutoHyphens/>
              <w:spacing w:after="220"/>
              <w:rPr>
                <w:rFonts w:ascii="Arial" w:hAnsi="Arial" w:cs="Arial"/>
                <w:b/>
                <w:color w:val="000000"/>
                <w:szCs w:val="22"/>
              </w:rPr>
            </w:pPr>
            <w:r w:rsidRPr="00B57B13">
              <w:rPr>
                <w:rFonts w:ascii="Arial" w:hAnsi="Arial" w:cs="Arial"/>
                <w:b/>
                <w:color w:val="000000"/>
                <w:szCs w:val="22"/>
              </w:rPr>
              <w:t>Science and Research Priorities (est. 2015)</w:t>
            </w:r>
          </w:p>
        </w:tc>
      </w:tr>
      <w:tr w:rsidR="000D28B8" w:rsidRPr="00B57B13" w:rsidTr="00B35480">
        <w:tc>
          <w:tcPr>
            <w:tcW w:w="3520" w:type="dxa"/>
          </w:tcPr>
          <w:p w:rsidR="000D28B8" w:rsidRPr="00B57B13" w:rsidRDefault="000D28B8" w:rsidP="000D5A34">
            <w:pPr>
              <w:numPr>
                <w:ilvl w:val="0"/>
                <w:numId w:val="73"/>
              </w:numPr>
              <w:suppressAutoHyphens/>
              <w:spacing w:before="120" w:after="220"/>
              <w:ind w:left="454"/>
              <w:contextualSpacing/>
              <w:rPr>
                <w:rFonts w:ascii="Arial" w:hAnsi="Arial" w:cs="Arial"/>
                <w:color w:val="000000"/>
                <w:szCs w:val="22"/>
              </w:rPr>
            </w:pPr>
            <w:r w:rsidRPr="00B57B13">
              <w:rPr>
                <w:rFonts w:ascii="Arial" w:hAnsi="Arial" w:cs="Arial"/>
                <w:color w:val="000000"/>
                <w:szCs w:val="22"/>
              </w:rPr>
              <w:t xml:space="preserve">Advanced technology </w:t>
            </w:r>
          </w:p>
          <w:p w:rsidR="000D28B8" w:rsidRPr="00B57B13" w:rsidRDefault="000D28B8" w:rsidP="000D5A34">
            <w:pPr>
              <w:numPr>
                <w:ilvl w:val="0"/>
                <w:numId w:val="73"/>
              </w:numPr>
              <w:suppressAutoHyphens/>
              <w:spacing w:before="120" w:after="220"/>
              <w:ind w:left="459"/>
              <w:contextualSpacing/>
              <w:rPr>
                <w:rFonts w:ascii="Arial" w:hAnsi="Arial" w:cs="Arial"/>
                <w:color w:val="000000"/>
                <w:szCs w:val="22"/>
              </w:rPr>
            </w:pPr>
            <w:r w:rsidRPr="00B57B13">
              <w:rPr>
                <w:rFonts w:ascii="Arial" w:hAnsi="Arial" w:cs="Arial"/>
                <w:color w:val="000000"/>
                <w:szCs w:val="22"/>
              </w:rPr>
              <w:t>Biosecurity</w:t>
            </w:r>
          </w:p>
          <w:p w:rsidR="000D28B8" w:rsidRPr="00B57B13" w:rsidRDefault="000D28B8" w:rsidP="000D5A34">
            <w:pPr>
              <w:numPr>
                <w:ilvl w:val="0"/>
                <w:numId w:val="73"/>
              </w:numPr>
              <w:suppressAutoHyphens/>
              <w:spacing w:before="120" w:after="220"/>
              <w:ind w:left="459"/>
              <w:contextualSpacing/>
              <w:rPr>
                <w:rFonts w:ascii="Arial" w:hAnsi="Arial" w:cs="Arial"/>
                <w:color w:val="000000"/>
                <w:szCs w:val="22"/>
              </w:rPr>
            </w:pPr>
            <w:r w:rsidRPr="00B57B13">
              <w:rPr>
                <w:rFonts w:ascii="Arial" w:hAnsi="Arial" w:cs="Arial"/>
                <w:color w:val="000000"/>
                <w:szCs w:val="22"/>
              </w:rPr>
              <w:t>Soil, water and managing natural resources</w:t>
            </w:r>
          </w:p>
          <w:p w:rsidR="000D28B8" w:rsidRPr="00B57B13" w:rsidRDefault="000D28B8" w:rsidP="000D5A34">
            <w:pPr>
              <w:numPr>
                <w:ilvl w:val="0"/>
                <w:numId w:val="73"/>
              </w:numPr>
              <w:suppressAutoHyphens/>
              <w:spacing w:before="120" w:after="220"/>
              <w:ind w:left="459"/>
              <w:contextualSpacing/>
              <w:rPr>
                <w:rFonts w:ascii="Arial" w:hAnsi="Arial" w:cs="Arial"/>
                <w:color w:val="000000"/>
                <w:szCs w:val="22"/>
              </w:rPr>
            </w:pPr>
            <w:r w:rsidRPr="00B57B13">
              <w:rPr>
                <w:rFonts w:ascii="Arial" w:hAnsi="Arial" w:cs="Arial"/>
                <w:color w:val="000000"/>
                <w:szCs w:val="22"/>
              </w:rPr>
              <w:t>Adoption of R&amp;D</w:t>
            </w:r>
          </w:p>
        </w:tc>
        <w:tc>
          <w:tcPr>
            <w:tcW w:w="3425" w:type="dxa"/>
          </w:tcPr>
          <w:p w:rsidR="000D28B8" w:rsidRPr="00B57B13" w:rsidRDefault="000D28B8" w:rsidP="000D5A34">
            <w:pPr>
              <w:numPr>
                <w:ilvl w:val="0"/>
                <w:numId w:val="74"/>
              </w:numPr>
              <w:suppressAutoHyphens/>
              <w:spacing w:before="120" w:after="220"/>
              <w:ind w:left="483"/>
              <w:contextualSpacing/>
              <w:rPr>
                <w:rFonts w:ascii="Arial" w:hAnsi="Arial" w:cs="Arial"/>
                <w:color w:val="000000"/>
                <w:szCs w:val="22"/>
              </w:rPr>
            </w:pPr>
            <w:r w:rsidRPr="00B57B13">
              <w:rPr>
                <w:rFonts w:ascii="Arial" w:hAnsi="Arial" w:cs="Arial"/>
                <w:color w:val="000000"/>
                <w:szCs w:val="22"/>
              </w:rPr>
              <w:t>Food</w:t>
            </w:r>
          </w:p>
          <w:p w:rsidR="000D28B8" w:rsidRPr="00B57B13" w:rsidRDefault="000D28B8" w:rsidP="000D5A34">
            <w:pPr>
              <w:numPr>
                <w:ilvl w:val="0"/>
                <w:numId w:val="74"/>
              </w:numPr>
              <w:suppressAutoHyphens/>
              <w:spacing w:before="120" w:after="220"/>
              <w:ind w:left="482"/>
              <w:contextualSpacing/>
              <w:rPr>
                <w:rFonts w:ascii="Arial" w:hAnsi="Arial" w:cs="Arial"/>
                <w:color w:val="000000"/>
                <w:szCs w:val="22"/>
              </w:rPr>
            </w:pPr>
            <w:r w:rsidRPr="00B57B13">
              <w:rPr>
                <w:rFonts w:ascii="Arial" w:hAnsi="Arial" w:cs="Arial"/>
                <w:color w:val="000000"/>
                <w:szCs w:val="22"/>
              </w:rPr>
              <w:t xml:space="preserve">Soil and Water </w:t>
            </w:r>
          </w:p>
          <w:p w:rsidR="000D28B8" w:rsidRPr="00B57B13" w:rsidRDefault="000D28B8" w:rsidP="000D5A34">
            <w:pPr>
              <w:numPr>
                <w:ilvl w:val="0"/>
                <w:numId w:val="74"/>
              </w:numPr>
              <w:suppressAutoHyphens/>
              <w:spacing w:before="120" w:after="220"/>
              <w:ind w:left="482"/>
              <w:contextualSpacing/>
              <w:rPr>
                <w:rFonts w:ascii="Arial" w:hAnsi="Arial" w:cs="Arial"/>
                <w:color w:val="000000"/>
                <w:szCs w:val="22"/>
              </w:rPr>
            </w:pPr>
            <w:r w:rsidRPr="00B57B13">
              <w:rPr>
                <w:rFonts w:ascii="Arial" w:hAnsi="Arial" w:cs="Arial"/>
                <w:color w:val="000000"/>
                <w:szCs w:val="22"/>
              </w:rPr>
              <w:t>Transport</w:t>
            </w:r>
          </w:p>
          <w:p w:rsidR="000D28B8" w:rsidRPr="00B57B13" w:rsidRDefault="000D28B8" w:rsidP="000D5A34">
            <w:pPr>
              <w:numPr>
                <w:ilvl w:val="0"/>
                <w:numId w:val="74"/>
              </w:numPr>
              <w:suppressAutoHyphens/>
              <w:spacing w:before="120" w:after="220"/>
              <w:ind w:left="482"/>
              <w:contextualSpacing/>
              <w:rPr>
                <w:rFonts w:ascii="Arial" w:hAnsi="Arial" w:cs="Arial"/>
                <w:color w:val="000000"/>
                <w:szCs w:val="22"/>
              </w:rPr>
            </w:pPr>
            <w:r w:rsidRPr="00B57B13">
              <w:rPr>
                <w:rFonts w:ascii="Arial" w:hAnsi="Arial" w:cs="Arial"/>
                <w:color w:val="000000"/>
                <w:szCs w:val="22"/>
              </w:rPr>
              <w:t xml:space="preserve">Cybersecurity </w:t>
            </w:r>
          </w:p>
          <w:p w:rsidR="000D28B8" w:rsidRPr="00B57B13" w:rsidRDefault="000D28B8" w:rsidP="000D5A34">
            <w:pPr>
              <w:numPr>
                <w:ilvl w:val="0"/>
                <w:numId w:val="74"/>
              </w:numPr>
              <w:suppressAutoHyphens/>
              <w:spacing w:before="120" w:after="220"/>
              <w:ind w:left="482"/>
              <w:contextualSpacing/>
              <w:rPr>
                <w:rFonts w:ascii="Arial" w:hAnsi="Arial" w:cs="Arial"/>
                <w:color w:val="000000"/>
                <w:szCs w:val="22"/>
              </w:rPr>
            </w:pPr>
            <w:r w:rsidRPr="00B57B13">
              <w:rPr>
                <w:rFonts w:ascii="Arial" w:hAnsi="Arial" w:cs="Arial"/>
                <w:color w:val="000000"/>
                <w:szCs w:val="22"/>
              </w:rPr>
              <w:t xml:space="preserve">Energy and Resources </w:t>
            </w:r>
          </w:p>
          <w:p w:rsidR="000D28B8" w:rsidRPr="00B57B13" w:rsidRDefault="000D28B8" w:rsidP="000D5A34">
            <w:pPr>
              <w:numPr>
                <w:ilvl w:val="0"/>
                <w:numId w:val="74"/>
              </w:numPr>
              <w:suppressAutoHyphens/>
              <w:spacing w:before="120" w:after="220"/>
              <w:ind w:left="482"/>
              <w:contextualSpacing/>
              <w:rPr>
                <w:rFonts w:ascii="Arial" w:hAnsi="Arial" w:cs="Arial"/>
                <w:color w:val="000000"/>
                <w:szCs w:val="22"/>
              </w:rPr>
            </w:pPr>
            <w:r w:rsidRPr="00B57B13">
              <w:rPr>
                <w:rFonts w:ascii="Arial" w:hAnsi="Arial" w:cs="Arial"/>
                <w:color w:val="000000"/>
                <w:szCs w:val="22"/>
              </w:rPr>
              <w:t xml:space="preserve">Manufacturing </w:t>
            </w:r>
          </w:p>
          <w:p w:rsidR="000D28B8" w:rsidRPr="00B57B13" w:rsidRDefault="000D28B8" w:rsidP="000D5A34">
            <w:pPr>
              <w:numPr>
                <w:ilvl w:val="0"/>
                <w:numId w:val="74"/>
              </w:numPr>
              <w:suppressAutoHyphens/>
              <w:spacing w:before="120" w:after="220"/>
              <w:ind w:left="482"/>
              <w:contextualSpacing/>
              <w:rPr>
                <w:rFonts w:ascii="Arial" w:hAnsi="Arial" w:cs="Arial"/>
                <w:color w:val="000000"/>
                <w:szCs w:val="22"/>
              </w:rPr>
            </w:pPr>
            <w:r w:rsidRPr="00B57B13">
              <w:rPr>
                <w:rFonts w:ascii="Arial" w:hAnsi="Arial" w:cs="Arial"/>
                <w:color w:val="000000"/>
                <w:szCs w:val="22"/>
              </w:rPr>
              <w:t>Environmental Change</w:t>
            </w:r>
          </w:p>
          <w:p w:rsidR="000D28B8" w:rsidRPr="00B57B13" w:rsidRDefault="000D28B8" w:rsidP="000D5A34">
            <w:pPr>
              <w:keepNext/>
              <w:numPr>
                <w:ilvl w:val="0"/>
                <w:numId w:val="74"/>
              </w:numPr>
              <w:suppressAutoHyphens/>
              <w:spacing w:before="120" w:after="220"/>
              <w:ind w:left="482"/>
              <w:contextualSpacing/>
              <w:rPr>
                <w:rFonts w:ascii="Arial" w:hAnsi="Arial" w:cs="Arial"/>
                <w:color w:val="000000"/>
                <w:szCs w:val="22"/>
              </w:rPr>
            </w:pPr>
            <w:r w:rsidRPr="00B57B13">
              <w:rPr>
                <w:rFonts w:ascii="Arial" w:hAnsi="Arial" w:cs="Arial"/>
                <w:color w:val="000000"/>
                <w:szCs w:val="22"/>
              </w:rPr>
              <w:t>Health</w:t>
            </w:r>
          </w:p>
        </w:tc>
      </w:tr>
    </w:tbl>
    <w:p w:rsidR="000D28B8" w:rsidRPr="00B57B13" w:rsidRDefault="000D28B8" w:rsidP="00A8335A">
      <w:pPr>
        <w:contextualSpacing/>
        <w:jc w:val="center"/>
        <w:rPr>
          <w:rFonts w:ascii="Arial" w:hAnsi="Arial" w:cs="Arial"/>
        </w:rPr>
      </w:pPr>
      <w:r w:rsidRPr="00B57B13">
        <w:rPr>
          <w:rFonts w:ascii="Arial" w:hAnsi="Arial" w:cs="Arial"/>
        </w:rPr>
        <w:t>Sources: DAWR (2015) and OCS (2016)</w:t>
      </w:r>
    </w:p>
    <w:p w:rsidR="000D28B8" w:rsidRPr="00B57B13" w:rsidRDefault="000D28B8" w:rsidP="00B35480">
      <w:pPr>
        <w:spacing w:after="240"/>
        <w:contextualSpacing/>
        <w:jc w:val="center"/>
        <w:rPr>
          <w:rFonts w:ascii="Arial" w:hAnsi="Arial" w:cs="Arial"/>
          <w:sz w:val="20"/>
          <w:szCs w:val="20"/>
        </w:rPr>
      </w:pPr>
    </w:p>
    <w:p w:rsidR="000D28B8" w:rsidRPr="00B57B13" w:rsidRDefault="000D28B8" w:rsidP="00B35480">
      <w:pPr>
        <w:rPr>
          <w:rFonts w:ascii="Arial" w:hAnsi="Arial" w:cs="Arial"/>
          <w:bCs/>
        </w:rPr>
      </w:pPr>
      <w:r w:rsidRPr="00B57B13">
        <w:rPr>
          <w:rFonts w:ascii="Arial" w:hAnsi="Arial" w:cs="Arial"/>
          <w:bCs/>
        </w:rPr>
        <w:t xml:space="preserve">The Queensland Government’s Science and Research Priorities, together with the four decision rules for investment that guide evaluation, prioritisation and decision making around future investment are reproduced in Table 5. The C4 Milk project addressed Science and Research Priority 1. In terms of the guides to investment, the project is likely to have a real future impact through improved feed management strategies and reduction in feed costs. In addition to DAF funding, the project was supported and funded by others external to Queensland, but with the majority of the benefits flowing to Queensland dairy farmers. </w:t>
      </w:r>
    </w:p>
    <w:p w:rsidR="000D28B8" w:rsidRDefault="000D28B8" w:rsidP="00B35480">
      <w:pPr>
        <w:suppressAutoHyphens/>
        <w:spacing w:after="200"/>
        <w:jc w:val="center"/>
        <w:rPr>
          <w:rFonts w:ascii="Arial" w:hAnsi="Arial" w:cs="Arial"/>
          <w:iCs/>
          <w:color w:val="000000" w:themeColor="text1"/>
        </w:rPr>
      </w:pPr>
    </w:p>
    <w:p w:rsidR="00034D7A" w:rsidRDefault="00034D7A" w:rsidP="00B35480">
      <w:pPr>
        <w:suppressAutoHyphens/>
        <w:spacing w:after="200"/>
        <w:jc w:val="center"/>
        <w:rPr>
          <w:rFonts w:ascii="Arial" w:hAnsi="Arial" w:cs="Arial"/>
          <w:iCs/>
          <w:color w:val="000000" w:themeColor="text1"/>
        </w:rPr>
      </w:pPr>
    </w:p>
    <w:p w:rsidR="00034D7A" w:rsidRDefault="00034D7A" w:rsidP="00B35480">
      <w:pPr>
        <w:suppressAutoHyphens/>
        <w:spacing w:after="200"/>
        <w:jc w:val="center"/>
        <w:rPr>
          <w:rFonts w:ascii="Arial" w:hAnsi="Arial" w:cs="Arial"/>
          <w:iCs/>
          <w:color w:val="000000" w:themeColor="text1"/>
        </w:rPr>
      </w:pPr>
    </w:p>
    <w:p w:rsidR="00034D7A" w:rsidRDefault="00034D7A" w:rsidP="00B35480">
      <w:pPr>
        <w:suppressAutoHyphens/>
        <w:spacing w:after="200"/>
        <w:jc w:val="center"/>
        <w:rPr>
          <w:rFonts w:ascii="Arial" w:hAnsi="Arial" w:cs="Arial"/>
          <w:iCs/>
          <w:color w:val="000000" w:themeColor="text1"/>
        </w:rPr>
      </w:pPr>
    </w:p>
    <w:p w:rsidR="00034D7A" w:rsidRDefault="00034D7A" w:rsidP="00B35480">
      <w:pPr>
        <w:suppressAutoHyphens/>
        <w:spacing w:after="200"/>
        <w:jc w:val="center"/>
        <w:rPr>
          <w:rFonts w:ascii="Arial" w:hAnsi="Arial" w:cs="Arial"/>
          <w:iCs/>
          <w:color w:val="000000" w:themeColor="text1"/>
        </w:rPr>
      </w:pPr>
    </w:p>
    <w:p w:rsidR="00034D7A" w:rsidRDefault="00034D7A" w:rsidP="00B35480">
      <w:pPr>
        <w:suppressAutoHyphens/>
        <w:spacing w:after="200"/>
        <w:jc w:val="center"/>
        <w:rPr>
          <w:rFonts w:ascii="Arial" w:hAnsi="Arial" w:cs="Arial"/>
          <w:iCs/>
          <w:color w:val="000000" w:themeColor="text1"/>
        </w:rPr>
      </w:pPr>
    </w:p>
    <w:p w:rsidR="00034D7A" w:rsidRPr="00B57B13" w:rsidRDefault="00034D7A" w:rsidP="00B35480">
      <w:pPr>
        <w:suppressAutoHyphens/>
        <w:spacing w:after="200"/>
        <w:jc w:val="center"/>
        <w:rPr>
          <w:rFonts w:ascii="Arial" w:hAnsi="Arial" w:cs="Arial"/>
          <w:iCs/>
          <w:color w:val="000000" w:themeColor="text1"/>
        </w:rPr>
      </w:pPr>
    </w:p>
    <w:p w:rsidR="000D28B8" w:rsidRPr="00B57B13" w:rsidRDefault="000D28B8" w:rsidP="00B35480">
      <w:pPr>
        <w:suppressAutoHyphens/>
        <w:spacing w:after="200"/>
        <w:jc w:val="center"/>
        <w:rPr>
          <w:rFonts w:ascii="Arial" w:hAnsi="Arial" w:cs="Arial"/>
          <w:bCs/>
          <w:iCs/>
          <w:color w:val="000000" w:themeColor="text1"/>
        </w:rPr>
      </w:pPr>
      <w:bookmarkStart w:id="419" w:name="_Toc484505462"/>
      <w:r w:rsidRPr="00B57B13">
        <w:rPr>
          <w:rFonts w:ascii="Arial" w:hAnsi="Arial" w:cs="Arial"/>
          <w:iCs/>
          <w:color w:val="000000" w:themeColor="text1"/>
        </w:rPr>
        <w:t xml:space="preserve">Table </w:t>
      </w:r>
      <w:r w:rsidR="00913E1D">
        <w:rPr>
          <w:rFonts w:ascii="Arial" w:hAnsi="Arial" w:cs="Arial"/>
          <w:iCs/>
          <w:color w:val="000000" w:themeColor="text1"/>
        </w:rPr>
        <w:t>5</w:t>
      </w:r>
      <w:r w:rsidRPr="00B57B13">
        <w:rPr>
          <w:rFonts w:ascii="Arial" w:hAnsi="Arial" w:cs="Arial"/>
          <w:iCs/>
          <w:color w:val="000000" w:themeColor="text1"/>
        </w:rPr>
        <w:t>: Queensland Government Research Priorities</w:t>
      </w:r>
      <w:bookmarkEnd w:id="419"/>
    </w:p>
    <w:tbl>
      <w:tblPr>
        <w:tblStyle w:val="TableGrid"/>
        <w:tblW w:w="0" w:type="auto"/>
        <w:jc w:val="center"/>
        <w:tblLook w:val="04A0" w:firstRow="1" w:lastRow="0" w:firstColumn="1" w:lastColumn="0" w:noHBand="0" w:noVBand="1"/>
      </w:tblPr>
      <w:tblGrid>
        <w:gridCol w:w="5665"/>
        <w:gridCol w:w="3266"/>
      </w:tblGrid>
      <w:tr w:rsidR="000D28B8" w:rsidRPr="00B57B13" w:rsidTr="00A8335A">
        <w:trPr>
          <w:jc w:val="center"/>
        </w:trPr>
        <w:tc>
          <w:tcPr>
            <w:tcW w:w="8931" w:type="dxa"/>
            <w:gridSpan w:val="2"/>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Queensland Government</w:t>
            </w:r>
          </w:p>
        </w:tc>
      </w:tr>
      <w:tr w:rsidR="000D28B8" w:rsidRPr="00B57B13" w:rsidTr="00034D7A">
        <w:trPr>
          <w:jc w:val="center"/>
        </w:trPr>
        <w:tc>
          <w:tcPr>
            <w:tcW w:w="5665" w:type="dxa"/>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Science and Research Priorities (est. 2015)</w:t>
            </w:r>
          </w:p>
        </w:tc>
        <w:tc>
          <w:tcPr>
            <w:tcW w:w="3266" w:type="dxa"/>
          </w:tcPr>
          <w:p w:rsidR="000D28B8" w:rsidRPr="00B57B13" w:rsidRDefault="000D28B8" w:rsidP="00034D7A">
            <w:pPr>
              <w:jc w:val="center"/>
              <w:rPr>
                <w:rFonts w:ascii="Arial" w:hAnsi="Arial" w:cs="Arial"/>
                <w:b/>
                <w:sz w:val="22"/>
                <w:szCs w:val="22"/>
              </w:rPr>
            </w:pPr>
            <w:r w:rsidRPr="00B57B13">
              <w:rPr>
                <w:rFonts w:ascii="Arial" w:hAnsi="Arial" w:cs="Arial"/>
                <w:b/>
                <w:sz w:val="22"/>
                <w:szCs w:val="22"/>
              </w:rPr>
              <w:t>Investment Decision Rule Guides</w:t>
            </w:r>
            <w:r w:rsidR="00034D7A">
              <w:rPr>
                <w:rFonts w:ascii="Arial" w:hAnsi="Arial" w:cs="Arial"/>
                <w:b/>
                <w:sz w:val="22"/>
                <w:szCs w:val="22"/>
              </w:rPr>
              <w:t xml:space="preserve"> </w:t>
            </w:r>
            <w:r w:rsidRPr="00B57B13">
              <w:rPr>
                <w:rFonts w:ascii="Arial" w:hAnsi="Arial" w:cs="Arial"/>
                <w:b/>
                <w:sz w:val="22"/>
                <w:szCs w:val="22"/>
              </w:rPr>
              <w:t>(est. 2015)</w:t>
            </w:r>
          </w:p>
        </w:tc>
      </w:tr>
      <w:tr w:rsidR="000D28B8" w:rsidRPr="00B57B13" w:rsidTr="00034D7A">
        <w:trPr>
          <w:jc w:val="center"/>
        </w:trPr>
        <w:tc>
          <w:tcPr>
            <w:tcW w:w="5665" w:type="dxa"/>
          </w:tcPr>
          <w:p w:rsidR="000D28B8" w:rsidRPr="00B57B13" w:rsidRDefault="000D28B8" w:rsidP="00B35480">
            <w:pPr>
              <w:rPr>
                <w:rFonts w:ascii="Arial" w:hAnsi="Arial" w:cs="Arial"/>
                <w:sz w:val="22"/>
                <w:szCs w:val="22"/>
              </w:rPr>
            </w:pPr>
            <w:r w:rsidRPr="00B57B13">
              <w:rPr>
                <w:rFonts w:ascii="Arial" w:hAnsi="Arial" w:cs="Arial"/>
                <w:sz w:val="22"/>
                <w:szCs w:val="22"/>
              </w:rPr>
              <w:t xml:space="preserve">1.Delivering productivity growth </w:t>
            </w:r>
          </w:p>
          <w:p w:rsidR="000D28B8" w:rsidRPr="00B57B13" w:rsidRDefault="000D28B8" w:rsidP="00B35480">
            <w:pPr>
              <w:rPr>
                <w:rFonts w:ascii="Arial" w:hAnsi="Arial" w:cs="Arial"/>
                <w:sz w:val="22"/>
                <w:szCs w:val="22"/>
              </w:rPr>
            </w:pPr>
            <w:r w:rsidRPr="00B57B13">
              <w:rPr>
                <w:rFonts w:ascii="Arial" w:hAnsi="Arial" w:cs="Arial"/>
                <w:sz w:val="22"/>
                <w:szCs w:val="22"/>
              </w:rPr>
              <w:t>2.Growing knowledge intensive services</w:t>
            </w:r>
          </w:p>
          <w:p w:rsidR="000D28B8" w:rsidRPr="00B57B13" w:rsidRDefault="000D28B8" w:rsidP="00B35480">
            <w:pPr>
              <w:rPr>
                <w:rFonts w:ascii="Arial" w:hAnsi="Arial" w:cs="Arial"/>
                <w:sz w:val="22"/>
                <w:szCs w:val="22"/>
              </w:rPr>
            </w:pPr>
            <w:r w:rsidRPr="00B57B13">
              <w:rPr>
                <w:rFonts w:ascii="Arial" w:hAnsi="Arial" w:cs="Arial"/>
                <w:sz w:val="22"/>
                <w:szCs w:val="22"/>
              </w:rPr>
              <w:t>3.Protecting biodiversity and heritage, both marine and terrestrial</w:t>
            </w:r>
          </w:p>
          <w:p w:rsidR="000D28B8" w:rsidRPr="00B57B13" w:rsidRDefault="000D28B8" w:rsidP="00B35480">
            <w:pPr>
              <w:rPr>
                <w:rFonts w:ascii="Arial" w:hAnsi="Arial" w:cs="Arial"/>
                <w:sz w:val="22"/>
                <w:szCs w:val="22"/>
              </w:rPr>
            </w:pPr>
            <w:r w:rsidRPr="00B57B13">
              <w:rPr>
                <w:rFonts w:ascii="Arial" w:hAnsi="Arial" w:cs="Arial"/>
                <w:sz w:val="22"/>
                <w:szCs w:val="22"/>
              </w:rPr>
              <w:t>4.Cleaner and renewable energy technologies</w:t>
            </w:r>
          </w:p>
          <w:p w:rsidR="000D28B8" w:rsidRPr="00B57B13" w:rsidRDefault="000D28B8" w:rsidP="00B35480">
            <w:pPr>
              <w:rPr>
                <w:rFonts w:ascii="Arial" w:hAnsi="Arial" w:cs="Arial"/>
                <w:sz w:val="22"/>
                <w:szCs w:val="22"/>
              </w:rPr>
            </w:pPr>
            <w:r w:rsidRPr="00B57B13">
              <w:rPr>
                <w:rFonts w:ascii="Arial" w:hAnsi="Arial" w:cs="Arial"/>
                <w:sz w:val="22"/>
                <w:szCs w:val="22"/>
              </w:rPr>
              <w:t>5. Ensuring sustainability of physical and especially digital infrastructure critical for research</w:t>
            </w:r>
          </w:p>
          <w:p w:rsidR="000D28B8" w:rsidRPr="00B57B13" w:rsidRDefault="000D28B8" w:rsidP="00B35480">
            <w:pPr>
              <w:rPr>
                <w:rFonts w:ascii="Arial" w:hAnsi="Arial" w:cs="Arial"/>
                <w:sz w:val="22"/>
                <w:szCs w:val="22"/>
              </w:rPr>
            </w:pPr>
            <w:r w:rsidRPr="00B57B13">
              <w:rPr>
                <w:rFonts w:ascii="Arial" w:hAnsi="Arial" w:cs="Arial"/>
                <w:sz w:val="22"/>
                <w:szCs w:val="22"/>
              </w:rPr>
              <w:t>6. Building resilience and managing climate risk</w:t>
            </w:r>
          </w:p>
          <w:p w:rsidR="000D28B8" w:rsidRPr="00B57B13" w:rsidRDefault="000D28B8" w:rsidP="00B35480">
            <w:pPr>
              <w:rPr>
                <w:rFonts w:ascii="Arial" w:hAnsi="Arial" w:cs="Arial"/>
                <w:sz w:val="22"/>
                <w:szCs w:val="22"/>
              </w:rPr>
            </w:pPr>
            <w:r w:rsidRPr="00B57B13">
              <w:rPr>
                <w:rFonts w:ascii="Arial" w:hAnsi="Arial" w:cs="Arial"/>
                <w:sz w:val="22"/>
                <w:szCs w:val="22"/>
              </w:rPr>
              <w:t>7. Supporting the translation of health and biotechnology research</w:t>
            </w:r>
          </w:p>
          <w:p w:rsidR="000D28B8" w:rsidRPr="00B57B13" w:rsidRDefault="000D28B8" w:rsidP="00B35480">
            <w:pPr>
              <w:rPr>
                <w:rFonts w:ascii="Arial" w:hAnsi="Arial" w:cs="Arial"/>
                <w:sz w:val="22"/>
                <w:szCs w:val="22"/>
              </w:rPr>
            </w:pPr>
            <w:r w:rsidRPr="00B57B13">
              <w:rPr>
                <w:rFonts w:ascii="Arial" w:hAnsi="Arial" w:cs="Arial"/>
                <w:sz w:val="22"/>
                <w:szCs w:val="22"/>
              </w:rPr>
              <w:t>8. Improving health data management and services delivery</w:t>
            </w:r>
          </w:p>
          <w:p w:rsidR="000D28B8" w:rsidRPr="00B57B13" w:rsidRDefault="000D28B8" w:rsidP="00B35480">
            <w:pPr>
              <w:rPr>
                <w:rFonts w:ascii="Arial" w:hAnsi="Arial" w:cs="Arial"/>
                <w:sz w:val="22"/>
                <w:szCs w:val="22"/>
              </w:rPr>
            </w:pPr>
            <w:r w:rsidRPr="00B57B13">
              <w:rPr>
                <w:rFonts w:ascii="Arial" w:hAnsi="Arial" w:cs="Arial"/>
                <w:sz w:val="22"/>
                <w:szCs w:val="22"/>
              </w:rPr>
              <w:t>9. Ensuring sustainable water use and delivering quality water and water security</w:t>
            </w:r>
          </w:p>
          <w:p w:rsidR="000D28B8" w:rsidRPr="00B57B13" w:rsidRDefault="000D28B8" w:rsidP="00B35480">
            <w:pPr>
              <w:rPr>
                <w:rFonts w:ascii="Arial" w:hAnsi="Arial" w:cs="Arial"/>
                <w:sz w:val="22"/>
                <w:szCs w:val="22"/>
              </w:rPr>
            </w:pPr>
            <w:r w:rsidRPr="00B57B13">
              <w:rPr>
                <w:rFonts w:ascii="Arial" w:hAnsi="Arial" w:cs="Arial"/>
                <w:sz w:val="22"/>
                <w:szCs w:val="22"/>
              </w:rPr>
              <w:t xml:space="preserve">10.The development and application of digitally-enabled technologies. </w:t>
            </w:r>
          </w:p>
        </w:tc>
        <w:tc>
          <w:tcPr>
            <w:tcW w:w="3266" w:type="dxa"/>
          </w:tcPr>
          <w:p w:rsidR="000D28B8" w:rsidRPr="00B57B13" w:rsidRDefault="000D28B8" w:rsidP="00B35480">
            <w:pPr>
              <w:rPr>
                <w:rFonts w:ascii="Arial" w:hAnsi="Arial" w:cs="Arial"/>
                <w:sz w:val="22"/>
                <w:szCs w:val="22"/>
              </w:rPr>
            </w:pPr>
            <w:r w:rsidRPr="00B57B13">
              <w:rPr>
                <w:rFonts w:ascii="Arial" w:hAnsi="Arial" w:cs="Arial"/>
                <w:sz w:val="22"/>
                <w:szCs w:val="22"/>
              </w:rPr>
              <w:t>1.Real Future Impact</w:t>
            </w:r>
          </w:p>
          <w:p w:rsidR="000D28B8" w:rsidRPr="00B57B13" w:rsidRDefault="000D28B8" w:rsidP="00B35480">
            <w:pPr>
              <w:rPr>
                <w:rFonts w:ascii="Arial" w:hAnsi="Arial" w:cs="Arial"/>
                <w:sz w:val="22"/>
                <w:szCs w:val="22"/>
              </w:rPr>
            </w:pPr>
            <w:r w:rsidRPr="00B57B13">
              <w:rPr>
                <w:rFonts w:ascii="Arial" w:hAnsi="Arial" w:cs="Arial"/>
                <w:sz w:val="22"/>
                <w:szCs w:val="22"/>
              </w:rPr>
              <w:t xml:space="preserve">2.External Commitment </w:t>
            </w:r>
          </w:p>
          <w:p w:rsidR="000D28B8" w:rsidRPr="00B57B13" w:rsidRDefault="000D28B8" w:rsidP="00B35480">
            <w:pPr>
              <w:rPr>
                <w:rFonts w:ascii="Arial" w:hAnsi="Arial" w:cs="Arial"/>
                <w:sz w:val="22"/>
                <w:szCs w:val="22"/>
              </w:rPr>
            </w:pPr>
            <w:r w:rsidRPr="00B57B13">
              <w:rPr>
                <w:rFonts w:ascii="Arial" w:hAnsi="Arial" w:cs="Arial"/>
                <w:sz w:val="22"/>
                <w:szCs w:val="22"/>
              </w:rPr>
              <w:t>3.Distinctive Angle</w:t>
            </w:r>
          </w:p>
          <w:p w:rsidR="000D28B8" w:rsidRPr="00B57B13" w:rsidRDefault="000D28B8" w:rsidP="00B35480">
            <w:pPr>
              <w:rPr>
                <w:rFonts w:ascii="Arial" w:hAnsi="Arial" w:cs="Arial"/>
                <w:sz w:val="22"/>
                <w:szCs w:val="22"/>
              </w:rPr>
            </w:pPr>
            <w:r w:rsidRPr="00B57B13">
              <w:rPr>
                <w:rFonts w:ascii="Arial" w:hAnsi="Arial" w:cs="Arial"/>
                <w:sz w:val="22"/>
                <w:szCs w:val="22"/>
              </w:rPr>
              <w:t xml:space="preserve">4.Scaling towards Critical Mass  </w:t>
            </w:r>
          </w:p>
          <w:p w:rsidR="000D28B8" w:rsidRPr="00B57B13" w:rsidRDefault="000D28B8" w:rsidP="00B35480">
            <w:pPr>
              <w:rPr>
                <w:rFonts w:ascii="Arial" w:hAnsi="Arial" w:cs="Arial"/>
                <w:sz w:val="22"/>
                <w:szCs w:val="22"/>
              </w:rPr>
            </w:pPr>
          </w:p>
        </w:tc>
      </w:tr>
    </w:tbl>
    <w:p w:rsidR="000D28B8" w:rsidRDefault="000D28B8" w:rsidP="00B35480">
      <w:pPr>
        <w:jc w:val="center"/>
        <w:rPr>
          <w:rFonts w:ascii="Arial" w:hAnsi="Arial" w:cs="Arial"/>
        </w:rPr>
      </w:pPr>
      <w:r w:rsidRPr="00B57B13">
        <w:rPr>
          <w:rFonts w:ascii="Arial" w:hAnsi="Arial" w:cs="Arial"/>
        </w:rPr>
        <w:t xml:space="preserve">Source: Office of the Chief Scientist Queensland (2015) </w:t>
      </w:r>
    </w:p>
    <w:p w:rsidR="00034D7A" w:rsidRDefault="00034D7A" w:rsidP="00034D7A">
      <w:pPr>
        <w:rPr>
          <w:rFonts w:ascii="Arial" w:hAnsi="Arial" w:cs="Arial"/>
        </w:rPr>
      </w:pPr>
    </w:p>
    <w:p w:rsidR="00034D7A" w:rsidRPr="00B57B13" w:rsidRDefault="00034D7A" w:rsidP="00034D7A">
      <w:pPr>
        <w:rPr>
          <w:rFonts w:ascii="Arial" w:hAnsi="Arial" w:cs="Arial"/>
        </w:rPr>
      </w:pPr>
    </w:p>
    <w:p w:rsidR="000D28B8" w:rsidRPr="00A8335A" w:rsidRDefault="000D28B8" w:rsidP="00A8335A">
      <w:pPr>
        <w:spacing w:after="240"/>
        <w:rPr>
          <w:rFonts w:ascii="Arial" w:hAnsi="Arial" w:cs="Arial"/>
          <w:b/>
          <w:sz w:val="40"/>
          <w:szCs w:val="40"/>
        </w:rPr>
      </w:pPr>
      <w:bookmarkStart w:id="420" w:name="_Toc484505454"/>
      <w:bookmarkStart w:id="421" w:name="_Toc486145304"/>
      <w:bookmarkStart w:id="422" w:name="_Toc486145372"/>
      <w:bookmarkStart w:id="423" w:name="_Toc486146288"/>
      <w:r w:rsidRPr="00A8335A">
        <w:rPr>
          <w:rFonts w:ascii="Arial" w:hAnsi="Arial" w:cs="Arial"/>
          <w:b/>
          <w:sz w:val="40"/>
          <w:szCs w:val="40"/>
        </w:rPr>
        <w:t>6. Valuation of Impacts</w:t>
      </w:r>
      <w:bookmarkEnd w:id="420"/>
      <w:bookmarkEnd w:id="421"/>
      <w:bookmarkEnd w:id="422"/>
      <w:bookmarkEnd w:id="423"/>
      <w:r w:rsidRPr="00A8335A">
        <w:rPr>
          <w:rFonts w:ascii="Arial" w:hAnsi="Arial" w:cs="Arial"/>
          <w:b/>
          <w:sz w:val="40"/>
          <w:szCs w:val="40"/>
        </w:rPr>
        <w:t xml:space="preserve"> </w:t>
      </w:r>
    </w:p>
    <w:p w:rsidR="000D28B8" w:rsidRPr="00B57B13" w:rsidRDefault="000D28B8" w:rsidP="00A8335A">
      <w:pPr>
        <w:spacing w:after="240"/>
        <w:rPr>
          <w:rFonts w:ascii="Arial" w:hAnsi="Arial" w:cs="Arial"/>
          <w:b/>
          <w:color w:val="FF0000"/>
        </w:rPr>
      </w:pPr>
      <w:r w:rsidRPr="00B57B13">
        <w:rPr>
          <w:rFonts w:ascii="Arial" w:hAnsi="Arial" w:cs="Arial"/>
          <w:b/>
          <w:sz w:val="24"/>
        </w:rPr>
        <w:t xml:space="preserve">Impacts Valued </w:t>
      </w:r>
    </w:p>
    <w:p w:rsidR="000D28B8" w:rsidRPr="00B57B13" w:rsidRDefault="000D28B8" w:rsidP="00A8335A">
      <w:pPr>
        <w:spacing w:after="240"/>
        <w:rPr>
          <w:rFonts w:ascii="Arial" w:hAnsi="Arial" w:cs="Arial"/>
        </w:rPr>
      </w:pPr>
      <w:r w:rsidRPr="00B57B13">
        <w:rPr>
          <w:rFonts w:ascii="Arial" w:hAnsi="Arial" w:cs="Arial"/>
        </w:rPr>
        <w:t>Analyses were undertaken for total benefits that included future expected benefits. A degree of conservatism was used when finalising assumptions, particularly when a high degree of uncertainty was involved. Sensitivity analyses were undertaken for those variables where there was greatest uncertainty or for those that were identified as key drivers of the investment criteria.</w:t>
      </w:r>
    </w:p>
    <w:p w:rsidR="000D28B8" w:rsidRPr="00B57B13" w:rsidRDefault="000D28B8" w:rsidP="00B35480">
      <w:pPr>
        <w:rPr>
          <w:rFonts w:ascii="Arial" w:hAnsi="Arial" w:cs="Arial"/>
        </w:rPr>
      </w:pPr>
      <w:r w:rsidRPr="00B57B13">
        <w:rPr>
          <w:rFonts w:ascii="Arial" w:hAnsi="Arial" w:cs="Arial"/>
        </w:rPr>
        <w:t>Two of the impacts identified in Table 3 were valued. The two benefits were:</w:t>
      </w:r>
    </w:p>
    <w:p w:rsidR="000D28B8" w:rsidRPr="00B57B13" w:rsidRDefault="000D28B8" w:rsidP="000D5A34">
      <w:pPr>
        <w:numPr>
          <w:ilvl w:val="0"/>
          <w:numId w:val="33"/>
        </w:numPr>
        <w:suppressAutoHyphens/>
        <w:rPr>
          <w:rFonts w:ascii="Arial" w:hAnsi="Arial" w:cs="Arial"/>
          <w:color w:val="000000"/>
          <w:szCs w:val="20"/>
        </w:rPr>
      </w:pPr>
      <w:r w:rsidRPr="00B57B13">
        <w:rPr>
          <w:rFonts w:ascii="Arial" w:hAnsi="Arial" w:cs="Arial"/>
          <w:color w:val="000000"/>
          <w:szCs w:val="20"/>
        </w:rPr>
        <w:t xml:space="preserve">Benefit 1: Increased MOFC due to replacement of some concentrates with home-grown fodder. </w:t>
      </w:r>
    </w:p>
    <w:p w:rsidR="000D28B8" w:rsidRPr="00B57B13" w:rsidRDefault="000D28B8" w:rsidP="000D5A34">
      <w:pPr>
        <w:numPr>
          <w:ilvl w:val="0"/>
          <w:numId w:val="33"/>
        </w:numPr>
        <w:suppressAutoHyphens/>
        <w:spacing w:after="240"/>
        <w:rPr>
          <w:rFonts w:ascii="Arial" w:hAnsi="Arial" w:cs="Arial"/>
          <w:color w:val="000000"/>
          <w:szCs w:val="20"/>
        </w:rPr>
      </w:pPr>
      <w:r w:rsidRPr="00B57B13">
        <w:rPr>
          <w:rFonts w:ascii="Arial" w:hAnsi="Arial" w:cs="Arial"/>
          <w:color w:val="000000"/>
          <w:szCs w:val="20"/>
        </w:rPr>
        <w:t xml:space="preserve">Benefit 2: Decreased feed costs due to research into improved forage management. </w:t>
      </w:r>
    </w:p>
    <w:p w:rsidR="000D28B8" w:rsidRPr="00B57B13" w:rsidRDefault="000D28B8" w:rsidP="00A8335A">
      <w:pPr>
        <w:spacing w:after="240"/>
        <w:rPr>
          <w:rFonts w:ascii="Arial" w:hAnsi="Arial" w:cs="Arial"/>
          <w:color w:val="000000"/>
          <w:sz w:val="24"/>
        </w:rPr>
      </w:pPr>
      <w:r w:rsidRPr="00B57B13">
        <w:rPr>
          <w:rFonts w:ascii="Arial" w:hAnsi="Arial" w:cs="Arial"/>
          <w:b/>
          <w:color w:val="000000"/>
          <w:sz w:val="24"/>
        </w:rPr>
        <w:t>I</w:t>
      </w:r>
      <w:r w:rsidRPr="00B57B13">
        <w:rPr>
          <w:rFonts w:ascii="Arial" w:hAnsi="Arial" w:cs="Arial"/>
          <w:b/>
          <w:sz w:val="24"/>
        </w:rPr>
        <w:t>mpacts not Valued</w:t>
      </w:r>
    </w:p>
    <w:p w:rsidR="000D28B8" w:rsidRPr="00B57B13" w:rsidRDefault="000D28B8" w:rsidP="00A8335A">
      <w:pPr>
        <w:spacing w:after="240"/>
        <w:rPr>
          <w:rFonts w:ascii="Arial" w:hAnsi="Arial" w:cs="Arial"/>
        </w:rPr>
      </w:pPr>
      <w:r w:rsidRPr="00B57B13">
        <w:rPr>
          <w:rFonts w:ascii="Arial" w:hAnsi="Arial" w:cs="Arial"/>
        </w:rPr>
        <w:t xml:space="preserve">Not all impacts identified in Table 3 could be valued in the assessment. </w:t>
      </w:r>
    </w:p>
    <w:p w:rsidR="000D28B8" w:rsidRPr="00B57B13" w:rsidRDefault="000D28B8" w:rsidP="00B35480">
      <w:pPr>
        <w:rPr>
          <w:rFonts w:ascii="Arial" w:hAnsi="Arial" w:cs="Arial"/>
        </w:rPr>
      </w:pPr>
      <w:r w:rsidRPr="00B57B13">
        <w:rPr>
          <w:rFonts w:ascii="Arial" w:hAnsi="Arial" w:cs="Arial"/>
        </w:rPr>
        <w:t>The economic impacts identified but not valued included:</w:t>
      </w:r>
    </w:p>
    <w:p w:rsidR="000D28B8" w:rsidRPr="00A8335A" w:rsidRDefault="000D28B8" w:rsidP="000D5A34">
      <w:pPr>
        <w:numPr>
          <w:ilvl w:val="0"/>
          <w:numId w:val="32"/>
        </w:numPr>
        <w:jc w:val="both"/>
        <w:rPr>
          <w:rFonts w:ascii="Arial" w:hAnsi="Arial" w:cs="Arial"/>
          <w:color w:val="000000"/>
          <w:szCs w:val="20"/>
        </w:rPr>
      </w:pPr>
      <w:r w:rsidRPr="00B57B13">
        <w:rPr>
          <w:rFonts w:ascii="Arial" w:hAnsi="Arial" w:cs="Arial"/>
          <w:color w:val="000000"/>
          <w:szCs w:val="20"/>
        </w:rPr>
        <w:t xml:space="preserve">Potential reduction in feed costs due to new types and varieties of forage being researched (such as soybeans or fodder beet). </w:t>
      </w:r>
    </w:p>
    <w:p w:rsidR="000D28B8" w:rsidRPr="00A8335A" w:rsidRDefault="000D28B8" w:rsidP="000D5A34">
      <w:pPr>
        <w:numPr>
          <w:ilvl w:val="0"/>
          <w:numId w:val="32"/>
        </w:numPr>
        <w:jc w:val="both"/>
        <w:rPr>
          <w:rFonts w:ascii="Arial" w:hAnsi="Arial" w:cs="Arial"/>
          <w:color w:val="000000"/>
          <w:szCs w:val="20"/>
        </w:rPr>
      </w:pPr>
      <w:r w:rsidRPr="00B57B13">
        <w:rPr>
          <w:rFonts w:ascii="Arial" w:hAnsi="Arial" w:cs="Arial"/>
          <w:color w:val="000000"/>
          <w:szCs w:val="20"/>
        </w:rPr>
        <w:t xml:space="preserve">The increased certainty and sustainability of the sub-tropical dairy industry to deal with industry disruption due to the C4 program. </w:t>
      </w:r>
    </w:p>
    <w:p w:rsidR="000D28B8" w:rsidRPr="00B57B13" w:rsidRDefault="000D28B8" w:rsidP="000D5A34">
      <w:pPr>
        <w:numPr>
          <w:ilvl w:val="0"/>
          <w:numId w:val="32"/>
        </w:numPr>
        <w:jc w:val="both"/>
        <w:rPr>
          <w:rFonts w:ascii="Arial" w:hAnsi="Arial" w:cs="Arial"/>
          <w:color w:val="000000"/>
          <w:szCs w:val="20"/>
        </w:rPr>
      </w:pPr>
      <w:r w:rsidRPr="00B57B13">
        <w:rPr>
          <w:rFonts w:ascii="Arial" w:hAnsi="Arial" w:cs="Arial"/>
          <w:color w:val="000000"/>
          <w:szCs w:val="20"/>
        </w:rPr>
        <w:t>Increased productivity and use of the home-grown feed developed in the C4 program in Southern NSW and Victoria.</w:t>
      </w:r>
    </w:p>
    <w:p w:rsidR="000D28B8" w:rsidRPr="00B57B13" w:rsidRDefault="000D28B8" w:rsidP="00B35480">
      <w:pPr>
        <w:jc w:val="both"/>
        <w:rPr>
          <w:rFonts w:ascii="Arial" w:hAnsi="Arial" w:cs="Arial"/>
          <w:color w:val="000000"/>
          <w:szCs w:val="20"/>
        </w:rPr>
      </w:pPr>
    </w:p>
    <w:p w:rsidR="000D28B8" w:rsidRPr="00B57B13" w:rsidRDefault="000D28B8" w:rsidP="00A8335A">
      <w:pPr>
        <w:spacing w:after="240"/>
        <w:jc w:val="both"/>
        <w:rPr>
          <w:rFonts w:ascii="Arial" w:hAnsi="Arial" w:cs="Arial"/>
          <w:color w:val="000000"/>
          <w:szCs w:val="20"/>
        </w:rPr>
      </w:pPr>
      <w:r w:rsidRPr="00B57B13">
        <w:rPr>
          <w:rFonts w:ascii="Arial" w:hAnsi="Arial" w:cs="Arial"/>
          <w:color w:val="000000"/>
          <w:szCs w:val="20"/>
        </w:rPr>
        <w:t xml:space="preserve">The three economic impacts identified above were not valued because of </w:t>
      </w:r>
      <w:bookmarkStart w:id="424" w:name="_Hlk483902581"/>
      <w:r w:rsidRPr="00B57B13">
        <w:rPr>
          <w:rFonts w:ascii="Arial" w:hAnsi="Arial" w:cs="Arial"/>
          <w:color w:val="000000"/>
          <w:szCs w:val="20"/>
        </w:rPr>
        <w:t xml:space="preserve">restricted data available for on-farm valuation, the complexity of future scenarios and lack of time and resources for identifying the level of adoption and value of impacts on southern dairy systems.   </w:t>
      </w:r>
      <w:bookmarkEnd w:id="424"/>
    </w:p>
    <w:p w:rsidR="000D28B8" w:rsidRPr="00B57B13" w:rsidRDefault="000D28B8" w:rsidP="00B35480">
      <w:pPr>
        <w:rPr>
          <w:rFonts w:ascii="Arial" w:hAnsi="Arial" w:cs="Arial"/>
          <w:color w:val="000000"/>
          <w:szCs w:val="20"/>
        </w:rPr>
      </w:pPr>
      <w:r w:rsidRPr="00B57B13">
        <w:rPr>
          <w:rFonts w:ascii="Arial" w:hAnsi="Arial" w:cs="Arial"/>
        </w:rPr>
        <w:t xml:space="preserve">The environmental impacts in Table 3 were not valued as there were significant data limitations in making the various linkages between the project findings and the impacts. </w:t>
      </w:r>
    </w:p>
    <w:p w:rsidR="000D28B8" w:rsidRPr="00B57B13" w:rsidRDefault="000D28B8" w:rsidP="00A8335A">
      <w:pPr>
        <w:spacing w:after="240"/>
        <w:jc w:val="both"/>
        <w:rPr>
          <w:rFonts w:ascii="Arial" w:hAnsi="Arial" w:cs="Arial"/>
          <w:b/>
        </w:rPr>
      </w:pPr>
      <w:r w:rsidRPr="00B57B13">
        <w:rPr>
          <w:rFonts w:ascii="Arial" w:hAnsi="Arial" w:cs="Arial"/>
        </w:rPr>
        <w:t xml:space="preserve">None of the </w:t>
      </w:r>
      <w:r w:rsidRPr="00A8335A">
        <w:rPr>
          <w:rFonts w:ascii="Arial" w:hAnsi="Arial" w:cs="Arial"/>
          <w:color w:val="000000"/>
          <w:szCs w:val="20"/>
        </w:rPr>
        <w:t>four</w:t>
      </w:r>
      <w:r w:rsidRPr="00B57B13">
        <w:rPr>
          <w:rFonts w:ascii="Arial" w:hAnsi="Arial" w:cs="Arial"/>
        </w:rPr>
        <w:t xml:space="preserve"> social impacts were valued due to the difficulty of placing credible monetary values on the benefits as well as time and resource constraints.</w:t>
      </w:r>
    </w:p>
    <w:p w:rsidR="000D28B8" w:rsidRPr="00B57B13" w:rsidRDefault="000D28B8" w:rsidP="00A8335A">
      <w:pPr>
        <w:suppressAutoHyphens/>
        <w:spacing w:after="240"/>
        <w:rPr>
          <w:rFonts w:ascii="Arial" w:hAnsi="Arial" w:cs="Arial"/>
          <w:b/>
          <w:sz w:val="24"/>
        </w:rPr>
      </w:pPr>
      <w:r w:rsidRPr="00B57B13">
        <w:rPr>
          <w:rFonts w:ascii="Arial" w:hAnsi="Arial" w:cs="Arial"/>
          <w:b/>
          <w:sz w:val="24"/>
        </w:rPr>
        <w:t>Valuation of Benefit 1: Increased MOFC due to replacement of some concentrates with home-grown fodder.</w:t>
      </w:r>
    </w:p>
    <w:p w:rsidR="000D28B8" w:rsidRPr="00B57B13" w:rsidRDefault="000D28B8" w:rsidP="00A8335A">
      <w:pPr>
        <w:spacing w:after="240"/>
        <w:rPr>
          <w:rFonts w:ascii="Arial" w:hAnsi="Arial" w:cs="Arial"/>
          <w:b/>
          <w:sz w:val="24"/>
        </w:rPr>
      </w:pPr>
      <w:r w:rsidRPr="00B57B13">
        <w:rPr>
          <w:rFonts w:ascii="Arial" w:hAnsi="Arial" w:cs="Arial"/>
        </w:rPr>
        <w:t xml:space="preserve">It is assumed that a proportion of sub-tropical farmers would have undertaken greater use of home-grown forage due to the project findings and the associated extension effort. An assumption of 2% of sub-tropical farmers are assumed to have implemented more home-grown feed if this project had not been funded.  From the remaining farms, it is assumed 15% across all regions will adopt the findings of the C4 investment. These farms are assumed to have had some previous experience with home-grown feed production but would not have necessarily replaced concentrates with more home-grown feed, without the influence of the C4 project. From the draft final report, it has been shown that adoption has already commenced and is assumed that this adoption will have reached a maximum of 15% in the year ending June 2024 and thereafter. </w:t>
      </w:r>
    </w:p>
    <w:p w:rsidR="000D28B8" w:rsidRPr="00B57B13" w:rsidRDefault="000D28B8" w:rsidP="00A8335A">
      <w:pPr>
        <w:spacing w:after="240"/>
        <w:rPr>
          <w:rFonts w:ascii="Arial" w:hAnsi="Arial" w:cs="Arial"/>
        </w:rPr>
      </w:pPr>
      <w:r w:rsidRPr="00B57B13">
        <w:rPr>
          <w:rFonts w:ascii="Arial" w:hAnsi="Arial" w:cs="Arial"/>
        </w:rPr>
        <w:t>The adopting farms are assumed to benefit from a reduction in their marginal cost per litre of milk. This was estimated via their MOFC compared to the existing industry average, and assumes that their quantity and quality of milk output remains the same after their change in feeding strategy.</w:t>
      </w:r>
    </w:p>
    <w:p w:rsidR="000D28B8" w:rsidRPr="00B57B13" w:rsidRDefault="000D28B8" w:rsidP="00A8335A">
      <w:pPr>
        <w:spacing w:after="240"/>
        <w:rPr>
          <w:rFonts w:ascii="Arial" w:hAnsi="Arial" w:cs="Arial"/>
        </w:rPr>
      </w:pPr>
      <w:r w:rsidRPr="00B57B13">
        <w:rPr>
          <w:rFonts w:ascii="Arial" w:hAnsi="Arial" w:cs="Arial"/>
        </w:rPr>
        <w:t xml:space="preserve">A breakdown of the MOFC between the sub-tropical dairy regions cannot be reasonably estimated as there is no breakdown available of where the adopting farms are located. While there are regional disparities in farming conditions, a TMR/PMR breakdown adequately captures the potential gains. From DAF (2016a), the HMFT showed a range of increases in MOFC from 5.5 c/l to 9.6 c/l. This varied across the different feeding systems, so an assumption was made to use the medium MOFC gains for the TMR and PMR systems of 6c/l and 9.2c/l respectively. </w:t>
      </w:r>
    </w:p>
    <w:p w:rsidR="000D28B8" w:rsidRPr="00B57B13" w:rsidRDefault="000D28B8" w:rsidP="00A8335A">
      <w:pPr>
        <w:spacing w:after="240"/>
        <w:rPr>
          <w:rFonts w:ascii="Arial" w:hAnsi="Arial" w:cs="Arial"/>
        </w:rPr>
      </w:pPr>
      <w:r w:rsidRPr="00B57B13">
        <w:rPr>
          <w:rFonts w:ascii="Arial" w:hAnsi="Arial" w:cs="Arial"/>
        </w:rPr>
        <w:t>Specific assumptions for valuing this be</w:t>
      </w:r>
      <w:r w:rsidR="00A8335A">
        <w:rPr>
          <w:rFonts w:ascii="Arial" w:hAnsi="Arial" w:cs="Arial"/>
        </w:rPr>
        <w:t>nefit are provided in Table 6.</w:t>
      </w:r>
    </w:p>
    <w:p w:rsidR="000D28B8" w:rsidRPr="00B57B13" w:rsidRDefault="000D28B8" w:rsidP="00A8335A">
      <w:pPr>
        <w:spacing w:after="240"/>
        <w:rPr>
          <w:rStyle w:val="Heading2Char"/>
          <w:szCs w:val="24"/>
        </w:rPr>
      </w:pPr>
      <w:r w:rsidRPr="00B57B13">
        <w:rPr>
          <w:rFonts w:ascii="Arial" w:hAnsi="Arial" w:cs="Arial"/>
          <w:b/>
          <w:sz w:val="24"/>
        </w:rPr>
        <w:t>Valuation of Benefit 2: Decreased feed costs due to research into improved forage management</w:t>
      </w:r>
      <w:r w:rsidRPr="00B57B13">
        <w:rPr>
          <w:rStyle w:val="Heading2Char"/>
          <w:szCs w:val="24"/>
        </w:rPr>
        <w:t xml:space="preserve"> </w:t>
      </w:r>
    </w:p>
    <w:p w:rsidR="000D28B8" w:rsidRPr="00B57B13" w:rsidRDefault="000D28B8" w:rsidP="00A8335A">
      <w:pPr>
        <w:spacing w:after="240"/>
        <w:rPr>
          <w:rFonts w:ascii="Arial" w:eastAsiaTheme="majorEastAsia" w:hAnsi="Arial" w:cs="Arial"/>
          <w:b/>
          <w:sz w:val="24"/>
        </w:rPr>
      </w:pPr>
      <w:r w:rsidRPr="00B57B13">
        <w:rPr>
          <w:rFonts w:ascii="Arial" w:hAnsi="Arial" w:cs="Arial"/>
        </w:rPr>
        <w:t>The increased knowledge of iNDF and DM digestibility of plants has led to changes in feed strategies for some farms. For farms that have changed strategies it was found there was an increase in DM intake and digestibility. As the main research was on lucerne utilisation, these changes apply mainly to the Southern Downs and Central Queensland regions for grazing, but also apply throughout the sub-tropical region as lucerne is used also for silage and hay. Other research and extension activities showed that grazing times for other forages can have an influence on digestibility as well. The forage sorghum research findings provided ideal crop manipulation in terms of timing of grazing and harvesting management options for forages. The reaction to the extension activities provided evidence that farmers are likely to implement such options. These activities were not used in the HMFT.</w:t>
      </w:r>
    </w:p>
    <w:p w:rsidR="000D28B8" w:rsidRDefault="000D28B8" w:rsidP="00A8335A">
      <w:pPr>
        <w:spacing w:after="240"/>
        <w:rPr>
          <w:rFonts w:ascii="Arial" w:hAnsi="Arial" w:cs="Arial"/>
        </w:rPr>
      </w:pPr>
      <w:r w:rsidRPr="00B57B13">
        <w:rPr>
          <w:rFonts w:ascii="Arial" w:hAnsi="Arial" w:cs="Arial"/>
        </w:rPr>
        <w:t xml:space="preserve">Specific assumptions on adoption and value of the improved forage management practices are provided in Table 6. </w:t>
      </w:r>
    </w:p>
    <w:p w:rsidR="00034D7A" w:rsidRDefault="00034D7A" w:rsidP="00A8335A">
      <w:pPr>
        <w:spacing w:after="240"/>
        <w:rPr>
          <w:rFonts w:ascii="Arial" w:hAnsi="Arial" w:cs="Arial"/>
        </w:rPr>
      </w:pPr>
    </w:p>
    <w:p w:rsidR="00034D7A" w:rsidRPr="00B57B13" w:rsidRDefault="00034D7A" w:rsidP="00A8335A">
      <w:pPr>
        <w:spacing w:after="240"/>
        <w:rPr>
          <w:rFonts w:ascii="Arial" w:hAnsi="Arial" w:cs="Arial"/>
        </w:rPr>
      </w:pPr>
    </w:p>
    <w:p w:rsidR="000D28B8" w:rsidRPr="00B57B13" w:rsidRDefault="000D28B8" w:rsidP="00A8335A">
      <w:pPr>
        <w:spacing w:after="240"/>
        <w:rPr>
          <w:rFonts w:ascii="Arial" w:hAnsi="Arial" w:cs="Arial"/>
          <w:b/>
          <w:color w:val="000000" w:themeColor="text1"/>
          <w:sz w:val="24"/>
        </w:rPr>
      </w:pPr>
      <w:r w:rsidRPr="00B57B13">
        <w:rPr>
          <w:rFonts w:ascii="Arial" w:hAnsi="Arial" w:cs="Arial"/>
          <w:b/>
          <w:color w:val="000000" w:themeColor="text1"/>
          <w:sz w:val="24"/>
        </w:rPr>
        <w:t>Base Counterfactual</w:t>
      </w:r>
    </w:p>
    <w:p w:rsidR="000D28B8" w:rsidRPr="00B57B13" w:rsidRDefault="000D28B8" w:rsidP="00A8335A">
      <w:pPr>
        <w:spacing w:after="240"/>
        <w:rPr>
          <w:rFonts w:ascii="Arial" w:hAnsi="Arial" w:cs="Arial"/>
          <w:color w:val="000000" w:themeColor="text1"/>
        </w:rPr>
      </w:pPr>
      <w:r w:rsidRPr="00B57B13">
        <w:rPr>
          <w:rFonts w:ascii="Arial" w:hAnsi="Arial" w:cs="Arial"/>
          <w:color w:val="000000" w:themeColor="text1"/>
        </w:rPr>
        <w:t>For the first benefit, an increase of 2% in the number of farms assumed to increase sub-tropical home-grown feed use is assumed without the C4 project; hence, the adoption assumptions for valuing the first benefit exclude these farms.</w:t>
      </w:r>
    </w:p>
    <w:p w:rsidR="000D28B8" w:rsidRPr="00B57B13" w:rsidRDefault="000D28B8" w:rsidP="00A8335A">
      <w:pPr>
        <w:spacing w:after="240"/>
        <w:rPr>
          <w:rFonts w:ascii="Arial" w:hAnsi="Arial" w:cs="Arial"/>
          <w:color w:val="000000" w:themeColor="text1"/>
        </w:rPr>
      </w:pPr>
      <w:r w:rsidRPr="00B57B13">
        <w:rPr>
          <w:rFonts w:ascii="Arial" w:hAnsi="Arial" w:cs="Arial"/>
          <w:color w:val="000000" w:themeColor="text1"/>
        </w:rPr>
        <w:t xml:space="preserve">For the second benefit, it is assumed that no farmers would have adopted the forage management improvements (iNDF and nutritional improvements) without the C4 Milk project. This assumption is based on the amount of research into this component of the project that would be difficult to replicate on farm without the necessary research personnel and equipment. </w:t>
      </w:r>
    </w:p>
    <w:p w:rsidR="000D28B8" w:rsidRPr="00B57B13" w:rsidRDefault="000D28B8" w:rsidP="00A8335A">
      <w:pPr>
        <w:spacing w:after="240"/>
        <w:rPr>
          <w:rFonts w:ascii="Arial" w:hAnsi="Arial" w:cs="Arial"/>
          <w:b/>
          <w:color w:val="000000" w:themeColor="text1"/>
          <w:sz w:val="24"/>
        </w:rPr>
      </w:pPr>
      <w:r w:rsidRPr="00B57B13">
        <w:rPr>
          <w:rFonts w:ascii="Arial" w:hAnsi="Arial" w:cs="Arial"/>
          <w:b/>
          <w:color w:val="000000" w:themeColor="text1"/>
          <w:sz w:val="24"/>
        </w:rPr>
        <w:t>Attribution</w:t>
      </w:r>
    </w:p>
    <w:p w:rsidR="000D28B8" w:rsidRPr="00B57B13" w:rsidRDefault="000D28B8" w:rsidP="00A8335A">
      <w:pPr>
        <w:spacing w:after="240"/>
        <w:rPr>
          <w:rFonts w:ascii="Arial" w:hAnsi="Arial" w:cs="Arial"/>
          <w:color w:val="000000" w:themeColor="text1"/>
        </w:rPr>
      </w:pPr>
      <w:r w:rsidRPr="00B57B13">
        <w:rPr>
          <w:rFonts w:ascii="Arial" w:hAnsi="Arial" w:cs="Arial"/>
          <w:color w:val="000000" w:themeColor="text1"/>
        </w:rPr>
        <w:t xml:space="preserve">A previous C4 project had outlined the nutritional value of some the feeds used in the HMFT. The experience of the team with the dairy industry, either through the previous project or being part of the industry themselves also has influenced the adoption of the C4 project results. The DIA discussions groups were previously running before the project took place. The DIA groups affected the implementation of the research and development components significantly. Taking these factors into account, an attribution factor for the current C4 Milk project of 70% has been set for both Benefit 1 and Benefit 2. </w:t>
      </w:r>
    </w:p>
    <w:p w:rsidR="000D28B8" w:rsidRPr="00B57B13" w:rsidRDefault="000D28B8" w:rsidP="00A8335A">
      <w:pPr>
        <w:spacing w:after="240"/>
        <w:rPr>
          <w:rFonts w:ascii="Arial" w:hAnsi="Arial" w:cs="Arial"/>
          <w:b/>
          <w:color w:val="000000" w:themeColor="text1"/>
          <w:sz w:val="24"/>
        </w:rPr>
      </w:pPr>
      <w:r w:rsidRPr="00B57B13">
        <w:rPr>
          <w:rFonts w:ascii="Arial" w:hAnsi="Arial" w:cs="Arial"/>
          <w:b/>
          <w:color w:val="000000" w:themeColor="text1"/>
          <w:sz w:val="24"/>
        </w:rPr>
        <w:t xml:space="preserve">Future extension </w:t>
      </w:r>
    </w:p>
    <w:p w:rsidR="00A8335A" w:rsidRDefault="000D28B8" w:rsidP="00A8335A">
      <w:pPr>
        <w:spacing w:after="240"/>
        <w:rPr>
          <w:rFonts w:ascii="Arial" w:hAnsi="Arial" w:cs="Arial"/>
          <w:color w:val="000000" w:themeColor="text1"/>
        </w:rPr>
      </w:pPr>
      <w:r w:rsidRPr="00B57B13">
        <w:rPr>
          <w:rFonts w:ascii="Arial" w:hAnsi="Arial" w:cs="Arial"/>
          <w:color w:val="000000" w:themeColor="text1"/>
        </w:rPr>
        <w:t>The C4 milk project undertook considerable extension activities engaging a wide range of farmers across the sub-tropical dairy industry. It has been identified in discussions with the project team that further extension can help increase the uptake of findings, as farmers stated that they would like further one on one consultation for them to implement on farm.</w:t>
      </w:r>
    </w:p>
    <w:p w:rsidR="000D28B8" w:rsidRPr="00B57B13" w:rsidRDefault="000D28B8" w:rsidP="00A8335A">
      <w:pPr>
        <w:spacing w:after="240"/>
        <w:rPr>
          <w:rFonts w:ascii="Arial" w:hAnsi="Arial" w:cs="Arial"/>
          <w:color w:val="000000" w:themeColor="text1"/>
        </w:rPr>
      </w:pPr>
      <w:r w:rsidRPr="00B57B13">
        <w:rPr>
          <w:rFonts w:ascii="Arial" w:hAnsi="Arial" w:cs="Arial"/>
          <w:color w:val="000000" w:themeColor="text1"/>
        </w:rPr>
        <w:t xml:space="preserve">From the extension activities, it is recognised that further extension may be needed to increase the adoption of findings above that already assumed in this assessment. This would most likely involve one on one farm consultations. The current adoption level assumed and included in the assumptions takes into account the networks farmers have established from the investment already made. </w:t>
      </w:r>
    </w:p>
    <w:p w:rsidR="000D28B8" w:rsidRPr="00B57B13" w:rsidRDefault="000D28B8" w:rsidP="00913E1D">
      <w:pPr>
        <w:spacing w:after="240"/>
        <w:rPr>
          <w:rFonts w:ascii="Arial" w:hAnsi="Arial" w:cs="Arial"/>
        </w:rPr>
      </w:pPr>
      <w:r w:rsidRPr="00B57B13">
        <w:rPr>
          <w:rFonts w:ascii="Arial" w:hAnsi="Arial" w:cs="Arial"/>
          <w:b/>
          <w:color w:val="000000" w:themeColor="text1"/>
          <w:sz w:val="24"/>
        </w:rPr>
        <w:t>Summary of Assumptions</w:t>
      </w:r>
    </w:p>
    <w:p w:rsidR="000D28B8" w:rsidRPr="00A8335A" w:rsidRDefault="000D28B8" w:rsidP="00A8335A">
      <w:pPr>
        <w:spacing w:after="240"/>
        <w:rPr>
          <w:rFonts w:ascii="Arial" w:hAnsi="Arial" w:cs="Arial"/>
          <w:i/>
        </w:rPr>
      </w:pPr>
      <w:r w:rsidRPr="00A8335A">
        <w:rPr>
          <w:rFonts w:ascii="Arial" w:hAnsi="Arial" w:cs="Arial"/>
        </w:rPr>
        <w:t xml:space="preserve">A summary of assumptions used in the valuation of impacts is provided in Table 6. </w:t>
      </w:r>
    </w:p>
    <w:p w:rsidR="000D28B8" w:rsidRPr="00A8335A" w:rsidRDefault="000D28B8" w:rsidP="00A8335A">
      <w:pPr>
        <w:pStyle w:val="Caption"/>
        <w:keepNext/>
        <w:spacing w:after="240"/>
        <w:jc w:val="center"/>
        <w:rPr>
          <w:rFonts w:ascii="Arial" w:hAnsi="Arial"/>
          <w:b w:val="0"/>
          <w:i/>
          <w:sz w:val="22"/>
          <w:szCs w:val="22"/>
        </w:rPr>
      </w:pPr>
      <w:bookmarkStart w:id="425" w:name="_Toc484505463"/>
      <w:r w:rsidRPr="00A8335A">
        <w:rPr>
          <w:rFonts w:ascii="Arial" w:hAnsi="Arial"/>
          <w:b w:val="0"/>
          <w:sz w:val="22"/>
          <w:szCs w:val="22"/>
        </w:rPr>
        <w:t xml:space="preserve">Table </w:t>
      </w:r>
      <w:r w:rsidR="00913E1D">
        <w:rPr>
          <w:rFonts w:ascii="Arial" w:hAnsi="Arial"/>
          <w:b w:val="0"/>
          <w:i/>
          <w:sz w:val="22"/>
          <w:szCs w:val="22"/>
        </w:rPr>
        <w:t>6</w:t>
      </w:r>
      <w:r w:rsidRPr="00A8335A">
        <w:rPr>
          <w:rFonts w:ascii="Arial" w:hAnsi="Arial"/>
          <w:b w:val="0"/>
          <w:sz w:val="22"/>
          <w:szCs w:val="22"/>
        </w:rPr>
        <w:t>: Summary of Assumptions</w:t>
      </w:r>
      <w:bookmarkEnd w:id="425"/>
      <w:r w:rsidRPr="00A8335A">
        <w:rPr>
          <w:rFonts w:ascii="Arial" w:hAnsi="Arial"/>
          <w:b w:val="0"/>
          <w:sz w:val="22"/>
          <w:szCs w:val="22"/>
        </w:rPr>
        <w:t xml:space="preserve"> </w:t>
      </w:r>
    </w:p>
    <w:tbl>
      <w:tblPr>
        <w:tblStyle w:val="TableGrid2"/>
        <w:tblW w:w="9586" w:type="dxa"/>
        <w:jc w:val="center"/>
        <w:tblLook w:val="04A0" w:firstRow="1" w:lastRow="0" w:firstColumn="1" w:lastColumn="0" w:noHBand="0" w:noVBand="1"/>
      </w:tblPr>
      <w:tblGrid>
        <w:gridCol w:w="2866"/>
        <w:gridCol w:w="2222"/>
        <w:gridCol w:w="4498"/>
      </w:tblGrid>
      <w:tr w:rsidR="000D28B8" w:rsidRPr="00B57B13" w:rsidTr="00B35480">
        <w:trPr>
          <w:jc w:val="center"/>
        </w:trPr>
        <w:tc>
          <w:tcPr>
            <w:tcW w:w="2866" w:type="dxa"/>
          </w:tcPr>
          <w:p w:rsidR="000D28B8" w:rsidRPr="00B57B13" w:rsidRDefault="000D28B8" w:rsidP="00B35480">
            <w:pPr>
              <w:rPr>
                <w:rFonts w:ascii="Arial" w:hAnsi="Arial" w:cs="Arial"/>
                <w:b/>
                <w:color w:val="000000" w:themeColor="text1"/>
                <w:szCs w:val="22"/>
              </w:rPr>
            </w:pPr>
            <w:r w:rsidRPr="00B57B13">
              <w:rPr>
                <w:rFonts w:ascii="Arial" w:hAnsi="Arial" w:cs="Arial"/>
                <w:b/>
                <w:color w:val="000000" w:themeColor="text1"/>
                <w:szCs w:val="22"/>
              </w:rPr>
              <w:t xml:space="preserve">Variable </w:t>
            </w:r>
          </w:p>
        </w:tc>
        <w:tc>
          <w:tcPr>
            <w:tcW w:w="2222" w:type="dxa"/>
          </w:tcPr>
          <w:p w:rsidR="000D28B8" w:rsidRPr="00B57B13" w:rsidRDefault="000D28B8" w:rsidP="00B35480">
            <w:pPr>
              <w:jc w:val="center"/>
              <w:rPr>
                <w:rFonts w:ascii="Arial" w:hAnsi="Arial" w:cs="Arial"/>
                <w:b/>
                <w:color w:val="000000" w:themeColor="text1"/>
                <w:szCs w:val="22"/>
              </w:rPr>
            </w:pPr>
            <w:r w:rsidRPr="00B57B13">
              <w:rPr>
                <w:rFonts w:ascii="Arial" w:hAnsi="Arial" w:cs="Arial"/>
                <w:b/>
                <w:color w:val="000000" w:themeColor="text1"/>
                <w:szCs w:val="22"/>
              </w:rPr>
              <w:t>Assumption</w:t>
            </w:r>
          </w:p>
        </w:tc>
        <w:tc>
          <w:tcPr>
            <w:tcW w:w="4498" w:type="dxa"/>
          </w:tcPr>
          <w:p w:rsidR="000D28B8" w:rsidRPr="00B57B13" w:rsidRDefault="000D28B8" w:rsidP="00B35480">
            <w:pPr>
              <w:jc w:val="center"/>
              <w:rPr>
                <w:rFonts w:ascii="Arial" w:hAnsi="Arial" w:cs="Arial"/>
                <w:b/>
                <w:color w:val="000000" w:themeColor="text1"/>
                <w:szCs w:val="22"/>
              </w:rPr>
            </w:pPr>
            <w:r w:rsidRPr="00B57B13">
              <w:rPr>
                <w:rFonts w:ascii="Arial" w:hAnsi="Arial" w:cs="Arial"/>
                <w:b/>
                <w:color w:val="000000" w:themeColor="text1"/>
                <w:szCs w:val="22"/>
              </w:rPr>
              <w:t>Source</w:t>
            </w:r>
          </w:p>
        </w:tc>
      </w:tr>
      <w:tr w:rsidR="000D28B8" w:rsidRPr="00B57B13" w:rsidTr="00B35480">
        <w:trPr>
          <w:jc w:val="center"/>
        </w:trPr>
        <w:tc>
          <w:tcPr>
            <w:tcW w:w="9586" w:type="dxa"/>
            <w:gridSpan w:val="3"/>
          </w:tcPr>
          <w:p w:rsidR="000D28B8" w:rsidRPr="00B57B13" w:rsidRDefault="000D28B8" w:rsidP="00B35480">
            <w:pPr>
              <w:rPr>
                <w:rFonts w:ascii="Arial" w:hAnsi="Arial" w:cs="Arial"/>
                <w:b/>
                <w:color w:val="000000" w:themeColor="text1"/>
                <w:szCs w:val="22"/>
              </w:rPr>
            </w:pPr>
            <w:r w:rsidRPr="00B57B13">
              <w:rPr>
                <w:rFonts w:ascii="Arial" w:hAnsi="Arial" w:cs="Arial"/>
                <w:b/>
                <w:color w:val="000000" w:themeColor="text1"/>
                <w:szCs w:val="22"/>
              </w:rPr>
              <w:t xml:space="preserve">BASE COUNTERFACTUAL: </w:t>
            </w:r>
            <w:r w:rsidRPr="00B57B13">
              <w:rPr>
                <w:rFonts w:ascii="Arial" w:hAnsi="Arial" w:cs="Arial"/>
                <w:color w:val="000000" w:themeColor="text1"/>
                <w:szCs w:val="22"/>
              </w:rPr>
              <w:t xml:space="preserve">A small increase (2%) in the number of farms assumed to use sub-tropical home-grown feeds without the C4 project would have occurred in future. For adopting new forage management methods, it is assumed that no farms would implement these methods without the C4 project. The assumptions below accommodate these counterfactuals. </w:t>
            </w:r>
          </w:p>
        </w:tc>
      </w:tr>
      <w:tr w:rsidR="000D28B8" w:rsidRPr="00B57B13" w:rsidTr="00B35480">
        <w:trPr>
          <w:jc w:val="center"/>
        </w:trPr>
        <w:tc>
          <w:tcPr>
            <w:tcW w:w="9586" w:type="dxa"/>
            <w:gridSpan w:val="3"/>
          </w:tcPr>
          <w:p w:rsidR="000D28B8" w:rsidRPr="00B57B13" w:rsidRDefault="000D28B8" w:rsidP="00B35480">
            <w:pPr>
              <w:rPr>
                <w:rFonts w:ascii="Arial" w:hAnsi="Arial" w:cs="Arial"/>
                <w:b/>
                <w:color w:val="000000" w:themeColor="text1"/>
                <w:szCs w:val="22"/>
              </w:rPr>
            </w:pPr>
            <w:r w:rsidRPr="00B57B13">
              <w:rPr>
                <w:rFonts w:ascii="Arial" w:hAnsi="Arial" w:cs="Arial"/>
                <w:b/>
                <w:color w:val="000000" w:themeColor="text1"/>
                <w:szCs w:val="22"/>
              </w:rPr>
              <w:t>Benefit 1: Increased MOFC due to replacement of some concentrates with home-grown fodder.</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Improved MOFC from HMFT for farms in TMR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 xml:space="preserve">6c per litre  </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Progress Report 4</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Improved MOFC for farms in PMR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 xml:space="preserve">9.2 c per litre </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Progress Report 4</w:t>
            </w:r>
            <w:r w:rsidRPr="00B57B13">
              <w:rPr>
                <w:rFonts w:ascii="Arial" w:hAnsi="Arial" w:cs="Arial"/>
                <w:color w:val="000000" w:themeColor="text1"/>
                <w:szCs w:val="22"/>
              </w:rPr>
              <w:br/>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Total number of sub-tropical dairy farms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559</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QDAS (2016) for Queensland farms and feedback from </w:t>
            </w:r>
            <w:bookmarkStart w:id="426" w:name="_Hlk480442794"/>
            <w:r w:rsidRPr="00B57B13">
              <w:rPr>
                <w:rFonts w:ascii="Arial" w:hAnsi="Arial" w:cs="Arial"/>
                <w:color w:val="000000" w:themeColor="text1"/>
                <w:szCs w:val="22"/>
              </w:rPr>
              <w:t>David Barber (pers. comm., 2017)</w:t>
            </w:r>
            <w:bookmarkEnd w:id="426"/>
            <w:r w:rsidRPr="00B57B13">
              <w:rPr>
                <w:rFonts w:ascii="Arial" w:hAnsi="Arial" w:cs="Arial"/>
                <w:color w:val="000000" w:themeColor="text1"/>
                <w:szCs w:val="22"/>
              </w:rPr>
              <w:t xml:space="preserve"> for Northern NSW farms.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Total number of sub-tropical dairy farms who would not have implemented home-grown feed otherwise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548</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549*(1-0.02)</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Proportion of farms in TMR system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32.2%</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Based on QDAS (2016)</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Proportion of farms in PMR system</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67.8%</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Based on QDAS (2016)</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Average milk production   in sub-tropical industry   </w:t>
            </w:r>
          </w:p>
        </w:tc>
        <w:tc>
          <w:tcPr>
            <w:tcW w:w="2222" w:type="dxa"/>
          </w:tcPr>
          <w:p w:rsidR="000D28B8" w:rsidRPr="00B57B13" w:rsidRDefault="000D28B8" w:rsidP="00B35480">
            <w:pPr>
              <w:jc w:val="center"/>
              <w:rPr>
                <w:rFonts w:ascii="Arial" w:hAnsi="Arial" w:cs="Arial"/>
                <w:color w:val="000000"/>
                <w:szCs w:val="22"/>
              </w:rPr>
            </w:pPr>
            <w:r w:rsidRPr="00B57B13">
              <w:rPr>
                <w:rFonts w:ascii="Arial" w:hAnsi="Arial" w:cs="Arial"/>
                <w:color w:val="000000"/>
                <w:szCs w:val="22"/>
              </w:rPr>
              <w:t>835,237 litres per farm per annum</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Based on ABARES (2016)</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Estimated adoption of HMFT components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45%</w:t>
            </w:r>
          </w:p>
        </w:tc>
        <w:tc>
          <w:tcPr>
            <w:tcW w:w="4498" w:type="dxa"/>
          </w:tcPr>
          <w:p w:rsidR="000D28B8" w:rsidRPr="00B57B13" w:rsidRDefault="000D28B8" w:rsidP="00B35480">
            <w:pPr>
              <w:rPr>
                <w:rFonts w:ascii="Arial" w:hAnsi="Arial" w:cs="Arial"/>
                <w:szCs w:val="22"/>
              </w:rPr>
            </w:pPr>
            <w:r w:rsidRPr="00B57B13">
              <w:rPr>
                <w:rFonts w:ascii="Arial" w:hAnsi="Arial" w:cs="Arial"/>
                <w:color w:val="000000" w:themeColor="text1"/>
                <w:szCs w:val="22"/>
              </w:rPr>
              <w:t xml:space="preserve">Based on proportion of technologies adopted as per survey results in Progress Report 5, rounded to whole percentage by Agtrans Research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Probability of impact of increasing MOFC for those adopting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75%</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szCs w:val="22"/>
              </w:rPr>
              <w:t xml:space="preserve">Agtrans Research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Maximum adoption by eligible sub-tropical farms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15%</w:t>
            </w:r>
          </w:p>
        </w:tc>
        <w:tc>
          <w:tcPr>
            <w:tcW w:w="4498" w:type="dxa"/>
          </w:tcPr>
          <w:p w:rsidR="000D28B8" w:rsidRPr="00B57B13" w:rsidRDefault="000D28B8" w:rsidP="00B35480">
            <w:pPr>
              <w:rPr>
                <w:rFonts w:ascii="Arial" w:hAnsi="Arial" w:cs="Arial"/>
                <w:szCs w:val="22"/>
              </w:rPr>
            </w:pPr>
            <w:r w:rsidRPr="00B57B13">
              <w:rPr>
                <w:rFonts w:ascii="Arial" w:hAnsi="Arial" w:cs="Arial"/>
                <w:szCs w:val="22"/>
              </w:rPr>
              <w:t xml:space="preserve">Agtrans Research based on feedback from extension and discussions with David Barber </w:t>
            </w:r>
            <w:r w:rsidRPr="00B57B13">
              <w:rPr>
                <w:rFonts w:ascii="Arial" w:hAnsi="Arial" w:cs="Arial"/>
                <w:color w:val="000000" w:themeColor="text1"/>
                <w:szCs w:val="22"/>
              </w:rPr>
              <w:t>(pers. comm., 2017)</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First year of adoption impacts</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30 June 2017</w:t>
            </w:r>
          </w:p>
        </w:tc>
        <w:tc>
          <w:tcPr>
            <w:tcW w:w="4498" w:type="dxa"/>
          </w:tcPr>
          <w:p w:rsidR="000D28B8" w:rsidRPr="00B57B13" w:rsidRDefault="000D28B8" w:rsidP="00B35480">
            <w:pPr>
              <w:rPr>
                <w:rFonts w:ascii="Arial" w:hAnsi="Arial" w:cs="Arial"/>
                <w:szCs w:val="22"/>
              </w:rPr>
            </w:pPr>
            <w:r w:rsidRPr="00B57B13">
              <w:rPr>
                <w:rFonts w:ascii="Arial" w:hAnsi="Arial" w:cs="Arial"/>
                <w:szCs w:val="22"/>
              </w:rPr>
              <w:t>Agtrans Research</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Year of maximum adoption impacts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30 June 2024</w:t>
            </w:r>
          </w:p>
        </w:tc>
        <w:tc>
          <w:tcPr>
            <w:tcW w:w="4498" w:type="dxa"/>
          </w:tcPr>
          <w:p w:rsidR="000D28B8" w:rsidRPr="00B57B13" w:rsidRDefault="000D28B8" w:rsidP="00B35480">
            <w:pPr>
              <w:rPr>
                <w:rFonts w:ascii="Arial" w:hAnsi="Arial" w:cs="Arial"/>
                <w:szCs w:val="22"/>
              </w:rPr>
            </w:pPr>
            <w:r w:rsidRPr="00B57B13">
              <w:rPr>
                <w:rFonts w:ascii="Arial" w:hAnsi="Arial" w:cs="Arial"/>
                <w:szCs w:val="22"/>
              </w:rPr>
              <w:t xml:space="preserve">Agtrans Research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rPr>
            </w:pPr>
            <w:r w:rsidRPr="00B57B13">
              <w:rPr>
                <w:rFonts w:ascii="Arial" w:hAnsi="Arial" w:cs="Arial"/>
                <w:color w:val="000000" w:themeColor="text1"/>
                <w:szCs w:val="22"/>
              </w:rPr>
              <w:t>Cumulative adoption levels from years 1 to 8 as % maximum of 15%</w:t>
            </w:r>
          </w:p>
        </w:tc>
        <w:tc>
          <w:tcPr>
            <w:tcW w:w="2222" w:type="dxa"/>
          </w:tcPr>
          <w:p w:rsidR="000D28B8" w:rsidRPr="00B57B13" w:rsidRDefault="000D28B8" w:rsidP="00B35480">
            <w:pPr>
              <w:jc w:val="center"/>
              <w:rPr>
                <w:rFonts w:ascii="Arial" w:hAnsi="Arial" w:cs="Arial"/>
                <w:color w:val="000000" w:themeColor="text1"/>
              </w:rPr>
            </w:pPr>
            <w:r w:rsidRPr="00B57B13">
              <w:rPr>
                <w:rFonts w:ascii="Arial" w:hAnsi="Arial" w:cs="Arial"/>
                <w:color w:val="000000" w:themeColor="text1"/>
                <w:szCs w:val="22"/>
              </w:rPr>
              <w:t>40%, 50%, 70%, 80%,85%,90%,95%, 100%</w:t>
            </w:r>
          </w:p>
        </w:tc>
        <w:tc>
          <w:tcPr>
            <w:tcW w:w="4498" w:type="dxa"/>
          </w:tcPr>
          <w:p w:rsidR="000D28B8" w:rsidRPr="00B57B13" w:rsidRDefault="000D28B8" w:rsidP="00B35480">
            <w:pPr>
              <w:rPr>
                <w:rFonts w:ascii="Arial" w:hAnsi="Arial" w:cs="Arial"/>
              </w:rPr>
            </w:pPr>
            <w:r w:rsidRPr="00B57B13">
              <w:rPr>
                <w:rFonts w:ascii="Arial" w:hAnsi="Arial" w:cs="Arial"/>
                <w:szCs w:val="22"/>
              </w:rPr>
              <w:t xml:space="preserve">Agtrans Research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Expected total annual benefit after full adoption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$1.89 million per annum</w:t>
            </w:r>
          </w:p>
        </w:tc>
        <w:tc>
          <w:tcPr>
            <w:tcW w:w="4498" w:type="dxa"/>
          </w:tcPr>
          <w:p w:rsidR="000D28B8" w:rsidRPr="00B57B13" w:rsidRDefault="000D28B8" w:rsidP="00B35480">
            <w:pPr>
              <w:rPr>
                <w:rFonts w:ascii="Arial" w:hAnsi="Arial" w:cs="Arial"/>
                <w:szCs w:val="22"/>
              </w:rPr>
            </w:pPr>
            <w:r w:rsidRPr="00B57B13">
              <w:rPr>
                <w:rFonts w:ascii="Arial" w:hAnsi="Arial" w:cs="Arial"/>
                <w:szCs w:val="22"/>
              </w:rPr>
              <w:t>0.06*45%*835,237*0.322*548*15%*75% + 0.092*45%*835,237*0.678*548*15%*75%</w:t>
            </w:r>
          </w:p>
        </w:tc>
      </w:tr>
      <w:tr w:rsidR="000D28B8" w:rsidRPr="00B57B13" w:rsidTr="00B35480">
        <w:trPr>
          <w:jc w:val="center"/>
        </w:trPr>
        <w:tc>
          <w:tcPr>
            <w:tcW w:w="9586" w:type="dxa"/>
            <w:gridSpan w:val="3"/>
          </w:tcPr>
          <w:p w:rsidR="000D28B8" w:rsidRPr="00B57B13" w:rsidRDefault="000D28B8" w:rsidP="00B35480">
            <w:pPr>
              <w:rPr>
                <w:rFonts w:ascii="Arial" w:hAnsi="Arial" w:cs="Arial"/>
                <w:b/>
                <w:color w:val="000000" w:themeColor="text1"/>
                <w:szCs w:val="22"/>
              </w:rPr>
            </w:pPr>
            <w:r w:rsidRPr="00B57B13">
              <w:rPr>
                <w:rFonts w:ascii="Arial" w:hAnsi="Arial" w:cs="Arial"/>
                <w:b/>
                <w:color w:val="000000" w:themeColor="text1"/>
                <w:szCs w:val="22"/>
              </w:rPr>
              <w:t>Benefit 2:</w:t>
            </w:r>
            <w:r w:rsidRPr="00B57B13">
              <w:rPr>
                <w:rFonts w:ascii="Arial" w:hAnsi="Arial" w:cs="Arial"/>
                <w:szCs w:val="22"/>
              </w:rPr>
              <w:t xml:space="preserve"> </w:t>
            </w:r>
            <w:r w:rsidRPr="00B57B13">
              <w:rPr>
                <w:rFonts w:ascii="Arial" w:hAnsi="Arial" w:cs="Arial"/>
                <w:b/>
                <w:color w:val="000000" w:themeColor="text1"/>
                <w:szCs w:val="22"/>
              </w:rPr>
              <w:t xml:space="preserve">Decreased feed costs due to research into improved forage management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Reduction in feed costs due to better forage management practices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2c/l</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Assumption based on draft final report.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Maximum number of farms implementing practices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20%</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Agtrans Research based on discussions with Craig Findsen (pers. comm., 2017)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Average milk production   in sub-tropical industry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szCs w:val="22"/>
              </w:rPr>
              <w:t>835,237 litres per farm per annum</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Based on ABARES (2016)</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Likelihood of maximum of 20% farmers adopting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75%</w:t>
            </w:r>
          </w:p>
        </w:tc>
        <w:tc>
          <w:tcPr>
            <w:tcW w:w="4498" w:type="dxa"/>
          </w:tcPr>
          <w:p w:rsidR="000D28B8" w:rsidRPr="00B57B13" w:rsidRDefault="000D28B8" w:rsidP="00B35480">
            <w:pPr>
              <w:rPr>
                <w:rFonts w:ascii="Arial" w:hAnsi="Arial" w:cs="Arial"/>
                <w:szCs w:val="22"/>
              </w:rPr>
            </w:pPr>
            <w:r w:rsidRPr="00B57B13">
              <w:rPr>
                <w:rFonts w:ascii="Arial" w:hAnsi="Arial" w:cs="Arial"/>
                <w:szCs w:val="22"/>
              </w:rPr>
              <w:t xml:space="preserve">Agtrans Research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Likelihood of impact of 2c/l</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75%</w:t>
            </w:r>
          </w:p>
        </w:tc>
        <w:tc>
          <w:tcPr>
            <w:tcW w:w="4498" w:type="dxa"/>
          </w:tcPr>
          <w:p w:rsidR="000D28B8" w:rsidRPr="00B57B13" w:rsidRDefault="000D28B8" w:rsidP="00B35480">
            <w:pPr>
              <w:rPr>
                <w:rFonts w:ascii="Arial" w:hAnsi="Arial" w:cs="Arial"/>
                <w:szCs w:val="22"/>
              </w:rPr>
            </w:pPr>
            <w:r w:rsidRPr="00B57B13">
              <w:rPr>
                <w:rFonts w:ascii="Arial" w:hAnsi="Arial" w:cs="Arial"/>
                <w:szCs w:val="22"/>
              </w:rPr>
              <w:t xml:space="preserve">Agtrans Research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First year of adoption impacts</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30 June 2017</w:t>
            </w:r>
          </w:p>
        </w:tc>
        <w:tc>
          <w:tcPr>
            <w:tcW w:w="4498" w:type="dxa"/>
          </w:tcPr>
          <w:p w:rsidR="000D28B8" w:rsidRPr="00B57B13" w:rsidRDefault="000D28B8" w:rsidP="00B35480">
            <w:pPr>
              <w:rPr>
                <w:rFonts w:ascii="Arial" w:hAnsi="Arial" w:cs="Arial"/>
                <w:szCs w:val="22"/>
              </w:rPr>
            </w:pPr>
            <w:r w:rsidRPr="00B57B13">
              <w:rPr>
                <w:rFonts w:ascii="Arial" w:hAnsi="Arial" w:cs="Arial"/>
                <w:szCs w:val="22"/>
              </w:rPr>
              <w:t>Agtrans Research and from draft final report</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Year of maximum adoption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30 June 2024</w:t>
            </w:r>
          </w:p>
        </w:tc>
        <w:tc>
          <w:tcPr>
            <w:tcW w:w="4498" w:type="dxa"/>
          </w:tcPr>
          <w:p w:rsidR="000D28B8" w:rsidRPr="00B57B13" w:rsidRDefault="000D28B8" w:rsidP="00B35480">
            <w:pPr>
              <w:rPr>
                <w:rFonts w:ascii="Arial" w:hAnsi="Arial" w:cs="Arial"/>
                <w:szCs w:val="22"/>
              </w:rPr>
            </w:pPr>
            <w:r w:rsidRPr="00B57B13">
              <w:rPr>
                <w:rFonts w:ascii="Arial" w:hAnsi="Arial" w:cs="Arial"/>
                <w:color w:val="000000" w:themeColor="text1"/>
                <w:szCs w:val="22"/>
              </w:rPr>
              <w:t xml:space="preserve">Agtrans Research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rPr>
            </w:pPr>
            <w:r w:rsidRPr="00B57B13">
              <w:rPr>
                <w:rFonts w:ascii="Arial" w:hAnsi="Arial" w:cs="Arial"/>
                <w:color w:val="000000" w:themeColor="text1"/>
                <w:szCs w:val="22"/>
              </w:rPr>
              <w:t>Cumulative adoption levels from years 1 to 8 as % maximum of 20%</w:t>
            </w:r>
          </w:p>
        </w:tc>
        <w:tc>
          <w:tcPr>
            <w:tcW w:w="2222" w:type="dxa"/>
          </w:tcPr>
          <w:p w:rsidR="000D28B8" w:rsidRPr="00B57B13" w:rsidRDefault="000D28B8" w:rsidP="00B35480">
            <w:pPr>
              <w:jc w:val="center"/>
              <w:rPr>
                <w:rFonts w:ascii="Arial" w:hAnsi="Arial" w:cs="Arial"/>
                <w:color w:val="000000" w:themeColor="text1"/>
              </w:rPr>
            </w:pPr>
            <w:r w:rsidRPr="00B57B13">
              <w:rPr>
                <w:rFonts w:ascii="Arial" w:hAnsi="Arial" w:cs="Arial"/>
                <w:color w:val="000000" w:themeColor="text1"/>
                <w:szCs w:val="22"/>
              </w:rPr>
              <w:t>40%, 50%, 70%, 80%, 85%, 90%, 95%, 100%</w:t>
            </w:r>
          </w:p>
        </w:tc>
        <w:tc>
          <w:tcPr>
            <w:tcW w:w="4498" w:type="dxa"/>
          </w:tcPr>
          <w:p w:rsidR="000D28B8" w:rsidRPr="00B57B13" w:rsidRDefault="000D28B8" w:rsidP="00B35480">
            <w:pPr>
              <w:rPr>
                <w:rFonts w:ascii="Arial" w:hAnsi="Arial" w:cs="Arial"/>
                <w:color w:val="000000" w:themeColor="text1"/>
              </w:rPr>
            </w:pPr>
            <w:r w:rsidRPr="00B57B13">
              <w:rPr>
                <w:rFonts w:ascii="Arial" w:hAnsi="Arial" w:cs="Arial"/>
                <w:szCs w:val="22"/>
              </w:rPr>
              <w:t>Agtrans Research</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Expected total annual benefit at full adoption</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$1.05 million per annum</w:t>
            </w:r>
          </w:p>
        </w:tc>
        <w:tc>
          <w:tcPr>
            <w:tcW w:w="4498" w:type="dxa"/>
          </w:tcPr>
          <w:p w:rsidR="000D28B8" w:rsidRPr="00B57B13" w:rsidRDefault="000D28B8" w:rsidP="00B35480">
            <w:pPr>
              <w:rPr>
                <w:rFonts w:ascii="Arial" w:hAnsi="Arial" w:cs="Arial"/>
                <w:szCs w:val="22"/>
              </w:rPr>
            </w:pPr>
            <w:r w:rsidRPr="00B57B13">
              <w:rPr>
                <w:rFonts w:ascii="Arial" w:hAnsi="Arial" w:cs="Arial"/>
                <w:szCs w:val="22"/>
              </w:rPr>
              <w:t>835,237*$0.02*20%*559*0.75*0.75</w:t>
            </w:r>
          </w:p>
        </w:tc>
      </w:tr>
      <w:tr w:rsidR="000D28B8" w:rsidRPr="00B57B13" w:rsidTr="00B35480">
        <w:trPr>
          <w:jc w:val="center"/>
        </w:trPr>
        <w:tc>
          <w:tcPr>
            <w:tcW w:w="9586" w:type="dxa"/>
            <w:gridSpan w:val="3"/>
          </w:tcPr>
          <w:p w:rsidR="000D28B8" w:rsidRPr="00B57B13" w:rsidRDefault="000D28B8" w:rsidP="00B35480">
            <w:pPr>
              <w:rPr>
                <w:rFonts w:ascii="Arial" w:hAnsi="Arial" w:cs="Arial"/>
                <w:b/>
                <w:i/>
                <w:color w:val="000000" w:themeColor="text1"/>
                <w:szCs w:val="22"/>
              </w:rPr>
            </w:pPr>
            <w:r w:rsidRPr="00B57B13">
              <w:rPr>
                <w:rFonts w:ascii="Arial" w:hAnsi="Arial" w:cs="Arial"/>
                <w:b/>
                <w:i/>
                <w:color w:val="000000" w:themeColor="text1"/>
                <w:szCs w:val="22"/>
              </w:rPr>
              <w:t xml:space="preserve">Attribution to Benefit 1 and 2 </w:t>
            </w:r>
          </w:p>
        </w:tc>
      </w:tr>
      <w:tr w:rsidR="000D28B8" w:rsidRPr="00B57B13" w:rsidTr="00B35480">
        <w:trPr>
          <w:jc w:val="center"/>
        </w:trPr>
        <w:tc>
          <w:tcPr>
            <w:tcW w:w="2866"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Attribution to Project   </w:t>
            </w:r>
          </w:p>
        </w:tc>
        <w:tc>
          <w:tcPr>
            <w:tcW w:w="2222" w:type="dxa"/>
          </w:tcPr>
          <w:p w:rsidR="000D28B8" w:rsidRPr="00B57B13" w:rsidRDefault="000D28B8" w:rsidP="00B35480">
            <w:pPr>
              <w:jc w:val="center"/>
              <w:rPr>
                <w:rFonts w:ascii="Arial" w:hAnsi="Arial" w:cs="Arial"/>
                <w:color w:val="000000" w:themeColor="text1"/>
                <w:szCs w:val="22"/>
              </w:rPr>
            </w:pPr>
            <w:r w:rsidRPr="00B57B13">
              <w:rPr>
                <w:rFonts w:ascii="Arial" w:hAnsi="Arial" w:cs="Arial"/>
                <w:color w:val="000000" w:themeColor="text1"/>
                <w:szCs w:val="22"/>
              </w:rPr>
              <w:t>70%</w:t>
            </w:r>
          </w:p>
        </w:tc>
        <w:tc>
          <w:tcPr>
            <w:tcW w:w="4498" w:type="dxa"/>
          </w:tcPr>
          <w:p w:rsidR="000D28B8" w:rsidRPr="00B57B13" w:rsidRDefault="000D28B8" w:rsidP="00B35480">
            <w:pPr>
              <w:rPr>
                <w:rFonts w:ascii="Arial" w:hAnsi="Arial" w:cs="Arial"/>
                <w:color w:val="000000" w:themeColor="text1"/>
                <w:szCs w:val="22"/>
              </w:rPr>
            </w:pPr>
            <w:r w:rsidRPr="00B57B13">
              <w:rPr>
                <w:rFonts w:ascii="Arial" w:hAnsi="Arial" w:cs="Arial"/>
                <w:color w:val="000000" w:themeColor="text1"/>
                <w:szCs w:val="22"/>
              </w:rPr>
              <w:t xml:space="preserve">Agtrans Research, based on some attribution to earlier R&amp;D investment </w:t>
            </w:r>
          </w:p>
        </w:tc>
      </w:tr>
    </w:tbl>
    <w:p w:rsidR="000D28B8" w:rsidRPr="00B57B13" w:rsidRDefault="000D28B8" w:rsidP="00F712CF">
      <w:pPr>
        <w:spacing w:after="240"/>
      </w:pPr>
    </w:p>
    <w:p w:rsidR="000D28B8" w:rsidRPr="00A8335A" w:rsidRDefault="000D28B8" w:rsidP="00A8335A">
      <w:pPr>
        <w:spacing w:after="240"/>
        <w:rPr>
          <w:rFonts w:ascii="Arial" w:hAnsi="Arial" w:cs="Arial"/>
          <w:b/>
          <w:sz w:val="40"/>
          <w:szCs w:val="40"/>
        </w:rPr>
      </w:pPr>
      <w:bookmarkStart w:id="427" w:name="_Toc484505455"/>
      <w:bookmarkStart w:id="428" w:name="_Toc486145305"/>
      <w:bookmarkStart w:id="429" w:name="_Toc486145373"/>
      <w:bookmarkStart w:id="430" w:name="_Toc486146289"/>
      <w:r w:rsidRPr="00A8335A">
        <w:rPr>
          <w:rFonts w:ascii="Arial" w:hAnsi="Arial" w:cs="Arial"/>
          <w:b/>
          <w:sz w:val="40"/>
          <w:szCs w:val="40"/>
        </w:rPr>
        <w:t>7. Results</w:t>
      </w:r>
      <w:bookmarkEnd w:id="427"/>
      <w:bookmarkEnd w:id="428"/>
      <w:bookmarkEnd w:id="429"/>
      <w:bookmarkEnd w:id="430"/>
    </w:p>
    <w:p w:rsidR="000D28B8" w:rsidRPr="00B57B13" w:rsidRDefault="000D28B8" w:rsidP="00A8335A">
      <w:pPr>
        <w:spacing w:after="240"/>
        <w:rPr>
          <w:rFonts w:ascii="Arial" w:hAnsi="Arial" w:cs="Arial"/>
        </w:rPr>
      </w:pPr>
      <w:r w:rsidRPr="00B57B13">
        <w:rPr>
          <w:rFonts w:ascii="Arial" w:hAnsi="Arial" w:cs="Arial"/>
        </w:rPr>
        <w:t xml:space="preserve">All past costs were expressed in 2016/17 dollar terms using the Implicit Price Deflator for Gross Domestic Product. </w:t>
      </w:r>
    </w:p>
    <w:p w:rsidR="000D28B8" w:rsidRPr="00B57B13" w:rsidRDefault="000D28B8" w:rsidP="00A8335A">
      <w:pPr>
        <w:spacing w:after="240"/>
        <w:rPr>
          <w:rFonts w:ascii="Arial" w:hAnsi="Arial" w:cs="Arial"/>
        </w:rPr>
      </w:pPr>
      <w:r w:rsidRPr="00B57B13">
        <w:rPr>
          <w:rFonts w:ascii="Arial" w:hAnsi="Arial" w:cs="Arial"/>
        </w:rPr>
        <w:t>All benefits after 2016/17 were expressed in 2016/17 dollar terms. All costs and benefits were discounted to 2016/17 using a discount rate of 5%. A reinvestment rate of 5% was used for estimating the Modified Internal Rate of Return (MIRR). The base analysis used the best available estimates for each variable, notwithstanding a level of uncertainty for many of the estimates. All analyses ran for the length of the investment period plus 30 years from the last year of investment (2016/17) to the final year of benefits assumed.</w:t>
      </w:r>
    </w:p>
    <w:p w:rsidR="000D28B8" w:rsidRPr="00B57B13" w:rsidRDefault="000D28B8" w:rsidP="00A8335A">
      <w:pPr>
        <w:spacing w:after="240"/>
        <w:rPr>
          <w:rFonts w:ascii="Arial" w:hAnsi="Arial" w:cs="Arial"/>
          <w:b/>
          <w:sz w:val="24"/>
        </w:rPr>
      </w:pPr>
      <w:r w:rsidRPr="00B57B13">
        <w:rPr>
          <w:rFonts w:ascii="Arial" w:hAnsi="Arial" w:cs="Arial"/>
          <w:b/>
          <w:sz w:val="24"/>
        </w:rPr>
        <w:t>Investment Criteria</w:t>
      </w:r>
    </w:p>
    <w:p w:rsidR="000D28B8" w:rsidRPr="00B57B13" w:rsidRDefault="000D28B8" w:rsidP="00A8335A">
      <w:pPr>
        <w:spacing w:after="240"/>
        <w:rPr>
          <w:rFonts w:ascii="Arial" w:hAnsi="Arial" w:cs="Arial"/>
        </w:rPr>
      </w:pPr>
      <w:r w:rsidRPr="00B57B13">
        <w:rPr>
          <w:rFonts w:ascii="Arial" w:hAnsi="Arial" w:cs="Arial"/>
        </w:rPr>
        <w:t xml:space="preserve">Tables 7, 8 and 9 show the investment criteria estimated for different periods of benefits for the total investment and the DAF and DA investment respectively. </w:t>
      </w:r>
    </w:p>
    <w:p w:rsidR="000D28B8" w:rsidRPr="00A8335A" w:rsidRDefault="000D28B8" w:rsidP="00A8335A">
      <w:pPr>
        <w:pStyle w:val="Caption"/>
        <w:keepNext/>
        <w:spacing w:after="240"/>
        <w:jc w:val="center"/>
        <w:rPr>
          <w:rFonts w:ascii="Arial" w:hAnsi="Arial"/>
          <w:b w:val="0"/>
          <w:i/>
          <w:sz w:val="22"/>
          <w:szCs w:val="22"/>
        </w:rPr>
      </w:pPr>
      <w:bookmarkStart w:id="431" w:name="_Toc484505464"/>
      <w:r w:rsidRPr="00A8335A">
        <w:rPr>
          <w:rFonts w:ascii="Arial" w:hAnsi="Arial"/>
          <w:b w:val="0"/>
          <w:sz w:val="22"/>
          <w:szCs w:val="22"/>
        </w:rPr>
        <w:t xml:space="preserve">Table </w:t>
      </w:r>
      <w:r w:rsidR="00913E1D">
        <w:rPr>
          <w:rFonts w:ascii="Arial" w:hAnsi="Arial"/>
          <w:b w:val="0"/>
          <w:i/>
          <w:sz w:val="22"/>
          <w:szCs w:val="22"/>
        </w:rPr>
        <w:t>7</w:t>
      </w:r>
      <w:r w:rsidRPr="00A8335A">
        <w:rPr>
          <w:rFonts w:ascii="Arial" w:hAnsi="Arial"/>
          <w:b w:val="0"/>
          <w:sz w:val="22"/>
          <w:szCs w:val="22"/>
        </w:rPr>
        <w:t>: Investment Criteria for Total Investment</w:t>
      </w:r>
      <w:bookmarkEnd w:id="431"/>
    </w:p>
    <w:tbl>
      <w:tblPr>
        <w:tblStyle w:val="TableGrid"/>
        <w:tblW w:w="5271" w:type="pct"/>
        <w:jc w:val="center"/>
        <w:tblLayout w:type="fixed"/>
        <w:tblLook w:val="04A0" w:firstRow="1" w:lastRow="0" w:firstColumn="1" w:lastColumn="0" w:noHBand="0" w:noVBand="1"/>
      </w:tblPr>
      <w:tblGrid>
        <w:gridCol w:w="3396"/>
        <w:gridCol w:w="808"/>
        <w:gridCol w:w="840"/>
        <w:gridCol w:w="840"/>
        <w:gridCol w:w="905"/>
        <w:gridCol w:w="905"/>
        <w:gridCol w:w="905"/>
        <w:gridCol w:w="895"/>
        <w:gridCol w:w="11"/>
      </w:tblGrid>
      <w:tr w:rsidR="000D28B8" w:rsidRPr="00B57B13" w:rsidTr="00B35480">
        <w:trPr>
          <w:jc w:val="center"/>
        </w:trPr>
        <w:tc>
          <w:tcPr>
            <w:tcW w:w="1786" w:type="pct"/>
            <w:vMerge w:val="restart"/>
          </w:tcPr>
          <w:p w:rsidR="000D28B8" w:rsidRPr="00B57B13" w:rsidRDefault="000D28B8" w:rsidP="00B35480">
            <w:pPr>
              <w:rPr>
                <w:rFonts w:ascii="Arial" w:hAnsi="Arial" w:cs="Arial"/>
                <w:b/>
                <w:sz w:val="22"/>
                <w:szCs w:val="22"/>
              </w:rPr>
            </w:pPr>
            <w:r w:rsidRPr="00B57B13">
              <w:rPr>
                <w:rFonts w:ascii="Arial" w:hAnsi="Arial" w:cs="Arial"/>
                <w:b/>
                <w:sz w:val="22"/>
                <w:szCs w:val="22"/>
              </w:rPr>
              <w:t xml:space="preserve">Investment criteria </w:t>
            </w:r>
          </w:p>
        </w:tc>
        <w:tc>
          <w:tcPr>
            <w:tcW w:w="3214" w:type="pct"/>
            <w:gridSpan w:val="8"/>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Number of years from year of last investment </w:t>
            </w:r>
          </w:p>
        </w:tc>
      </w:tr>
      <w:tr w:rsidR="000D28B8" w:rsidRPr="00B57B13" w:rsidTr="00B35480">
        <w:trPr>
          <w:gridAfter w:val="1"/>
          <w:wAfter w:w="6" w:type="pct"/>
          <w:jc w:val="center"/>
        </w:trPr>
        <w:tc>
          <w:tcPr>
            <w:tcW w:w="1786" w:type="pct"/>
            <w:vMerge/>
          </w:tcPr>
          <w:p w:rsidR="000D28B8" w:rsidRPr="00B57B13" w:rsidRDefault="000D28B8" w:rsidP="00B35480">
            <w:pPr>
              <w:rPr>
                <w:rFonts w:ascii="Arial" w:hAnsi="Arial" w:cs="Arial"/>
                <w:sz w:val="22"/>
                <w:szCs w:val="22"/>
              </w:rPr>
            </w:pPr>
          </w:p>
        </w:tc>
        <w:tc>
          <w:tcPr>
            <w:tcW w:w="425"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0</w:t>
            </w:r>
          </w:p>
        </w:tc>
        <w:tc>
          <w:tcPr>
            <w:tcW w:w="442"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5</w:t>
            </w:r>
          </w:p>
        </w:tc>
        <w:tc>
          <w:tcPr>
            <w:tcW w:w="442"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10</w:t>
            </w:r>
          </w:p>
        </w:tc>
        <w:tc>
          <w:tcPr>
            <w:tcW w:w="476"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15</w:t>
            </w:r>
          </w:p>
        </w:tc>
        <w:tc>
          <w:tcPr>
            <w:tcW w:w="476"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20</w:t>
            </w:r>
          </w:p>
        </w:tc>
        <w:tc>
          <w:tcPr>
            <w:tcW w:w="476"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25</w:t>
            </w:r>
          </w:p>
        </w:tc>
        <w:tc>
          <w:tcPr>
            <w:tcW w:w="471"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30</w:t>
            </w:r>
          </w:p>
        </w:tc>
      </w:tr>
      <w:tr w:rsidR="000D28B8" w:rsidRPr="00B57B13" w:rsidTr="00B35480">
        <w:trPr>
          <w:gridAfter w:val="1"/>
          <w:wAfter w:w="6" w:type="pct"/>
          <w:jc w:val="center"/>
        </w:trPr>
        <w:tc>
          <w:tcPr>
            <w:tcW w:w="1786" w:type="pct"/>
          </w:tcPr>
          <w:p w:rsidR="000D28B8" w:rsidRPr="00B57B13" w:rsidRDefault="000D28B8" w:rsidP="00B35480">
            <w:pPr>
              <w:widowControl w:val="0"/>
              <w:rPr>
                <w:rFonts w:ascii="Arial" w:hAnsi="Arial" w:cs="Arial"/>
                <w:sz w:val="22"/>
                <w:szCs w:val="22"/>
              </w:rPr>
            </w:pPr>
            <w:bookmarkStart w:id="432" w:name="_Hlk479587242"/>
            <w:r w:rsidRPr="00B57B13">
              <w:rPr>
                <w:rFonts w:ascii="Arial" w:hAnsi="Arial" w:cs="Arial"/>
                <w:sz w:val="22"/>
                <w:szCs w:val="22"/>
              </w:rPr>
              <w:t>Present value of benefits ($m)</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0.82</w:t>
            </w:r>
          </w:p>
        </w:tc>
        <w:tc>
          <w:tcPr>
            <w:tcW w:w="442"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7.38</w:t>
            </w:r>
          </w:p>
        </w:tc>
        <w:tc>
          <w:tcPr>
            <w:tcW w:w="442"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14.24</w:t>
            </w:r>
          </w:p>
        </w:tc>
        <w:tc>
          <w:tcPr>
            <w:tcW w:w="476"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19.68</w:t>
            </w:r>
          </w:p>
        </w:tc>
        <w:tc>
          <w:tcPr>
            <w:tcW w:w="476"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23.94</w:t>
            </w:r>
          </w:p>
        </w:tc>
        <w:tc>
          <w:tcPr>
            <w:tcW w:w="476"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27.28</w:t>
            </w:r>
          </w:p>
        </w:tc>
        <w:tc>
          <w:tcPr>
            <w:tcW w:w="471"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29.90</w:t>
            </w:r>
          </w:p>
        </w:tc>
      </w:tr>
      <w:tr w:rsidR="000D28B8" w:rsidRPr="00B57B13" w:rsidTr="00B35480">
        <w:trPr>
          <w:gridAfter w:val="1"/>
          <w:wAfter w:w="6" w:type="pct"/>
          <w:jc w:val="center"/>
        </w:trPr>
        <w:tc>
          <w:tcPr>
            <w:tcW w:w="1786"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Present value of costs ($m)</w:t>
            </w:r>
          </w:p>
        </w:tc>
        <w:tc>
          <w:tcPr>
            <w:tcW w:w="425"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5.78</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5.78</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5.78</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5.78</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5.78</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5.78</w:t>
            </w:r>
          </w:p>
        </w:tc>
        <w:tc>
          <w:tcPr>
            <w:tcW w:w="471"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5.78</w:t>
            </w:r>
          </w:p>
        </w:tc>
      </w:tr>
      <w:tr w:rsidR="000D28B8" w:rsidRPr="00B57B13" w:rsidTr="00B35480">
        <w:trPr>
          <w:gridAfter w:val="1"/>
          <w:wAfter w:w="6" w:type="pct"/>
          <w:jc w:val="center"/>
        </w:trPr>
        <w:tc>
          <w:tcPr>
            <w:tcW w:w="1786"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Net present value ($m)</w:t>
            </w:r>
          </w:p>
        </w:tc>
        <w:tc>
          <w:tcPr>
            <w:tcW w:w="425"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-4.97</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1.60</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8.46</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13.90</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18.16</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21.50</w:t>
            </w:r>
          </w:p>
        </w:tc>
        <w:tc>
          <w:tcPr>
            <w:tcW w:w="471"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24.11</w:t>
            </w:r>
          </w:p>
        </w:tc>
      </w:tr>
      <w:tr w:rsidR="000D28B8" w:rsidRPr="00B57B13" w:rsidTr="00B35480">
        <w:trPr>
          <w:gridAfter w:val="1"/>
          <w:wAfter w:w="6" w:type="pct"/>
          <w:jc w:val="center"/>
        </w:trPr>
        <w:tc>
          <w:tcPr>
            <w:tcW w:w="1786"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Benefit-cost ratio</w:t>
            </w:r>
          </w:p>
        </w:tc>
        <w:tc>
          <w:tcPr>
            <w:tcW w:w="425"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0.14</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1.28</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2.46</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3.40</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4.14</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4.72</w:t>
            </w:r>
          </w:p>
        </w:tc>
        <w:tc>
          <w:tcPr>
            <w:tcW w:w="471"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5.17</w:t>
            </w:r>
          </w:p>
        </w:tc>
      </w:tr>
      <w:tr w:rsidR="000D28B8" w:rsidRPr="00B57B13" w:rsidTr="00B35480">
        <w:trPr>
          <w:gridAfter w:val="1"/>
          <w:wAfter w:w="6" w:type="pct"/>
          <w:jc w:val="center"/>
        </w:trPr>
        <w:tc>
          <w:tcPr>
            <w:tcW w:w="1786"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Internal rate of return (IRR) (%)</w:t>
            </w:r>
          </w:p>
        </w:tc>
        <w:tc>
          <w:tcPr>
            <w:tcW w:w="425"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neg.</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11.92</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22.96</w:t>
            </w:r>
          </w:p>
        </w:tc>
        <w:tc>
          <w:tcPr>
            <w:tcW w:w="476" w:type="pct"/>
            <w:tcBorders>
              <w:top w:val="nil"/>
              <w:left w:val="nil"/>
              <w:bottom w:val="nil"/>
              <w:right w:val="nil"/>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25.10</w:t>
            </w:r>
          </w:p>
        </w:tc>
        <w:tc>
          <w:tcPr>
            <w:tcW w:w="476"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25.66</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25.82</w:t>
            </w:r>
          </w:p>
        </w:tc>
        <w:tc>
          <w:tcPr>
            <w:tcW w:w="471"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25.87</w:t>
            </w:r>
          </w:p>
        </w:tc>
      </w:tr>
      <w:tr w:rsidR="000D28B8" w:rsidRPr="00B57B13" w:rsidTr="00B35480">
        <w:trPr>
          <w:gridAfter w:val="1"/>
          <w:wAfter w:w="6" w:type="pct"/>
          <w:jc w:val="center"/>
        </w:trPr>
        <w:tc>
          <w:tcPr>
            <w:tcW w:w="1786"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Modified IRR (%)</w:t>
            </w:r>
          </w:p>
        </w:tc>
        <w:tc>
          <w:tcPr>
            <w:tcW w:w="425"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neg.</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11.02</w:t>
            </w:r>
          </w:p>
        </w:tc>
        <w:tc>
          <w:tcPr>
            <w:tcW w:w="442"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15.98</w:t>
            </w:r>
          </w:p>
        </w:tc>
        <w:tc>
          <w:tcPr>
            <w:tcW w:w="476"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14.77</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13.40</w:t>
            </w:r>
          </w:p>
        </w:tc>
        <w:tc>
          <w:tcPr>
            <w:tcW w:w="476"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12.27</w:t>
            </w:r>
          </w:p>
        </w:tc>
        <w:tc>
          <w:tcPr>
            <w:tcW w:w="471"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11.37</w:t>
            </w:r>
          </w:p>
        </w:tc>
      </w:tr>
      <w:bookmarkEnd w:id="432"/>
    </w:tbl>
    <w:p w:rsidR="000D28B8" w:rsidRPr="00B57B13" w:rsidRDefault="000D28B8" w:rsidP="00B35480">
      <w:pPr>
        <w:rPr>
          <w:rFonts w:ascii="Arial" w:hAnsi="Arial" w:cs="Arial"/>
          <w:szCs w:val="20"/>
        </w:rPr>
      </w:pPr>
    </w:p>
    <w:p w:rsidR="000D28B8" w:rsidRPr="00A8335A" w:rsidRDefault="000D28B8" w:rsidP="00A8335A">
      <w:pPr>
        <w:pStyle w:val="Caption"/>
        <w:keepNext/>
        <w:spacing w:after="240"/>
        <w:jc w:val="center"/>
        <w:rPr>
          <w:rFonts w:ascii="Arial" w:hAnsi="Arial"/>
          <w:b w:val="0"/>
          <w:sz w:val="22"/>
          <w:szCs w:val="22"/>
        </w:rPr>
      </w:pPr>
      <w:bookmarkStart w:id="433" w:name="_Toc484505465"/>
      <w:r w:rsidRPr="00A8335A">
        <w:rPr>
          <w:rFonts w:ascii="Arial" w:hAnsi="Arial"/>
          <w:b w:val="0"/>
          <w:sz w:val="22"/>
          <w:szCs w:val="22"/>
        </w:rPr>
        <w:t xml:space="preserve">Table </w:t>
      </w:r>
      <w:r w:rsidR="00913E1D">
        <w:rPr>
          <w:rFonts w:ascii="Arial" w:hAnsi="Arial"/>
          <w:b w:val="0"/>
          <w:sz w:val="22"/>
          <w:szCs w:val="22"/>
        </w:rPr>
        <w:t>8</w:t>
      </w:r>
      <w:r w:rsidRPr="00A8335A">
        <w:rPr>
          <w:rFonts w:ascii="Arial" w:hAnsi="Arial"/>
          <w:b w:val="0"/>
          <w:sz w:val="22"/>
          <w:szCs w:val="22"/>
        </w:rPr>
        <w:t>: Investment Criteria for DAF Investment</w:t>
      </w:r>
      <w:bookmarkEnd w:id="433"/>
    </w:p>
    <w:tbl>
      <w:tblPr>
        <w:tblStyle w:val="TableGrid"/>
        <w:tblW w:w="5278" w:type="pct"/>
        <w:jc w:val="center"/>
        <w:tblLayout w:type="fixed"/>
        <w:tblLook w:val="04A0" w:firstRow="1" w:lastRow="0" w:firstColumn="1" w:lastColumn="0" w:noHBand="0" w:noVBand="1"/>
      </w:tblPr>
      <w:tblGrid>
        <w:gridCol w:w="3382"/>
        <w:gridCol w:w="746"/>
        <w:gridCol w:w="889"/>
        <w:gridCol w:w="891"/>
        <w:gridCol w:w="891"/>
        <w:gridCol w:w="904"/>
        <w:gridCol w:w="904"/>
        <w:gridCol w:w="893"/>
        <w:gridCol w:w="17"/>
      </w:tblGrid>
      <w:tr w:rsidR="000D28B8" w:rsidRPr="00B57B13" w:rsidTr="00B35480">
        <w:trPr>
          <w:jc w:val="center"/>
        </w:trPr>
        <w:tc>
          <w:tcPr>
            <w:tcW w:w="1777" w:type="pct"/>
            <w:vMerge w:val="restart"/>
          </w:tcPr>
          <w:p w:rsidR="000D28B8" w:rsidRPr="00B57B13" w:rsidRDefault="000D28B8" w:rsidP="00B35480">
            <w:pPr>
              <w:rPr>
                <w:rFonts w:ascii="Arial" w:hAnsi="Arial" w:cs="Arial"/>
                <w:b/>
                <w:sz w:val="22"/>
                <w:szCs w:val="22"/>
              </w:rPr>
            </w:pPr>
            <w:r w:rsidRPr="00B57B13">
              <w:rPr>
                <w:rFonts w:ascii="Arial" w:hAnsi="Arial" w:cs="Arial"/>
                <w:b/>
                <w:sz w:val="22"/>
                <w:szCs w:val="22"/>
              </w:rPr>
              <w:t xml:space="preserve">Investment criteria </w:t>
            </w:r>
          </w:p>
        </w:tc>
        <w:tc>
          <w:tcPr>
            <w:tcW w:w="3223" w:type="pct"/>
            <w:gridSpan w:val="8"/>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Number of years from year of last investment </w:t>
            </w:r>
          </w:p>
        </w:tc>
      </w:tr>
      <w:tr w:rsidR="000D28B8" w:rsidRPr="00B57B13" w:rsidTr="00B35480">
        <w:trPr>
          <w:gridAfter w:val="1"/>
          <w:wAfter w:w="9" w:type="pct"/>
          <w:jc w:val="center"/>
        </w:trPr>
        <w:tc>
          <w:tcPr>
            <w:tcW w:w="1777" w:type="pct"/>
            <w:vMerge/>
          </w:tcPr>
          <w:p w:rsidR="000D28B8" w:rsidRPr="00B57B13" w:rsidRDefault="000D28B8" w:rsidP="00B35480">
            <w:pPr>
              <w:rPr>
                <w:rFonts w:ascii="Arial" w:hAnsi="Arial" w:cs="Arial"/>
                <w:sz w:val="22"/>
                <w:szCs w:val="22"/>
              </w:rPr>
            </w:pPr>
          </w:p>
        </w:tc>
        <w:tc>
          <w:tcPr>
            <w:tcW w:w="392"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0</w:t>
            </w:r>
          </w:p>
        </w:tc>
        <w:tc>
          <w:tcPr>
            <w:tcW w:w="467"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5</w:t>
            </w:r>
          </w:p>
        </w:tc>
        <w:tc>
          <w:tcPr>
            <w:tcW w:w="468"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10</w:t>
            </w:r>
          </w:p>
        </w:tc>
        <w:tc>
          <w:tcPr>
            <w:tcW w:w="468"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15</w:t>
            </w:r>
          </w:p>
        </w:tc>
        <w:tc>
          <w:tcPr>
            <w:tcW w:w="475"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20</w:t>
            </w:r>
          </w:p>
        </w:tc>
        <w:tc>
          <w:tcPr>
            <w:tcW w:w="475"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25</w:t>
            </w:r>
          </w:p>
        </w:tc>
        <w:tc>
          <w:tcPr>
            <w:tcW w:w="469"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30</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Present value of benefits ($m)</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0.58</w:t>
            </w:r>
          </w:p>
        </w:tc>
        <w:tc>
          <w:tcPr>
            <w:tcW w:w="467"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5.20</w:t>
            </w:r>
          </w:p>
        </w:tc>
        <w:tc>
          <w:tcPr>
            <w:tcW w:w="468"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10.04</w:t>
            </w:r>
          </w:p>
        </w:tc>
        <w:tc>
          <w:tcPr>
            <w:tcW w:w="468"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13.87</w:t>
            </w:r>
          </w:p>
        </w:tc>
        <w:tc>
          <w:tcPr>
            <w:tcW w:w="475"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16.87</w:t>
            </w:r>
          </w:p>
        </w:tc>
        <w:tc>
          <w:tcPr>
            <w:tcW w:w="475"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19.22</w:t>
            </w:r>
          </w:p>
        </w:tc>
        <w:tc>
          <w:tcPr>
            <w:tcW w:w="469"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21.06</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Present value of costs ($m)</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4.07</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4.07</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4.07</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4.07</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4.07</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4.07</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4.07</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Net present value ($m)</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-3.50</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1.12</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5.96</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9.79</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12.79</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15.15</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16.99</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Benefit-cost ratio</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0.14</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1.28</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2.46</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3.40</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4.14</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4.72</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5.17</w:t>
            </w:r>
          </w:p>
        </w:tc>
      </w:tr>
      <w:tr w:rsidR="000D28B8" w:rsidRPr="00B57B13" w:rsidTr="00B35480">
        <w:trPr>
          <w:gridAfter w:val="1"/>
          <w:wAfter w:w="9" w:type="pct"/>
          <w:jc w:val="center"/>
        </w:trPr>
        <w:tc>
          <w:tcPr>
            <w:tcW w:w="1777" w:type="pct"/>
          </w:tcPr>
          <w:p w:rsidR="000D28B8" w:rsidRPr="00B57B13" w:rsidRDefault="00034D7A" w:rsidP="00B35480">
            <w:pPr>
              <w:widowControl w:val="0"/>
              <w:rPr>
                <w:rFonts w:ascii="Arial" w:hAnsi="Arial" w:cs="Arial"/>
                <w:sz w:val="22"/>
                <w:szCs w:val="22"/>
              </w:rPr>
            </w:pPr>
            <w:r>
              <w:rPr>
                <w:rFonts w:ascii="Arial" w:hAnsi="Arial" w:cs="Arial"/>
                <w:sz w:val="22"/>
                <w:szCs w:val="22"/>
              </w:rPr>
              <w:t xml:space="preserve">Internal rate of return </w:t>
            </w:r>
            <w:r w:rsidR="000D28B8" w:rsidRPr="00B57B13">
              <w:rPr>
                <w:rFonts w:ascii="Arial" w:hAnsi="Arial" w:cs="Arial"/>
                <w:sz w:val="22"/>
                <w:szCs w:val="22"/>
              </w:rPr>
              <w:t>(%)</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neg.</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11.93</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22.98</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25.12</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25.68</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25.84</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25.89</w:t>
            </w:r>
          </w:p>
        </w:tc>
      </w:tr>
      <w:tr w:rsidR="000D28B8" w:rsidRPr="00B57B13" w:rsidTr="00B35480">
        <w:trPr>
          <w:gridAfter w:val="1"/>
          <w:wAfter w:w="9" w:type="pct"/>
          <w:trHeight w:val="255"/>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Modified IRR (%)</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neg.</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11.02</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15.98</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14.77</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13.40</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12.27</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11.37</w:t>
            </w:r>
          </w:p>
        </w:tc>
      </w:tr>
    </w:tbl>
    <w:p w:rsidR="000D28B8" w:rsidRPr="00B57B13" w:rsidRDefault="000D28B8" w:rsidP="00B35480">
      <w:pPr>
        <w:rPr>
          <w:rFonts w:ascii="Arial" w:hAnsi="Arial" w:cs="Arial"/>
          <w:b/>
          <w:sz w:val="24"/>
        </w:rPr>
      </w:pPr>
    </w:p>
    <w:p w:rsidR="000D28B8" w:rsidRPr="00A8335A" w:rsidRDefault="000D28B8" w:rsidP="00A8335A">
      <w:pPr>
        <w:pStyle w:val="Caption"/>
        <w:keepNext/>
        <w:spacing w:after="240"/>
        <w:jc w:val="center"/>
        <w:rPr>
          <w:rFonts w:ascii="Arial" w:hAnsi="Arial"/>
          <w:b w:val="0"/>
          <w:sz w:val="22"/>
          <w:szCs w:val="22"/>
        </w:rPr>
      </w:pPr>
      <w:bookmarkStart w:id="434" w:name="_Toc484505466"/>
      <w:r w:rsidRPr="00A8335A">
        <w:rPr>
          <w:rFonts w:ascii="Arial" w:hAnsi="Arial"/>
          <w:b w:val="0"/>
          <w:sz w:val="22"/>
          <w:szCs w:val="22"/>
        </w:rPr>
        <w:t xml:space="preserve">Table </w:t>
      </w:r>
      <w:r w:rsidR="00913E1D">
        <w:rPr>
          <w:rFonts w:ascii="Arial" w:hAnsi="Arial"/>
          <w:b w:val="0"/>
          <w:sz w:val="22"/>
          <w:szCs w:val="22"/>
        </w:rPr>
        <w:t>9</w:t>
      </w:r>
      <w:r w:rsidRPr="00A8335A">
        <w:rPr>
          <w:rFonts w:ascii="Arial" w:hAnsi="Arial"/>
          <w:b w:val="0"/>
          <w:sz w:val="22"/>
          <w:szCs w:val="22"/>
        </w:rPr>
        <w:t>: Investment Criteria for DA Investment</w:t>
      </w:r>
      <w:bookmarkEnd w:id="434"/>
      <w:r w:rsidRPr="00A8335A">
        <w:rPr>
          <w:rFonts w:ascii="Arial" w:hAnsi="Arial"/>
          <w:b w:val="0"/>
          <w:sz w:val="22"/>
          <w:szCs w:val="22"/>
        </w:rPr>
        <w:t xml:space="preserve">  </w:t>
      </w:r>
    </w:p>
    <w:tbl>
      <w:tblPr>
        <w:tblStyle w:val="TableGrid"/>
        <w:tblW w:w="5278" w:type="pct"/>
        <w:jc w:val="center"/>
        <w:tblLayout w:type="fixed"/>
        <w:tblLook w:val="04A0" w:firstRow="1" w:lastRow="0" w:firstColumn="1" w:lastColumn="0" w:noHBand="0" w:noVBand="1"/>
      </w:tblPr>
      <w:tblGrid>
        <w:gridCol w:w="3382"/>
        <w:gridCol w:w="746"/>
        <w:gridCol w:w="889"/>
        <w:gridCol w:w="891"/>
        <w:gridCol w:w="891"/>
        <w:gridCol w:w="904"/>
        <w:gridCol w:w="904"/>
        <w:gridCol w:w="893"/>
        <w:gridCol w:w="17"/>
      </w:tblGrid>
      <w:tr w:rsidR="000D28B8" w:rsidRPr="00B57B13" w:rsidTr="00B35480">
        <w:trPr>
          <w:jc w:val="center"/>
        </w:trPr>
        <w:tc>
          <w:tcPr>
            <w:tcW w:w="1777" w:type="pct"/>
            <w:vMerge w:val="restart"/>
          </w:tcPr>
          <w:p w:rsidR="000D28B8" w:rsidRPr="00B57B13" w:rsidRDefault="000D28B8" w:rsidP="00B35480">
            <w:pPr>
              <w:rPr>
                <w:rFonts w:ascii="Arial" w:hAnsi="Arial" w:cs="Arial"/>
                <w:b/>
                <w:sz w:val="22"/>
                <w:szCs w:val="22"/>
              </w:rPr>
            </w:pPr>
            <w:bookmarkStart w:id="435" w:name="_Hlk479585603"/>
            <w:r w:rsidRPr="00B57B13">
              <w:rPr>
                <w:rFonts w:ascii="Arial" w:hAnsi="Arial" w:cs="Arial"/>
                <w:b/>
                <w:sz w:val="22"/>
                <w:szCs w:val="22"/>
              </w:rPr>
              <w:t xml:space="preserve">Investment criteria </w:t>
            </w:r>
          </w:p>
        </w:tc>
        <w:tc>
          <w:tcPr>
            <w:tcW w:w="3223" w:type="pct"/>
            <w:gridSpan w:val="8"/>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Number of years from year of last investment </w:t>
            </w:r>
          </w:p>
        </w:tc>
      </w:tr>
      <w:tr w:rsidR="000D28B8" w:rsidRPr="00B57B13" w:rsidTr="00B35480">
        <w:trPr>
          <w:gridAfter w:val="1"/>
          <w:wAfter w:w="9" w:type="pct"/>
          <w:jc w:val="center"/>
        </w:trPr>
        <w:tc>
          <w:tcPr>
            <w:tcW w:w="1777" w:type="pct"/>
            <w:vMerge/>
          </w:tcPr>
          <w:p w:rsidR="000D28B8" w:rsidRPr="00B57B13" w:rsidRDefault="000D28B8" w:rsidP="00B35480">
            <w:pPr>
              <w:rPr>
                <w:rFonts w:ascii="Arial" w:hAnsi="Arial" w:cs="Arial"/>
                <w:sz w:val="22"/>
                <w:szCs w:val="22"/>
              </w:rPr>
            </w:pPr>
          </w:p>
        </w:tc>
        <w:tc>
          <w:tcPr>
            <w:tcW w:w="392"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0</w:t>
            </w:r>
          </w:p>
        </w:tc>
        <w:tc>
          <w:tcPr>
            <w:tcW w:w="467"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5</w:t>
            </w:r>
          </w:p>
        </w:tc>
        <w:tc>
          <w:tcPr>
            <w:tcW w:w="468"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10</w:t>
            </w:r>
          </w:p>
        </w:tc>
        <w:tc>
          <w:tcPr>
            <w:tcW w:w="468"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15</w:t>
            </w:r>
          </w:p>
        </w:tc>
        <w:tc>
          <w:tcPr>
            <w:tcW w:w="475"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20</w:t>
            </w:r>
          </w:p>
        </w:tc>
        <w:tc>
          <w:tcPr>
            <w:tcW w:w="475"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25</w:t>
            </w:r>
          </w:p>
        </w:tc>
        <w:tc>
          <w:tcPr>
            <w:tcW w:w="469" w:type="pct"/>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30</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Present value of benefits ($m)</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0.24</w:t>
            </w:r>
          </w:p>
        </w:tc>
        <w:tc>
          <w:tcPr>
            <w:tcW w:w="467"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2.14</w:t>
            </w:r>
          </w:p>
        </w:tc>
        <w:tc>
          <w:tcPr>
            <w:tcW w:w="468"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4.13</w:t>
            </w:r>
          </w:p>
        </w:tc>
        <w:tc>
          <w:tcPr>
            <w:tcW w:w="468"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5.71</w:t>
            </w:r>
          </w:p>
        </w:tc>
        <w:tc>
          <w:tcPr>
            <w:tcW w:w="475"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6.94</w:t>
            </w:r>
          </w:p>
        </w:tc>
        <w:tc>
          <w:tcPr>
            <w:tcW w:w="475"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7.91</w:t>
            </w:r>
          </w:p>
        </w:tc>
        <w:tc>
          <w:tcPr>
            <w:tcW w:w="469" w:type="pct"/>
            <w:tcBorders>
              <w:top w:val="single" w:sz="4" w:space="0" w:color="auto"/>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8.67</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Present value of costs ($m)</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1.68</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1.68</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1.68</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1.68</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1.68</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1.68</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1.68</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Net present value ($m)</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-1.44</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0.46</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2.45</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4.03</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5.26</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6.23</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6.99</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Benefit-cost ratio</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0.14</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1.28</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2.46</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3.40</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4.14</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4.71</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5.17</w:t>
            </w:r>
          </w:p>
        </w:tc>
      </w:tr>
      <w:tr w:rsidR="000D28B8" w:rsidRPr="00B57B13" w:rsidTr="00B35480">
        <w:trPr>
          <w:gridAfter w:val="1"/>
          <w:wAfter w:w="9" w:type="pct"/>
          <w:jc w:val="center"/>
        </w:trPr>
        <w:tc>
          <w:tcPr>
            <w:tcW w:w="1777" w:type="pct"/>
          </w:tcPr>
          <w:p w:rsidR="000D28B8" w:rsidRPr="00B57B13" w:rsidRDefault="00034D7A" w:rsidP="00B35480">
            <w:pPr>
              <w:widowControl w:val="0"/>
              <w:rPr>
                <w:rFonts w:ascii="Arial" w:hAnsi="Arial" w:cs="Arial"/>
                <w:sz w:val="22"/>
                <w:szCs w:val="22"/>
              </w:rPr>
            </w:pPr>
            <w:r>
              <w:rPr>
                <w:rFonts w:ascii="Arial" w:hAnsi="Arial" w:cs="Arial"/>
                <w:sz w:val="22"/>
                <w:szCs w:val="22"/>
              </w:rPr>
              <w:t>Internal rate of return</w:t>
            </w:r>
            <w:r w:rsidR="000D28B8" w:rsidRPr="00B57B13">
              <w:rPr>
                <w:rFonts w:ascii="Arial" w:hAnsi="Arial" w:cs="Arial"/>
                <w:sz w:val="22"/>
                <w:szCs w:val="22"/>
              </w:rPr>
              <w:t xml:space="preserve"> (%)</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neg.</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11.87</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22.92</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25.05</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25.61</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25.78</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color w:val="000000"/>
                <w:sz w:val="22"/>
                <w:szCs w:val="22"/>
              </w:rPr>
              <w:t>25.83</w:t>
            </w:r>
          </w:p>
        </w:tc>
      </w:tr>
      <w:tr w:rsidR="000D28B8" w:rsidRPr="00B57B13" w:rsidTr="00B35480">
        <w:trPr>
          <w:gridAfter w:val="1"/>
          <w:wAfter w:w="9" w:type="pct"/>
          <w:jc w:val="center"/>
        </w:trPr>
        <w:tc>
          <w:tcPr>
            <w:tcW w:w="1777" w:type="pct"/>
          </w:tcPr>
          <w:p w:rsidR="000D28B8" w:rsidRPr="00B57B13" w:rsidRDefault="000D28B8" w:rsidP="00B35480">
            <w:pPr>
              <w:widowControl w:val="0"/>
              <w:rPr>
                <w:rFonts w:ascii="Arial" w:hAnsi="Arial" w:cs="Arial"/>
                <w:sz w:val="22"/>
                <w:szCs w:val="22"/>
              </w:rPr>
            </w:pPr>
            <w:r w:rsidRPr="00B57B13">
              <w:rPr>
                <w:rFonts w:ascii="Arial" w:hAnsi="Arial" w:cs="Arial"/>
                <w:sz w:val="22"/>
                <w:szCs w:val="22"/>
              </w:rPr>
              <w:t>Modified IRR (%)</w:t>
            </w:r>
          </w:p>
        </w:tc>
        <w:tc>
          <w:tcPr>
            <w:tcW w:w="392" w:type="pct"/>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neg.</w:t>
            </w:r>
          </w:p>
        </w:tc>
        <w:tc>
          <w:tcPr>
            <w:tcW w:w="467"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11.01</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15.98</w:t>
            </w:r>
          </w:p>
        </w:tc>
        <w:tc>
          <w:tcPr>
            <w:tcW w:w="468"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14.77</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13.39</w:t>
            </w:r>
          </w:p>
        </w:tc>
        <w:tc>
          <w:tcPr>
            <w:tcW w:w="475"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12.27</w:t>
            </w:r>
          </w:p>
        </w:tc>
        <w:tc>
          <w:tcPr>
            <w:tcW w:w="469" w:type="pct"/>
            <w:tcBorders>
              <w:top w:val="nil"/>
              <w:left w:val="nil"/>
              <w:bottom w:val="single" w:sz="4" w:space="0" w:color="auto"/>
              <w:right w:val="single" w:sz="4" w:space="0" w:color="auto"/>
            </w:tcBorders>
            <w:shd w:val="clear" w:color="auto" w:fill="auto"/>
            <w:vAlign w:val="bottom"/>
          </w:tcPr>
          <w:p w:rsidR="000D28B8" w:rsidRPr="00B57B13" w:rsidRDefault="000D28B8" w:rsidP="00B35480">
            <w:pPr>
              <w:jc w:val="right"/>
              <w:rPr>
                <w:rFonts w:ascii="Arial" w:hAnsi="Arial" w:cs="Arial"/>
                <w:sz w:val="22"/>
                <w:szCs w:val="22"/>
              </w:rPr>
            </w:pPr>
            <w:r w:rsidRPr="00B57B13">
              <w:rPr>
                <w:rFonts w:ascii="Arial" w:hAnsi="Arial" w:cs="Arial"/>
                <w:sz w:val="22"/>
                <w:szCs w:val="22"/>
              </w:rPr>
              <w:t>11.37</w:t>
            </w:r>
          </w:p>
        </w:tc>
      </w:tr>
      <w:bookmarkEnd w:id="435"/>
    </w:tbl>
    <w:p w:rsidR="000D28B8" w:rsidRPr="00B57B13" w:rsidRDefault="000D28B8" w:rsidP="00B35480">
      <w:pPr>
        <w:rPr>
          <w:rFonts w:ascii="Arial" w:hAnsi="Arial" w:cs="Arial"/>
        </w:rPr>
      </w:pPr>
    </w:p>
    <w:p w:rsidR="000D28B8" w:rsidRPr="00B57B13" w:rsidRDefault="000D28B8" w:rsidP="00F712CF">
      <w:pPr>
        <w:spacing w:before="240" w:after="240"/>
        <w:rPr>
          <w:rFonts w:ascii="Arial" w:hAnsi="Arial" w:cs="Arial"/>
        </w:rPr>
      </w:pPr>
      <w:r w:rsidRPr="00B57B13">
        <w:rPr>
          <w:rFonts w:ascii="Arial" w:hAnsi="Arial" w:cs="Arial"/>
        </w:rPr>
        <w:t xml:space="preserve">The annual undiscounted benefit and cost cash flows for the total investment for the duration of the investment period plus 30 years from the last year of investment are shown in Figure 1. </w:t>
      </w:r>
    </w:p>
    <w:p w:rsidR="000D28B8" w:rsidRPr="00A8335A" w:rsidRDefault="000D28B8" w:rsidP="00A8335A">
      <w:pPr>
        <w:pStyle w:val="Caption"/>
        <w:keepNext/>
        <w:spacing w:after="240"/>
        <w:jc w:val="center"/>
        <w:rPr>
          <w:rFonts w:ascii="Arial" w:hAnsi="Arial"/>
          <w:b w:val="0"/>
          <w:sz w:val="22"/>
          <w:szCs w:val="22"/>
        </w:rPr>
      </w:pPr>
      <w:bookmarkStart w:id="436" w:name="_Toc484505472"/>
      <w:r w:rsidRPr="00A8335A">
        <w:rPr>
          <w:rFonts w:ascii="Arial" w:hAnsi="Arial"/>
          <w:b w:val="0"/>
          <w:sz w:val="22"/>
          <w:szCs w:val="22"/>
        </w:rPr>
        <w:t xml:space="preserve">Figure </w:t>
      </w:r>
      <w:r w:rsidR="00913E1D">
        <w:rPr>
          <w:rFonts w:ascii="Arial" w:hAnsi="Arial"/>
          <w:b w:val="0"/>
          <w:sz w:val="22"/>
          <w:szCs w:val="22"/>
        </w:rPr>
        <w:t>1</w:t>
      </w:r>
      <w:r w:rsidRPr="00A8335A">
        <w:rPr>
          <w:rFonts w:ascii="Arial" w:hAnsi="Arial"/>
          <w:b w:val="0"/>
          <w:sz w:val="22"/>
          <w:szCs w:val="22"/>
        </w:rPr>
        <w:t>: Annual Cash Flow of Total Benefits and Investment Costs in the Project</w:t>
      </w:r>
      <w:bookmarkEnd w:id="436"/>
      <w:r w:rsidRPr="00A8335A">
        <w:rPr>
          <w:rFonts w:ascii="Arial" w:hAnsi="Arial"/>
          <w:b w:val="0"/>
          <w:sz w:val="22"/>
          <w:szCs w:val="22"/>
        </w:rPr>
        <w:t xml:space="preserve"> </w:t>
      </w:r>
    </w:p>
    <w:p w:rsidR="000D28B8" w:rsidRPr="00B57B13" w:rsidRDefault="000D28B8" w:rsidP="00B35480">
      <w:pPr>
        <w:jc w:val="center"/>
        <w:rPr>
          <w:rFonts w:ascii="Arial" w:hAnsi="Arial" w:cs="Arial"/>
        </w:rPr>
      </w:pPr>
      <w:r w:rsidRPr="00B57B13">
        <w:rPr>
          <w:rFonts w:ascii="Arial" w:hAnsi="Arial" w:cs="Arial"/>
          <w:noProof/>
          <w:lang w:eastAsia="en-AU"/>
        </w:rPr>
        <w:drawing>
          <wp:inline distT="0" distB="0" distL="0" distR="0" wp14:anchorId="68880C8F" wp14:editId="4656C14F">
            <wp:extent cx="5809073" cy="32099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1350" cy="3211183"/>
                    </a:xfrm>
                    <a:prstGeom prst="rect">
                      <a:avLst/>
                    </a:prstGeom>
                    <a:noFill/>
                  </pic:spPr>
                </pic:pic>
              </a:graphicData>
            </a:graphic>
          </wp:inline>
        </w:drawing>
      </w:r>
      <w:r w:rsidRPr="00B57B13">
        <w:rPr>
          <w:rFonts w:ascii="Arial" w:hAnsi="Arial" w:cs="Arial"/>
          <w:noProof/>
          <w:lang w:eastAsia="en-AU"/>
        </w:rPr>
        <w:t xml:space="preserve">  </w:t>
      </w:r>
    </w:p>
    <w:p w:rsidR="000D28B8" w:rsidRPr="00B57B13" w:rsidRDefault="000D28B8" w:rsidP="00B35480">
      <w:pPr>
        <w:rPr>
          <w:rFonts w:ascii="Arial" w:hAnsi="Arial" w:cs="Arial"/>
          <w:b/>
          <w:sz w:val="24"/>
        </w:rPr>
      </w:pPr>
    </w:p>
    <w:p w:rsidR="000D28B8" w:rsidRDefault="000D28B8">
      <w:pPr>
        <w:rPr>
          <w:rFonts w:ascii="Arial" w:hAnsi="Arial" w:cs="Arial"/>
          <w:b/>
          <w:sz w:val="24"/>
        </w:rPr>
      </w:pPr>
    </w:p>
    <w:p w:rsidR="000D28B8" w:rsidRPr="00B57B13" w:rsidRDefault="000D28B8" w:rsidP="00A8335A">
      <w:pPr>
        <w:spacing w:after="240"/>
        <w:rPr>
          <w:rFonts w:ascii="Arial" w:hAnsi="Arial" w:cs="Arial"/>
          <w:b/>
          <w:sz w:val="24"/>
        </w:rPr>
      </w:pPr>
      <w:r w:rsidRPr="00B57B13">
        <w:rPr>
          <w:rFonts w:ascii="Arial" w:hAnsi="Arial" w:cs="Arial"/>
          <w:b/>
          <w:sz w:val="24"/>
        </w:rPr>
        <w:t xml:space="preserve">Sources of Benefits </w:t>
      </w:r>
    </w:p>
    <w:p w:rsidR="000D28B8" w:rsidRPr="00B57B13" w:rsidRDefault="000D28B8" w:rsidP="00F712CF">
      <w:pPr>
        <w:spacing w:after="240"/>
        <w:rPr>
          <w:rFonts w:ascii="Arial" w:hAnsi="Arial" w:cs="Arial"/>
        </w:rPr>
      </w:pPr>
      <w:r w:rsidRPr="00B57B13">
        <w:rPr>
          <w:rFonts w:ascii="Arial" w:hAnsi="Arial" w:cs="Arial"/>
        </w:rPr>
        <w:t>Estimates of the relative contribution of each benefit valued, given the assumptions made, are shown in Table 10.</w:t>
      </w:r>
    </w:p>
    <w:p w:rsidR="000D28B8" w:rsidRPr="00A8335A" w:rsidRDefault="000D28B8" w:rsidP="00A8335A">
      <w:pPr>
        <w:pStyle w:val="Caption"/>
        <w:keepNext/>
        <w:spacing w:after="240"/>
        <w:jc w:val="center"/>
        <w:rPr>
          <w:rFonts w:ascii="Arial" w:hAnsi="Arial"/>
          <w:b w:val="0"/>
          <w:i/>
          <w:sz w:val="22"/>
          <w:szCs w:val="22"/>
        </w:rPr>
      </w:pPr>
      <w:bookmarkStart w:id="437" w:name="_Toc484505467"/>
      <w:r w:rsidRPr="00034D7A">
        <w:rPr>
          <w:rFonts w:ascii="Arial" w:hAnsi="Arial"/>
          <w:b w:val="0"/>
          <w:sz w:val="22"/>
          <w:szCs w:val="22"/>
        </w:rPr>
        <w:t xml:space="preserve">Table </w:t>
      </w:r>
      <w:r w:rsidR="00913E1D" w:rsidRPr="00034D7A">
        <w:rPr>
          <w:rFonts w:ascii="Arial" w:hAnsi="Arial"/>
          <w:b w:val="0"/>
          <w:sz w:val="22"/>
          <w:szCs w:val="22"/>
        </w:rPr>
        <w:t>10</w:t>
      </w:r>
      <w:r w:rsidRPr="00034D7A">
        <w:rPr>
          <w:rFonts w:ascii="Arial" w:hAnsi="Arial"/>
          <w:b w:val="0"/>
          <w:sz w:val="22"/>
          <w:szCs w:val="22"/>
        </w:rPr>
        <w:t>:</w:t>
      </w:r>
      <w:r w:rsidRPr="00A8335A">
        <w:rPr>
          <w:rFonts w:ascii="Arial" w:hAnsi="Arial"/>
          <w:b w:val="0"/>
          <w:sz w:val="22"/>
          <w:szCs w:val="22"/>
        </w:rPr>
        <w:t xml:space="preserve"> Contribution to Total Benefits from Each Source</w:t>
      </w:r>
      <w:bookmarkEnd w:id="437"/>
    </w:p>
    <w:tbl>
      <w:tblPr>
        <w:tblStyle w:val="TableGrid"/>
        <w:tblW w:w="9209" w:type="dxa"/>
        <w:jc w:val="center"/>
        <w:tblLook w:val="04A0" w:firstRow="1" w:lastRow="0" w:firstColumn="1" w:lastColumn="0" w:noHBand="0" w:noVBand="1"/>
      </w:tblPr>
      <w:tblGrid>
        <w:gridCol w:w="5665"/>
        <w:gridCol w:w="1843"/>
        <w:gridCol w:w="1701"/>
      </w:tblGrid>
      <w:tr w:rsidR="000D28B8" w:rsidRPr="00B57B13" w:rsidTr="00B35480">
        <w:trPr>
          <w:jc w:val="center"/>
        </w:trPr>
        <w:tc>
          <w:tcPr>
            <w:tcW w:w="5665" w:type="dxa"/>
            <w:tcBorders>
              <w:bottom w:val="single" w:sz="4" w:space="0" w:color="auto"/>
            </w:tcBorders>
          </w:tcPr>
          <w:p w:rsidR="000D28B8" w:rsidRPr="00B57B13" w:rsidRDefault="000D28B8" w:rsidP="00B35480">
            <w:pPr>
              <w:rPr>
                <w:rFonts w:ascii="Arial" w:hAnsi="Arial" w:cs="Arial"/>
                <w:b/>
                <w:sz w:val="22"/>
                <w:szCs w:val="22"/>
              </w:rPr>
            </w:pPr>
            <w:r w:rsidRPr="00B57B13">
              <w:rPr>
                <w:rFonts w:ascii="Arial" w:hAnsi="Arial" w:cs="Arial"/>
                <w:b/>
                <w:sz w:val="22"/>
                <w:szCs w:val="22"/>
              </w:rPr>
              <w:t>Source of Benefits</w:t>
            </w:r>
          </w:p>
        </w:tc>
        <w:tc>
          <w:tcPr>
            <w:tcW w:w="1843" w:type="dxa"/>
            <w:tcBorders>
              <w:bottom w:val="single" w:sz="4" w:space="0" w:color="auto"/>
            </w:tcBorders>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Contribution to PVB ($m)</w:t>
            </w:r>
          </w:p>
        </w:tc>
        <w:tc>
          <w:tcPr>
            <w:tcW w:w="1701" w:type="dxa"/>
            <w:tcBorders>
              <w:bottom w:val="single" w:sz="4" w:space="0" w:color="auto"/>
            </w:tcBorders>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Share of benefits (%)</w:t>
            </w:r>
          </w:p>
        </w:tc>
      </w:tr>
      <w:tr w:rsidR="000D28B8" w:rsidRPr="00B57B13" w:rsidTr="00B35480">
        <w:trPr>
          <w:jc w:val="center"/>
        </w:trPr>
        <w:tc>
          <w:tcPr>
            <w:tcW w:w="5665" w:type="dxa"/>
            <w:tcBorders>
              <w:top w:val="single" w:sz="4" w:space="0" w:color="auto"/>
              <w:bottom w:val="single" w:sz="4" w:space="0" w:color="auto"/>
              <w:right w:val="single" w:sz="4" w:space="0" w:color="auto"/>
            </w:tcBorders>
          </w:tcPr>
          <w:p w:rsidR="000D28B8" w:rsidRPr="00B57B13" w:rsidRDefault="000D28B8" w:rsidP="00B35480">
            <w:pPr>
              <w:rPr>
                <w:rFonts w:ascii="Arial" w:hAnsi="Arial" w:cs="Arial"/>
                <w:sz w:val="22"/>
                <w:szCs w:val="22"/>
              </w:rPr>
            </w:pPr>
            <w:r w:rsidRPr="00B57B13">
              <w:rPr>
                <w:rFonts w:ascii="Arial" w:hAnsi="Arial" w:cs="Arial"/>
                <w:sz w:val="22"/>
                <w:szCs w:val="22"/>
              </w:rPr>
              <w:t>Benefit 1: Increased MOFC due to replacement of some concentrates with home-grown fodder.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19.36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64.8%</w:t>
            </w:r>
          </w:p>
        </w:tc>
      </w:tr>
      <w:tr w:rsidR="000D28B8" w:rsidRPr="00B57B13" w:rsidTr="00B35480">
        <w:trPr>
          <w:jc w:val="center"/>
        </w:trPr>
        <w:tc>
          <w:tcPr>
            <w:tcW w:w="5665" w:type="dxa"/>
            <w:tcBorders>
              <w:top w:val="single" w:sz="4" w:space="0" w:color="auto"/>
              <w:bottom w:val="single" w:sz="4" w:space="0" w:color="auto"/>
              <w:right w:val="single" w:sz="4" w:space="0" w:color="auto"/>
            </w:tcBorders>
          </w:tcPr>
          <w:p w:rsidR="000D28B8" w:rsidRPr="00B57B13" w:rsidRDefault="000D28B8" w:rsidP="00B35480">
            <w:pPr>
              <w:rPr>
                <w:rFonts w:ascii="Arial" w:hAnsi="Arial" w:cs="Arial"/>
                <w:sz w:val="22"/>
                <w:szCs w:val="22"/>
              </w:rPr>
            </w:pPr>
            <w:r w:rsidRPr="00B57B13">
              <w:rPr>
                <w:rFonts w:ascii="Arial" w:hAnsi="Arial" w:cs="Arial"/>
                <w:sz w:val="22"/>
                <w:szCs w:val="22"/>
              </w:rPr>
              <w:t>Benefit 2: Decreased feed costs due to research into improved forage management.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10.53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35.2%</w:t>
            </w:r>
          </w:p>
        </w:tc>
      </w:tr>
      <w:tr w:rsidR="00034D7A" w:rsidRPr="00B57B13" w:rsidTr="00B35480">
        <w:trPr>
          <w:jc w:val="center"/>
        </w:trPr>
        <w:tc>
          <w:tcPr>
            <w:tcW w:w="5665" w:type="dxa"/>
            <w:tcBorders>
              <w:top w:val="single" w:sz="4" w:space="0" w:color="auto"/>
              <w:bottom w:val="single" w:sz="4" w:space="0" w:color="auto"/>
              <w:right w:val="single" w:sz="4" w:space="0" w:color="auto"/>
            </w:tcBorders>
          </w:tcPr>
          <w:p w:rsidR="00034D7A" w:rsidRPr="00034D7A" w:rsidRDefault="00034D7A" w:rsidP="00B35480">
            <w:pPr>
              <w:rPr>
                <w:rFonts w:ascii="Arial" w:hAnsi="Arial" w:cs="Arial"/>
                <w:sz w:val="22"/>
                <w:szCs w:val="22"/>
              </w:rPr>
            </w:pPr>
            <w:r w:rsidRPr="00034D7A">
              <w:rPr>
                <w:rFonts w:ascii="Arial" w:hAnsi="Arial" w:cs="Arial"/>
                <w:sz w:val="22"/>
                <w:szCs w:val="22"/>
              </w:rPr>
              <w:t>Total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034D7A" w:rsidRPr="00034D7A" w:rsidRDefault="00034D7A" w:rsidP="00B35480">
            <w:pPr>
              <w:jc w:val="center"/>
              <w:rPr>
                <w:rFonts w:ascii="Arial" w:hAnsi="Arial" w:cs="Arial"/>
                <w:color w:val="000000"/>
                <w:sz w:val="22"/>
                <w:szCs w:val="22"/>
              </w:rPr>
            </w:pPr>
            <w:r w:rsidRPr="00034D7A">
              <w:rPr>
                <w:rFonts w:ascii="Arial" w:hAnsi="Arial" w:cs="Arial"/>
                <w:color w:val="000000"/>
                <w:sz w:val="22"/>
                <w:szCs w:val="22"/>
              </w:rPr>
              <w:t>29.90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034D7A" w:rsidRPr="00034D7A" w:rsidRDefault="00034D7A" w:rsidP="00B35480">
            <w:pPr>
              <w:jc w:val="center"/>
              <w:rPr>
                <w:rFonts w:ascii="Arial" w:hAnsi="Arial" w:cs="Arial"/>
                <w:color w:val="000000"/>
                <w:sz w:val="22"/>
                <w:szCs w:val="22"/>
              </w:rPr>
            </w:pPr>
            <w:r w:rsidRPr="00034D7A">
              <w:rPr>
                <w:rFonts w:ascii="Arial" w:hAnsi="Arial" w:cs="Arial"/>
                <w:color w:val="000000"/>
                <w:sz w:val="22"/>
                <w:szCs w:val="22"/>
              </w:rPr>
              <w:t>100.0%</w:t>
            </w:r>
          </w:p>
        </w:tc>
      </w:tr>
    </w:tbl>
    <w:p w:rsidR="00A8335A" w:rsidRDefault="00A8335A" w:rsidP="00034D7A"/>
    <w:p w:rsidR="00034D7A" w:rsidRDefault="00034D7A" w:rsidP="00034D7A"/>
    <w:p w:rsidR="00034D7A" w:rsidRDefault="00034D7A" w:rsidP="00034D7A"/>
    <w:p w:rsidR="00034D7A" w:rsidRDefault="00034D7A" w:rsidP="00034D7A"/>
    <w:p w:rsidR="00034D7A" w:rsidRDefault="00034D7A" w:rsidP="00034D7A"/>
    <w:p w:rsidR="00034D7A" w:rsidRDefault="00034D7A" w:rsidP="00034D7A"/>
    <w:p w:rsidR="00034D7A" w:rsidRDefault="00034D7A" w:rsidP="00034D7A"/>
    <w:p w:rsidR="00034D7A" w:rsidRDefault="00034D7A" w:rsidP="00034D7A"/>
    <w:p w:rsidR="00034D7A" w:rsidRDefault="00034D7A" w:rsidP="00034D7A"/>
    <w:p w:rsidR="00034D7A" w:rsidRDefault="00034D7A" w:rsidP="00034D7A"/>
    <w:p w:rsidR="00034D7A" w:rsidRDefault="00034D7A" w:rsidP="00034D7A"/>
    <w:p w:rsidR="00034D7A" w:rsidRDefault="00034D7A" w:rsidP="00034D7A"/>
    <w:p w:rsidR="000D28B8" w:rsidRPr="00B57B13" w:rsidRDefault="000D28B8" w:rsidP="00F712CF">
      <w:pPr>
        <w:spacing w:before="240" w:after="240"/>
        <w:rPr>
          <w:rFonts w:ascii="Arial" w:hAnsi="Arial" w:cs="Arial"/>
          <w:b/>
          <w:sz w:val="24"/>
        </w:rPr>
      </w:pPr>
      <w:r w:rsidRPr="00B57B13">
        <w:rPr>
          <w:rFonts w:ascii="Arial" w:hAnsi="Arial" w:cs="Arial"/>
          <w:b/>
          <w:sz w:val="24"/>
        </w:rPr>
        <w:t>Sensitivity Analysis</w:t>
      </w:r>
    </w:p>
    <w:p w:rsidR="000D28B8" w:rsidRPr="00B57B13" w:rsidRDefault="000D28B8" w:rsidP="00B35480">
      <w:pPr>
        <w:rPr>
          <w:rFonts w:ascii="Arial" w:hAnsi="Arial" w:cs="Arial"/>
        </w:rPr>
      </w:pPr>
      <w:r w:rsidRPr="00B57B13">
        <w:rPr>
          <w:rFonts w:ascii="Arial" w:hAnsi="Arial" w:cs="Arial"/>
        </w:rPr>
        <w:t xml:space="preserve">A sensitivity analysis was carried out on the discount rate. The analysis was performed for the total investment and with benefits taken over the life of the investment plus 30 years from the last year of investment. All other parameters were held at their base values. Table 11 presents the results. The results showed a moderate sensitivity to the discount rate. </w:t>
      </w:r>
    </w:p>
    <w:p w:rsidR="000D28B8" w:rsidRPr="00B57B13" w:rsidRDefault="000D28B8" w:rsidP="00B35480">
      <w:pPr>
        <w:rPr>
          <w:rFonts w:ascii="Arial" w:hAnsi="Arial" w:cs="Arial"/>
          <w:szCs w:val="20"/>
        </w:rPr>
      </w:pPr>
    </w:p>
    <w:p w:rsidR="000D28B8" w:rsidRPr="00A8335A" w:rsidRDefault="000D28B8" w:rsidP="00A8335A">
      <w:pPr>
        <w:pStyle w:val="Caption"/>
        <w:keepNext/>
        <w:spacing w:after="240"/>
        <w:jc w:val="center"/>
        <w:rPr>
          <w:rFonts w:ascii="Arial" w:hAnsi="Arial"/>
          <w:b w:val="0"/>
          <w:i/>
          <w:sz w:val="22"/>
          <w:szCs w:val="22"/>
        </w:rPr>
      </w:pPr>
      <w:bookmarkStart w:id="438" w:name="_Toc484505468"/>
      <w:r w:rsidRPr="00A8335A">
        <w:rPr>
          <w:rFonts w:ascii="Arial" w:hAnsi="Arial"/>
          <w:b w:val="0"/>
          <w:sz w:val="22"/>
          <w:szCs w:val="22"/>
        </w:rPr>
        <w:t xml:space="preserve">Table </w:t>
      </w:r>
      <w:r w:rsidR="00913E1D" w:rsidRPr="00034D7A">
        <w:rPr>
          <w:rFonts w:ascii="Arial" w:hAnsi="Arial"/>
          <w:b w:val="0"/>
          <w:sz w:val="22"/>
          <w:szCs w:val="22"/>
        </w:rPr>
        <w:t>11</w:t>
      </w:r>
      <w:r w:rsidRPr="00034D7A">
        <w:rPr>
          <w:rFonts w:ascii="Arial" w:hAnsi="Arial"/>
          <w:b w:val="0"/>
          <w:sz w:val="22"/>
          <w:szCs w:val="22"/>
        </w:rPr>
        <w:t>:</w:t>
      </w:r>
      <w:r w:rsidRPr="00A8335A">
        <w:rPr>
          <w:rFonts w:ascii="Arial" w:hAnsi="Arial"/>
          <w:b w:val="0"/>
          <w:sz w:val="22"/>
          <w:szCs w:val="22"/>
        </w:rPr>
        <w:t xml:space="preserve"> Sensitivity to Discount Rate</w:t>
      </w:r>
      <w:bookmarkEnd w:id="438"/>
      <w:r w:rsidRPr="00A8335A">
        <w:rPr>
          <w:rFonts w:ascii="Arial" w:hAnsi="Arial"/>
          <w:b w:val="0"/>
          <w:sz w:val="22"/>
          <w:szCs w:val="22"/>
        </w:rPr>
        <w:t xml:space="preserve"> </w:t>
      </w:r>
      <w:r w:rsidR="00A8335A">
        <w:rPr>
          <w:rFonts w:ascii="Arial" w:hAnsi="Arial"/>
          <w:b w:val="0"/>
          <w:sz w:val="22"/>
          <w:szCs w:val="22"/>
        </w:rPr>
        <w:br/>
      </w:r>
      <w:r w:rsidRPr="00A8335A">
        <w:rPr>
          <w:rFonts w:ascii="Arial" w:hAnsi="Arial"/>
          <w:b w:val="0"/>
          <w:sz w:val="22"/>
          <w:szCs w:val="22"/>
        </w:rPr>
        <w:t>(Total investment, 30 years)</w:t>
      </w:r>
    </w:p>
    <w:tbl>
      <w:tblPr>
        <w:tblStyle w:val="TableGrid"/>
        <w:tblW w:w="0" w:type="auto"/>
        <w:tblLayout w:type="fixed"/>
        <w:tblLook w:val="04A0" w:firstRow="1" w:lastRow="0" w:firstColumn="1" w:lastColumn="0" w:noHBand="0" w:noVBand="1"/>
      </w:tblPr>
      <w:tblGrid>
        <w:gridCol w:w="3256"/>
        <w:gridCol w:w="1920"/>
        <w:gridCol w:w="1920"/>
        <w:gridCol w:w="1920"/>
      </w:tblGrid>
      <w:tr w:rsidR="000D28B8" w:rsidRPr="00B57B13" w:rsidTr="00B35480">
        <w:tc>
          <w:tcPr>
            <w:tcW w:w="3256" w:type="dxa"/>
            <w:vMerge w:val="restart"/>
          </w:tcPr>
          <w:p w:rsidR="000D28B8" w:rsidRPr="00B57B13" w:rsidRDefault="000D28B8" w:rsidP="00B35480">
            <w:pPr>
              <w:rPr>
                <w:rFonts w:ascii="Arial" w:hAnsi="Arial" w:cs="Arial"/>
                <w:b/>
                <w:sz w:val="22"/>
                <w:szCs w:val="22"/>
              </w:rPr>
            </w:pPr>
            <w:r w:rsidRPr="00B57B13">
              <w:rPr>
                <w:rFonts w:ascii="Arial" w:hAnsi="Arial" w:cs="Arial"/>
                <w:b/>
                <w:sz w:val="22"/>
                <w:szCs w:val="22"/>
              </w:rPr>
              <w:t>Investment Criteria</w:t>
            </w:r>
          </w:p>
        </w:tc>
        <w:tc>
          <w:tcPr>
            <w:tcW w:w="5760" w:type="dxa"/>
            <w:gridSpan w:val="3"/>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Discount rate</w:t>
            </w:r>
          </w:p>
        </w:tc>
      </w:tr>
      <w:tr w:rsidR="000D28B8" w:rsidRPr="00B57B13" w:rsidTr="00B35480">
        <w:tc>
          <w:tcPr>
            <w:tcW w:w="3256" w:type="dxa"/>
            <w:vMerge/>
          </w:tcPr>
          <w:p w:rsidR="000D28B8" w:rsidRPr="00B57B13" w:rsidRDefault="000D28B8" w:rsidP="00B35480">
            <w:pPr>
              <w:rPr>
                <w:rFonts w:ascii="Arial" w:hAnsi="Arial" w:cs="Arial"/>
                <w:b/>
                <w:sz w:val="22"/>
                <w:szCs w:val="22"/>
              </w:rPr>
            </w:pPr>
          </w:p>
        </w:tc>
        <w:tc>
          <w:tcPr>
            <w:tcW w:w="1920" w:type="dxa"/>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0%</w:t>
            </w:r>
          </w:p>
        </w:tc>
        <w:tc>
          <w:tcPr>
            <w:tcW w:w="1920" w:type="dxa"/>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5% (base)</w:t>
            </w:r>
          </w:p>
        </w:tc>
        <w:tc>
          <w:tcPr>
            <w:tcW w:w="1920" w:type="dxa"/>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10%</w:t>
            </w:r>
          </w:p>
        </w:tc>
      </w:tr>
      <w:tr w:rsidR="000D28B8" w:rsidRPr="00B57B13" w:rsidTr="00B35480">
        <w:tc>
          <w:tcPr>
            <w:tcW w:w="3256" w:type="dxa"/>
          </w:tcPr>
          <w:p w:rsidR="000D28B8" w:rsidRPr="00B57B13" w:rsidRDefault="000D28B8" w:rsidP="00B35480">
            <w:pPr>
              <w:rPr>
                <w:rFonts w:ascii="Arial" w:hAnsi="Arial" w:cs="Arial"/>
                <w:sz w:val="22"/>
                <w:szCs w:val="22"/>
              </w:rPr>
            </w:pPr>
            <w:r w:rsidRPr="00B57B13">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59.54</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29.90</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17.97</w:t>
            </w:r>
          </w:p>
        </w:tc>
      </w:tr>
      <w:tr w:rsidR="000D28B8" w:rsidRPr="00B57B13" w:rsidTr="00B35480">
        <w:tc>
          <w:tcPr>
            <w:tcW w:w="3256" w:type="dxa"/>
          </w:tcPr>
          <w:p w:rsidR="000D28B8" w:rsidRPr="00B57B13" w:rsidRDefault="000D28B8" w:rsidP="00B35480">
            <w:pPr>
              <w:rPr>
                <w:rFonts w:ascii="Arial" w:hAnsi="Arial" w:cs="Arial"/>
                <w:sz w:val="22"/>
                <w:szCs w:val="22"/>
              </w:rPr>
            </w:pPr>
            <w:r w:rsidRPr="00B57B13">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5.49</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5.78</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6.08</w:t>
            </w:r>
          </w:p>
        </w:tc>
      </w:tr>
      <w:tr w:rsidR="000D28B8" w:rsidRPr="00B57B13" w:rsidTr="00B35480">
        <w:tc>
          <w:tcPr>
            <w:tcW w:w="3256" w:type="dxa"/>
          </w:tcPr>
          <w:p w:rsidR="000D28B8" w:rsidRPr="00B57B13" w:rsidRDefault="000D28B8" w:rsidP="00B35480">
            <w:pPr>
              <w:rPr>
                <w:rFonts w:ascii="Arial" w:hAnsi="Arial" w:cs="Arial"/>
                <w:sz w:val="22"/>
                <w:szCs w:val="22"/>
              </w:rPr>
            </w:pPr>
            <w:r w:rsidRPr="00B57B13">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54.05</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24.11</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11.88</w:t>
            </w:r>
          </w:p>
        </w:tc>
      </w:tr>
      <w:tr w:rsidR="000D28B8" w:rsidRPr="00B57B13" w:rsidTr="00B35480">
        <w:tc>
          <w:tcPr>
            <w:tcW w:w="3256" w:type="dxa"/>
          </w:tcPr>
          <w:p w:rsidR="000D28B8" w:rsidRPr="00B57B13" w:rsidRDefault="000D28B8" w:rsidP="00B35480">
            <w:pPr>
              <w:rPr>
                <w:rFonts w:ascii="Arial" w:hAnsi="Arial" w:cs="Arial"/>
                <w:sz w:val="22"/>
                <w:szCs w:val="22"/>
              </w:rPr>
            </w:pPr>
            <w:r w:rsidRPr="00B57B13">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10.84</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5.17</w:t>
            </w:r>
          </w:p>
        </w:tc>
        <w:tc>
          <w:tcPr>
            <w:tcW w:w="192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2.95</w:t>
            </w:r>
          </w:p>
        </w:tc>
      </w:tr>
    </w:tbl>
    <w:p w:rsidR="000D28B8" w:rsidRPr="00B57B13" w:rsidRDefault="000D28B8" w:rsidP="00F712CF">
      <w:pPr>
        <w:spacing w:before="240" w:after="240"/>
        <w:rPr>
          <w:rFonts w:ascii="Arial" w:hAnsi="Arial" w:cs="Arial"/>
        </w:rPr>
      </w:pPr>
      <w:r w:rsidRPr="00B57B13">
        <w:rPr>
          <w:rFonts w:ascii="Arial" w:hAnsi="Arial" w:cs="Arial"/>
        </w:rPr>
        <w:t>Further sensitivity analyses of the best case and worse case scenarios were conducted on the key variables of adoption levels for both benefits and the probability of impact of both the benefits (Tables 12 and 13).</w:t>
      </w:r>
    </w:p>
    <w:p w:rsidR="000D28B8" w:rsidRPr="00A8335A" w:rsidRDefault="000D28B8" w:rsidP="00A8335A">
      <w:pPr>
        <w:pStyle w:val="Caption"/>
        <w:keepNext/>
        <w:spacing w:after="240"/>
        <w:jc w:val="center"/>
        <w:rPr>
          <w:rFonts w:ascii="Arial" w:hAnsi="Arial"/>
          <w:b w:val="0"/>
          <w:sz w:val="22"/>
          <w:szCs w:val="22"/>
        </w:rPr>
      </w:pPr>
      <w:bookmarkStart w:id="439" w:name="_Toc484505469"/>
      <w:r w:rsidRPr="00A8335A">
        <w:rPr>
          <w:rFonts w:ascii="Arial" w:hAnsi="Arial"/>
          <w:b w:val="0"/>
          <w:sz w:val="22"/>
          <w:szCs w:val="22"/>
        </w:rPr>
        <w:t xml:space="preserve">Table </w:t>
      </w:r>
      <w:r w:rsidR="00913E1D" w:rsidRPr="00034D7A">
        <w:rPr>
          <w:rFonts w:ascii="Arial" w:hAnsi="Arial"/>
          <w:b w:val="0"/>
          <w:sz w:val="22"/>
          <w:szCs w:val="22"/>
        </w:rPr>
        <w:t>12</w:t>
      </w:r>
      <w:r w:rsidRPr="00034D7A">
        <w:rPr>
          <w:rFonts w:ascii="Arial" w:hAnsi="Arial"/>
          <w:b w:val="0"/>
          <w:sz w:val="22"/>
          <w:szCs w:val="22"/>
        </w:rPr>
        <w:t>:</w:t>
      </w:r>
      <w:r w:rsidRPr="00A8335A">
        <w:rPr>
          <w:rFonts w:ascii="Arial" w:hAnsi="Arial"/>
          <w:b w:val="0"/>
          <w:sz w:val="22"/>
          <w:szCs w:val="22"/>
        </w:rPr>
        <w:t xml:space="preserve"> Sensitivity to Change in Adoption Rates for Both Benefits</w:t>
      </w:r>
      <w:bookmarkEnd w:id="439"/>
      <w:r w:rsidRPr="00A8335A">
        <w:rPr>
          <w:rFonts w:ascii="Arial" w:hAnsi="Arial"/>
          <w:b w:val="0"/>
          <w:sz w:val="22"/>
          <w:szCs w:val="22"/>
        </w:rPr>
        <w:t xml:space="preserve"> </w:t>
      </w:r>
      <w:r w:rsidR="00A8335A">
        <w:rPr>
          <w:rFonts w:ascii="Arial" w:hAnsi="Arial"/>
          <w:b w:val="0"/>
          <w:sz w:val="22"/>
          <w:szCs w:val="22"/>
        </w:rPr>
        <w:br/>
      </w:r>
      <w:r w:rsidRPr="00A8335A">
        <w:rPr>
          <w:rFonts w:ascii="Arial" w:hAnsi="Arial"/>
          <w:b w:val="0"/>
          <w:sz w:val="22"/>
          <w:szCs w:val="22"/>
        </w:rPr>
        <w:t>(Total investment, 30 years, 5% discount rate)</w:t>
      </w:r>
    </w:p>
    <w:tbl>
      <w:tblPr>
        <w:tblStyle w:val="TableGrid"/>
        <w:tblW w:w="0" w:type="auto"/>
        <w:tblLook w:val="04A0" w:firstRow="1" w:lastRow="0" w:firstColumn="1" w:lastColumn="0" w:noHBand="0" w:noVBand="1"/>
      </w:tblPr>
      <w:tblGrid>
        <w:gridCol w:w="3256"/>
        <w:gridCol w:w="1664"/>
        <w:gridCol w:w="2050"/>
        <w:gridCol w:w="2046"/>
      </w:tblGrid>
      <w:tr w:rsidR="000D28B8" w:rsidRPr="00B57B13" w:rsidTr="00B35480">
        <w:tc>
          <w:tcPr>
            <w:tcW w:w="3256" w:type="dxa"/>
            <w:vMerge w:val="restart"/>
          </w:tcPr>
          <w:p w:rsidR="000D28B8" w:rsidRPr="00B57B13" w:rsidRDefault="000D28B8" w:rsidP="00B35480">
            <w:pPr>
              <w:rPr>
                <w:rFonts w:ascii="Arial" w:hAnsi="Arial" w:cs="Arial"/>
                <w:b/>
                <w:sz w:val="22"/>
                <w:szCs w:val="22"/>
              </w:rPr>
            </w:pPr>
            <w:r w:rsidRPr="00B57B13">
              <w:rPr>
                <w:rFonts w:ascii="Arial" w:hAnsi="Arial" w:cs="Arial"/>
                <w:b/>
                <w:sz w:val="22"/>
                <w:szCs w:val="22"/>
              </w:rPr>
              <w:t>Investment Criteria</w:t>
            </w:r>
          </w:p>
        </w:tc>
        <w:tc>
          <w:tcPr>
            <w:tcW w:w="5760" w:type="dxa"/>
            <w:gridSpan w:val="3"/>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Maximum Adoption (%) </w:t>
            </w:r>
          </w:p>
        </w:tc>
      </w:tr>
      <w:tr w:rsidR="000D28B8" w:rsidRPr="00B57B13" w:rsidTr="00B35480">
        <w:tc>
          <w:tcPr>
            <w:tcW w:w="3256" w:type="dxa"/>
            <w:vMerge/>
          </w:tcPr>
          <w:p w:rsidR="000D28B8" w:rsidRPr="00B57B13" w:rsidRDefault="000D28B8" w:rsidP="00B35480">
            <w:pPr>
              <w:rPr>
                <w:rFonts w:ascii="Arial" w:hAnsi="Arial" w:cs="Arial"/>
                <w:b/>
                <w:sz w:val="22"/>
                <w:szCs w:val="22"/>
              </w:rPr>
            </w:pPr>
          </w:p>
        </w:tc>
        <w:tc>
          <w:tcPr>
            <w:tcW w:w="1664" w:type="dxa"/>
            <w:tcBorders>
              <w:bottom w:val="single" w:sz="4" w:space="0" w:color="auto"/>
            </w:tcBorders>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10% Benefit 1 10% Benefit 2 (Worst case)</w:t>
            </w:r>
          </w:p>
        </w:tc>
        <w:tc>
          <w:tcPr>
            <w:tcW w:w="2050" w:type="dxa"/>
            <w:tcBorders>
              <w:bottom w:val="single" w:sz="4" w:space="0" w:color="auto"/>
            </w:tcBorders>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15% Benefit 1 </w:t>
            </w:r>
          </w:p>
          <w:p w:rsidR="000D28B8" w:rsidRPr="00B57B13" w:rsidRDefault="000D28B8" w:rsidP="00B35480">
            <w:pPr>
              <w:jc w:val="center"/>
              <w:rPr>
                <w:rFonts w:ascii="Arial" w:hAnsi="Arial" w:cs="Arial"/>
                <w:b/>
                <w:sz w:val="22"/>
                <w:szCs w:val="22"/>
              </w:rPr>
            </w:pPr>
            <w:r w:rsidRPr="00B57B13">
              <w:rPr>
                <w:rFonts w:ascii="Arial" w:hAnsi="Arial" w:cs="Arial"/>
                <w:b/>
                <w:sz w:val="22"/>
                <w:szCs w:val="22"/>
              </w:rPr>
              <w:t>20% Benefit 2 (Base case)</w:t>
            </w:r>
          </w:p>
        </w:tc>
        <w:tc>
          <w:tcPr>
            <w:tcW w:w="2046" w:type="dxa"/>
            <w:tcBorders>
              <w:bottom w:val="single" w:sz="4" w:space="0" w:color="auto"/>
            </w:tcBorders>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20% Benefit 1 </w:t>
            </w:r>
          </w:p>
          <w:p w:rsidR="000D28B8" w:rsidRPr="00B57B13" w:rsidRDefault="000D28B8" w:rsidP="00B35480">
            <w:pPr>
              <w:jc w:val="center"/>
              <w:rPr>
                <w:rFonts w:ascii="Arial" w:hAnsi="Arial" w:cs="Arial"/>
                <w:b/>
                <w:sz w:val="22"/>
                <w:szCs w:val="22"/>
              </w:rPr>
            </w:pPr>
            <w:r w:rsidRPr="00B57B13">
              <w:rPr>
                <w:rFonts w:ascii="Arial" w:hAnsi="Arial" w:cs="Arial"/>
                <w:b/>
                <w:sz w:val="22"/>
                <w:szCs w:val="22"/>
              </w:rPr>
              <w:t>30% Benefit 2 (Best case)</w:t>
            </w:r>
          </w:p>
        </w:tc>
      </w:tr>
      <w:tr w:rsidR="000D28B8" w:rsidRPr="00B57B13" w:rsidTr="00B35480">
        <w:tc>
          <w:tcPr>
            <w:tcW w:w="3256" w:type="dxa"/>
            <w:tcBorders>
              <w:right w:val="single" w:sz="4" w:space="0" w:color="auto"/>
            </w:tcBorders>
          </w:tcPr>
          <w:p w:rsidR="000D28B8" w:rsidRPr="00B57B13" w:rsidRDefault="000D28B8" w:rsidP="00B35480">
            <w:pPr>
              <w:rPr>
                <w:rFonts w:ascii="Arial" w:hAnsi="Arial" w:cs="Arial"/>
                <w:sz w:val="22"/>
                <w:szCs w:val="22"/>
              </w:rPr>
            </w:pPr>
            <w:r w:rsidRPr="00B57B13">
              <w:rPr>
                <w:rFonts w:ascii="Arial" w:hAnsi="Arial" w:cs="Arial"/>
                <w:sz w:val="22"/>
                <w:szCs w:val="22"/>
              </w:rPr>
              <w:t>Present value of benefits ($m)</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18.18</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29.90</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41.62</w:t>
            </w:r>
          </w:p>
        </w:tc>
      </w:tr>
      <w:tr w:rsidR="000D28B8" w:rsidRPr="00B57B13" w:rsidTr="00B35480">
        <w:tc>
          <w:tcPr>
            <w:tcW w:w="3256" w:type="dxa"/>
            <w:tcBorders>
              <w:right w:val="single" w:sz="4" w:space="0" w:color="auto"/>
            </w:tcBorders>
          </w:tcPr>
          <w:p w:rsidR="000D28B8" w:rsidRPr="00B57B13" w:rsidRDefault="000D28B8" w:rsidP="00B35480">
            <w:pPr>
              <w:rPr>
                <w:rFonts w:ascii="Arial" w:hAnsi="Arial" w:cs="Arial"/>
                <w:sz w:val="22"/>
                <w:szCs w:val="22"/>
              </w:rPr>
            </w:pPr>
            <w:r w:rsidRPr="00B57B13">
              <w:rPr>
                <w:rFonts w:ascii="Arial" w:hAnsi="Arial" w:cs="Arial"/>
                <w:sz w:val="22"/>
                <w:szCs w:val="22"/>
              </w:rPr>
              <w:t>Present value of costs ($m)</w:t>
            </w:r>
          </w:p>
        </w:tc>
        <w:tc>
          <w:tcPr>
            <w:tcW w:w="1664"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5.78</w:t>
            </w:r>
          </w:p>
        </w:tc>
        <w:tc>
          <w:tcPr>
            <w:tcW w:w="205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5.78</w:t>
            </w:r>
          </w:p>
        </w:tc>
        <w:tc>
          <w:tcPr>
            <w:tcW w:w="2046"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5.78</w:t>
            </w:r>
          </w:p>
        </w:tc>
      </w:tr>
      <w:tr w:rsidR="000D28B8" w:rsidRPr="00B57B13" w:rsidTr="00B35480">
        <w:tc>
          <w:tcPr>
            <w:tcW w:w="3256" w:type="dxa"/>
            <w:tcBorders>
              <w:right w:val="single" w:sz="4" w:space="0" w:color="auto"/>
            </w:tcBorders>
          </w:tcPr>
          <w:p w:rsidR="000D28B8" w:rsidRPr="00B57B13" w:rsidRDefault="000D28B8" w:rsidP="00B35480">
            <w:pPr>
              <w:rPr>
                <w:rFonts w:ascii="Arial" w:hAnsi="Arial" w:cs="Arial"/>
                <w:sz w:val="22"/>
                <w:szCs w:val="22"/>
              </w:rPr>
            </w:pPr>
            <w:r w:rsidRPr="00B57B13">
              <w:rPr>
                <w:rFonts w:ascii="Arial" w:hAnsi="Arial" w:cs="Arial"/>
                <w:sz w:val="22"/>
                <w:szCs w:val="22"/>
              </w:rPr>
              <w:t>Net present value ($m)</w:t>
            </w:r>
          </w:p>
        </w:tc>
        <w:tc>
          <w:tcPr>
            <w:tcW w:w="1664"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12.39</w:t>
            </w:r>
          </w:p>
        </w:tc>
        <w:tc>
          <w:tcPr>
            <w:tcW w:w="205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24.11</w:t>
            </w:r>
          </w:p>
        </w:tc>
        <w:tc>
          <w:tcPr>
            <w:tcW w:w="2046"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35.83</w:t>
            </w:r>
          </w:p>
        </w:tc>
      </w:tr>
      <w:tr w:rsidR="000D28B8" w:rsidRPr="00B57B13" w:rsidTr="00B35480">
        <w:tc>
          <w:tcPr>
            <w:tcW w:w="3256" w:type="dxa"/>
            <w:tcBorders>
              <w:right w:val="single" w:sz="4" w:space="0" w:color="auto"/>
            </w:tcBorders>
          </w:tcPr>
          <w:p w:rsidR="000D28B8" w:rsidRPr="00B57B13" w:rsidRDefault="000D28B8" w:rsidP="00B35480">
            <w:pPr>
              <w:rPr>
                <w:rFonts w:ascii="Arial" w:hAnsi="Arial" w:cs="Arial"/>
                <w:sz w:val="22"/>
                <w:szCs w:val="22"/>
              </w:rPr>
            </w:pPr>
            <w:r w:rsidRPr="00B57B13">
              <w:rPr>
                <w:rFonts w:ascii="Arial" w:hAnsi="Arial" w:cs="Arial"/>
                <w:sz w:val="22"/>
                <w:szCs w:val="22"/>
              </w:rPr>
              <w:t>Benefit-cost ratio</w:t>
            </w:r>
          </w:p>
        </w:tc>
        <w:tc>
          <w:tcPr>
            <w:tcW w:w="1664"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3.14</w:t>
            </w:r>
          </w:p>
        </w:tc>
        <w:tc>
          <w:tcPr>
            <w:tcW w:w="205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5.17</w:t>
            </w:r>
          </w:p>
        </w:tc>
        <w:tc>
          <w:tcPr>
            <w:tcW w:w="2046"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7.20</w:t>
            </w:r>
          </w:p>
        </w:tc>
      </w:tr>
    </w:tbl>
    <w:p w:rsidR="000D28B8" w:rsidRDefault="000D28B8" w:rsidP="00B35480">
      <w:pPr>
        <w:pStyle w:val="Table"/>
        <w:jc w:val="left"/>
        <w:rPr>
          <w:rFonts w:ascii="Arial" w:hAnsi="Arial"/>
        </w:rPr>
      </w:pPr>
    </w:p>
    <w:p w:rsidR="000D28B8" w:rsidRPr="00A8335A" w:rsidRDefault="000D28B8" w:rsidP="00A8335A">
      <w:pPr>
        <w:pStyle w:val="Caption"/>
        <w:keepNext/>
        <w:spacing w:after="240"/>
        <w:jc w:val="center"/>
        <w:rPr>
          <w:rFonts w:ascii="Arial" w:hAnsi="Arial"/>
          <w:b w:val="0"/>
          <w:sz w:val="22"/>
          <w:szCs w:val="22"/>
        </w:rPr>
      </w:pPr>
      <w:bookmarkStart w:id="440" w:name="_Toc484505470"/>
      <w:r w:rsidRPr="00A8335A">
        <w:rPr>
          <w:rFonts w:ascii="Arial" w:hAnsi="Arial"/>
          <w:b w:val="0"/>
          <w:sz w:val="22"/>
          <w:szCs w:val="22"/>
        </w:rPr>
        <w:t xml:space="preserve">Table </w:t>
      </w:r>
      <w:r w:rsidR="00913E1D" w:rsidRPr="00034D7A">
        <w:rPr>
          <w:rFonts w:ascii="Arial" w:hAnsi="Arial"/>
          <w:b w:val="0"/>
          <w:sz w:val="22"/>
          <w:szCs w:val="22"/>
        </w:rPr>
        <w:t>13</w:t>
      </w:r>
      <w:r w:rsidRPr="00034D7A">
        <w:rPr>
          <w:rFonts w:ascii="Arial" w:hAnsi="Arial"/>
          <w:b w:val="0"/>
          <w:sz w:val="22"/>
          <w:szCs w:val="22"/>
        </w:rPr>
        <w:t>:</w:t>
      </w:r>
      <w:r w:rsidRPr="00A8335A">
        <w:rPr>
          <w:rFonts w:ascii="Arial" w:hAnsi="Arial"/>
          <w:b w:val="0"/>
          <w:sz w:val="22"/>
          <w:szCs w:val="22"/>
        </w:rPr>
        <w:t xml:space="preserve"> Sensitivity to Probability of Impact</w:t>
      </w:r>
      <w:bookmarkEnd w:id="440"/>
      <w:r w:rsidRPr="00A8335A">
        <w:rPr>
          <w:rFonts w:ascii="Arial" w:hAnsi="Arial"/>
          <w:b w:val="0"/>
          <w:sz w:val="22"/>
          <w:szCs w:val="22"/>
        </w:rPr>
        <w:t xml:space="preserve"> </w:t>
      </w:r>
      <w:r w:rsidR="00A8335A">
        <w:rPr>
          <w:rFonts w:ascii="Arial" w:hAnsi="Arial"/>
          <w:b w:val="0"/>
          <w:sz w:val="22"/>
          <w:szCs w:val="22"/>
        </w:rPr>
        <w:br/>
      </w:r>
      <w:r w:rsidRPr="00A8335A">
        <w:rPr>
          <w:rFonts w:ascii="Arial" w:hAnsi="Arial"/>
          <w:b w:val="0"/>
          <w:sz w:val="22"/>
          <w:szCs w:val="22"/>
        </w:rPr>
        <w:t>(Total investment, 30 years, 5% discount rate)</w:t>
      </w:r>
    </w:p>
    <w:tbl>
      <w:tblPr>
        <w:tblStyle w:val="TableGrid"/>
        <w:tblW w:w="0" w:type="auto"/>
        <w:tblLook w:val="04A0" w:firstRow="1" w:lastRow="0" w:firstColumn="1" w:lastColumn="0" w:noHBand="0" w:noVBand="1"/>
      </w:tblPr>
      <w:tblGrid>
        <w:gridCol w:w="3256"/>
        <w:gridCol w:w="1664"/>
        <w:gridCol w:w="2050"/>
        <w:gridCol w:w="2046"/>
      </w:tblGrid>
      <w:tr w:rsidR="000D28B8" w:rsidRPr="00B57B13" w:rsidTr="00B35480">
        <w:tc>
          <w:tcPr>
            <w:tcW w:w="3256" w:type="dxa"/>
            <w:vMerge w:val="restart"/>
          </w:tcPr>
          <w:p w:rsidR="000D28B8" w:rsidRPr="00B57B13" w:rsidRDefault="000D28B8" w:rsidP="00B35480">
            <w:pPr>
              <w:rPr>
                <w:rFonts w:ascii="Arial" w:hAnsi="Arial" w:cs="Arial"/>
                <w:b/>
                <w:sz w:val="22"/>
                <w:szCs w:val="22"/>
              </w:rPr>
            </w:pPr>
            <w:r w:rsidRPr="00B57B13">
              <w:rPr>
                <w:rFonts w:ascii="Arial" w:hAnsi="Arial" w:cs="Arial"/>
                <w:b/>
                <w:sz w:val="22"/>
                <w:szCs w:val="22"/>
              </w:rPr>
              <w:t>Investment Criteria</w:t>
            </w:r>
          </w:p>
        </w:tc>
        <w:tc>
          <w:tcPr>
            <w:tcW w:w="5760" w:type="dxa"/>
            <w:gridSpan w:val="3"/>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Likelihood of Impact Assumed for Farms Adopting </w:t>
            </w:r>
          </w:p>
          <w:p w:rsidR="000D28B8" w:rsidRPr="00B57B13" w:rsidRDefault="000D28B8" w:rsidP="00B35480">
            <w:pPr>
              <w:jc w:val="center"/>
              <w:rPr>
                <w:rFonts w:ascii="Arial" w:hAnsi="Arial" w:cs="Arial"/>
                <w:b/>
                <w:sz w:val="22"/>
                <w:szCs w:val="22"/>
              </w:rPr>
            </w:pPr>
            <w:r w:rsidRPr="00B57B13">
              <w:rPr>
                <w:rFonts w:ascii="Arial" w:hAnsi="Arial" w:cs="Arial"/>
                <w:b/>
                <w:sz w:val="22"/>
                <w:szCs w:val="22"/>
              </w:rPr>
              <w:t>(% for both Benefit 1 and Benefit 2)</w:t>
            </w:r>
          </w:p>
        </w:tc>
      </w:tr>
      <w:tr w:rsidR="000D28B8" w:rsidRPr="00B57B13" w:rsidTr="00B35480">
        <w:tc>
          <w:tcPr>
            <w:tcW w:w="3256" w:type="dxa"/>
            <w:vMerge/>
          </w:tcPr>
          <w:p w:rsidR="000D28B8" w:rsidRPr="00B57B13" w:rsidRDefault="000D28B8" w:rsidP="00B35480">
            <w:pPr>
              <w:rPr>
                <w:rFonts w:ascii="Arial" w:hAnsi="Arial" w:cs="Arial"/>
                <w:b/>
                <w:sz w:val="22"/>
                <w:szCs w:val="22"/>
              </w:rPr>
            </w:pPr>
          </w:p>
        </w:tc>
        <w:tc>
          <w:tcPr>
            <w:tcW w:w="1664" w:type="dxa"/>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50% </w:t>
            </w:r>
          </w:p>
        </w:tc>
        <w:tc>
          <w:tcPr>
            <w:tcW w:w="2050" w:type="dxa"/>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75% (Base)</w:t>
            </w:r>
          </w:p>
        </w:tc>
        <w:tc>
          <w:tcPr>
            <w:tcW w:w="2046" w:type="dxa"/>
          </w:tcPr>
          <w:p w:rsidR="000D28B8" w:rsidRPr="00B57B13" w:rsidRDefault="000D28B8" w:rsidP="00B35480">
            <w:pPr>
              <w:jc w:val="center"/>
              <w:rPr>
                <w:rFonts w:ascii="Arial" w:hAnsi="Arial" w:cs="Arial"/>
                <w:b/>
                <w:sz w:val="22"/>
                <w:szCs w:val="22"/>
              </w:rPr>
            </w:pPr>
            <w:r w:rsidRPr="00B57B13">
              <w:rPr>
                <w:rFonts w:ascii="Arial" w:hAnsi="Arial" w:cs="Arial"/>
                <w:b/>
                <w:sz w:val="22"/>
                <w:szCs w:val="22"/>
              </w:rPr>
              <w:t xml:space="preserve">95% </w:t>
            </w:r>
          </w:p>
        </w:tc>
      </w:tr>
      <w:tr w:rsidR="000D28B8" w:rsidRPr="00B57B13" w:rsidTr="00B35480">
        <w:tc>
          <w:tcPr>
            <w:tcW w:w="3256" w:type="dxa"/>
          </w:tcPr>
          <w:p w:rsidR="000D28B8" w:rsidRPr="00B57B13" w:rsidRDefault="000D28B8" w:rsidP="00B35480">
            <w:pPr>
              <w:rPr>
                <w:rFonts w:ascii="Arial" w:hAnsi="Arial" w:cs="Arial"/>
                <w:sz w:val="22"/>
                <w:szCs w:val="22"/>
              </w:rPr>
            </w:pPr>
            <w:r w:rsidRPr="00B57B13">
              <w:rPr>
                <w:rFonts w:ascii="Arial" w:hAnsi="Arial" w:cs="Arial"/>
                <w:sz w:val="22"/>
                <w:szCs w:val="22"/>
              </w:rPr>
              <w:t>Present value of benefits ($m)</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19.93</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29.90</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37.87</w:t>
            </w:r>
          </w:p>
        </w:tc>
      </w:tr>
      <w:tr w:rsidR="000D28B8" w:rsidRPr="00B57B13" w:rsidTr="00B35480">
        <w:tc>
          <w:tcPr>
            <w:tcW w:w="3256" w:type="dxa"/>
          </w:tcPr>
          <w:p w:rsidR="000D28B8" w:rsidRPr="00B57B13" w:rsidRDefault="000D28B8" w:rsidP="00B35480">
            <w:pPr>
              <w:rPr>
                <w:rFonts w:ascii="Arial" w:hAnsi="Arial" w:cs="Arial"/>
                <w:sz w:val="22"/>
                <w:szCs w:val="22"/>
              </w:rPr>
            </w:pPr>
            <w:r w:rsidRPr="00B57B13">
              <w:rPr>
                <w:rFonts w:ascii="Arial" w:hAnsi="Arial" w:cs="Arial"/>
                <w:sz w:val="22"/>
                <w:szCs w:val="22"/>
              </w:rPr>
              <w:t>Present value of costs ($m)</w:t>
            </w:r>
          </w:p>
        </w:tc>
        <w:tc>
          <w:tcPr>
            <w:tcW w:w="1664"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5.78</w:t>
            </w:r>
          </w:p>
        </w:tc>
        <w:tc>
          <w:tcPr>
            <w:tcW w:w="205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5.78</w:t>
            </w:r>
          </w:p>
        </w:tc>
        <w:tc>
          <w:tcPr>
            <w:tcW w:w="2046"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5.78</w:t>
            </w:r>
          </w:p>
        </w:tc>
      </w:tr>
      <w:tr w:rsidR="000D28B8" w:rsidRPr="00B57B13" w:rsidTr="00B35480">
        <w:tc>
          <w:tcPr>
            <w:tcW w:w="3256" w:type="dxa"/>
          </w:tcPr>
          <w:p w:rsidR="000D28B8" w:rsidRPr="00B57B13" w:rsidRDefault="000D28B8" w:rsidP="00B35480">
            <w:pPr>
              <w:rPr>
                <w:rFonts w:ascii="Arial" w:hAnsi="Arial" w:cs="Arial"/>
                <w:sz w:val="22"/>
                <w:szCs w:val="22"/>
              </w:rPr>
            </w:pPr>
            <w:r w:rsidRPr="00B57B13">
              <w:rPr>
                <w:rFonts w:ascii="Arial" w:hAnsi="Arial" w:cs="Arial"/>
                <w:sz w:val="22"/>
                <w:szCs w:val="22"/>
              </w:rPr>
              <w:t>Net present value ($m)</w:t>
            </w:r>
          </w:p>
        </w:tc>
        <w:tc>
          <w:tcPr>
            <w:tcW w:w="1664"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14.15</w:t>
            </w:r>
          </w:p>
        </w:tc>
        <w:tc>
          <w:tcPr>
            <w:tcW w:w="205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24.11</w:t>
            </w:r>
          </w:p>
        </w:tc>
        <w:tc>
          <w:tcPr>
            <w:tcW w:w="2046"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32.09</w:t>
            </w:r>
          </w:p>
        </w:tc>
      </w:tr>
      <w:tr w:rsidR="000D28B8" w:rsidRPr="00B57B13" w:rsidTr="00B35480">
        <w:tc>
          <w:tcPr>
            <w:tcW w:w="3256" w:type="dxa"/>
          </w:tcPr>
          <w:p w:rsidR="000D28B8" w:rsidRPr="00B57B13" w:rsidRDefault="000D28B8" w:rsidP="00B35480">
            <w:pPr>
              <w:rPr>
                <w:rFonts w:ascii="Arial" w:hAnsi="Arial" w:cs="Arial"/>
                <w:sz w:val="22"/>
                <w:szCs w:val="22"/>
              </w:rPr>
            </w:pPr>
            <w:r w:rsidRPr="00B57B13">
              <w:rPr>
                <w:rFonts w:ascii="Arial" w:hAnsi="Arial" w:cs="Arial"/>
                <w:sz w:val="22"/>
                <w:szCs w:val="22"/>
              </w:rPr>
              <w:t>Benefit-cost ratio</w:t>
            </w:r>
          </w:p>
        </w:tc>
        <w:tc>
          <w:tcPr>
            <w:tcW w:w="1664"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3.45</w:t>
            </w:r>
          </w:p>
        </w:tc>
        <w:tc>
          <w:tcPr>
            <w:tcW w:w="2050"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5.17</w:t>
            </w:r>
          </w:p>
        </w:tc>
        <w:tc>
          <w:tcPr>
            <w:tcW w:w="2046" w:type="dxa"/>
            <w:tcBorders>
              <w:top w:val="nil"/>
              <w:left w:val="single" w:sz="4" w:space="0" w:color="auto"/>
              <w:bottom w:val="single" w:sz="4" w:space="0" w:color="auto"/>
              <w:right w:val="single" w:sz="4" w:space="0" w:color="auto"/>
            </w:tcBorders>
            <w:shd w:val="clear" w:color="auto" w:fill="auto"/>
            <w:vAlign w:val="bottom"/>
          </w:tcPr>
          <w:p w:rsidR="000D28B8" w:rsidRPr="00B57B13" w:rsidRDefault="000D28B8" w:rsidP="00B35480">
            <w:pPr>
              <w:jc w:val="center"/>
              <w:rPr>
                <w:rFonts w:ascii="Arial" w:hAnsi="Arial" w:cs="Arial"/>
                <w:sz w:val="22"/>
                <w:szCs w:val="22"/>
              </w:rPr>
            </w:pPr>
            <w:r w:rsidRPr="00B57B13">
              <w:rPr>
                <w:rFonts w:ascii="Arial" w:hAnsi="Arial" w:cs="Arial"/>
                <w:color w:val="000000"/>
                <w:sz w:val="22"/>
                <w:szCs w:val="22"/>
              </w:rPr>
              <w:t>6.55</w:t>
            </w:r>
          </w:p>
        </w:tc>
      </w:tr>
    </w:tbl>
    <w:p w:rsidR="000D28B8" w:rsidRPr="00B57B13" w:rsidRDefault="000D28B8" w:rsidP="00F712CF">
      <w:pPr>
        <w:spacing w:before="240" w:after="240"/>
        <w:rPr>
          <w:rFonts w:ascii="Arial" w:hAnsi="Arial" w:cs="Arial"/>
        </w:rPr>
      </w:pPr>
      <w:r w:rsidRPr="00B57B13">
        <w:rPr>
          <w:rFonts w:ascii="Arial" w:hAnsi="Arial" w:cs="Arial"/>
        </w:rPr>
        <w:t xml:space="preserve">From the sensitivity analyses reported in Tables 12 and 13, the base results appear robust. Even in the worst-case scenario, the C4 project still has a positive Net Present Value and a Benefit-Cost Ratio that is over 1, for the 30-year period. </w:t>
      </w:r>
    </w:p>
    <w:p w:rsidR="00034D7A" w:rsidRDefault="00034D7A" w:rsidP="00A8335A">
      <w:pPr>
        <w:widowControl w:val="0"/>
        <w:spacing w:after="240"/>
        <w:mirrorIndents/>
        <w:rPr>
          <w:rFonts w:ascii="Arial" w:hAnsi="Arial" w:cs="Arial"/>
          <w:b/>
          <w:sz w:val="24"/>
        </w:rPr>
      </w:pPr>
    </w:p>
    <w:p w:rsidR="00034D7A" w:rsidRDefault="00034D7A" w:rsidP="00A8335A">
      <w:pPr>
        <w:widowControl w:val="0"/>
        <w:spacing w:after="240"/>
        <w:mirrorIndents/>
        <w:rPr>
          <w:rFonts w:ascii="Arial" w:hAnsi="Arial" w:cs="Arial"/>
          <w:b/>
          <w:sz w:val="24"/>
        </w:rPr>
      </w:pPr>
    </w:p>
    <w:p w:rsidR="00034D7A" w:rsidRDefault="00034D7A" w:rsidP="00A8335A">
      <w:pPr>
        <w:widowControl w:val="0"/>
        <w:spacing w:after="240"/>
        <w:mirrorIndents/>
        <w:rPr>
          <w:rFonts w:ascii="Arial" w:hAnsi="Arial" w:cs="Arial"/>
          <w:b/>
          <w:sz w:val="24"/>
        </w:rPr>
      </w:pPr>
    </w:p>
    <w:p w:rsidR="000D28B8" w:rsidRPr="00B57B13" w:rsidRDefault="000D28B8" w:rsidP="00A8335A">
      <w:pPr>
        <w:widowControl w:val="0"/>
        <w:spacing w:after="240"/>
        <w:mirrorIndents/>
        <w:rPr>
          <w:rFonts w:ascii="Arial" w:hAnsi="Arial" w:cs="Arial"/>
          <w:b/>
          <w:sz w:val="24"/>
        </w:rPr>
      </w:pPr>
      <w:r w:rsidRPr="00B57B13">
        <w:rPr>
          <w:rFonts w:ascii="Arial" w:hAnsi="Arial" w:cs="Arial"/>
          <w:b/>
          <w:sz w:val="24"/>
        </w:rPr>
        <w:t xml:space="preserve">Confidence Ratings and other Findings </w:t>
      </w:r>
    </w:p>
    <w:p w:rsidR="000D28B8" w:rsidRPr="00B57B13" w:rsidRDefault="000D28B8" w:rsidP="00A8335A">
      <w:pPr>
        <w:widowControl w:val="0"/>
        <w:spacing w:after="240"/>
        <w:mirrorIndents/>
        <w:rPr>
          <w:rFonts w:ascii="Arial" w:hAnsi="Arial" w:cs="Arial"/>
        </w:rPr>
      </w:pPr>
      <w:r w:rsidRPr="00B57B13">
        <w:rPr>
          <w:rFonts w:ascii="Arial" w:hAnsi="Arial" w:cs="Arial"/>
        </w:rPr>
        <w:t xml:space="preserve">The results produced are highly dependent on the assumptions made, some of which are uncertain.  There are two factors that warrant recognition. The first factor is the coverage of benefits. Where there are multiple types of benefits it is often not possible to quantify all the benefits that may be linked to the investment. The second factor involves uncertainty regarding the assumptions made, including the linkage between the research and the assumed outcomes. </w:t>
      </w:r>
    </w:p>
    <w:p w:rsidR="000D28B8" w:rsidRPr="00B57B13" w:rsidRDefault="000D28B8" w:rsidP="00A8335A">
      <w:pPr>
        <w:widowControl w:val="0"/>
        <w:spacing w:after="240"/>
        <w:mirrorIndents/>
        <w:rPr>
          <w:rFonts w:ascii="Arial" w:hAnsi="Arial" w:cs="Arial"/>
        </w:rPr>
      </w:pPr>
      <w:r w:rsidRPr="00B57B13">
        <w:rPr>
          <w:rFonts w:ascii="Arial" w:hAnsi="Arial" w:cs="Arial"/>
        </w:rPr>
        <w:t>A confidence rating based on these two factors has been given to the results of the investment analysis (Table 14). The rating categories used are High, Medium and Low, where:</w:t>
      </w:r>
    </w:p>
    <w:p w:rsidR="000D28B8" w:rsidRPr="00B57B13" w:rsidRDefault="000D28B8" w:rsidP="00B35480">
      <w:pPr>
        <w:widowControl w:val="0"/>
        <w:ind w:left="1890" w:hanging="1350"/>
        <w:mirrorIndents/>
        <w:rPr>
          <w:rFonts w:ascii="Arial" w:hAnsi="Arial" w:cs="Arial"/>
        </w:rPr>
      </w:pPr>
      <w:r w:rsidRPr="00B57B13">
        <w:rPr>
          <w:rFonts w:ascii="Arial" w:hAnsi="Arial" w:cs="Arial"/>
        </w:rPr>
        <w:t>High:</w:t>
      </w:r>
      <w:r w:rsidRPr="00B57B13">
        <w:rPr>
          <w:rFonts w:ascii="Arial" w:hAnsi="Arial" w:cs="Arial"/>
        </w:rPr>
        <w:tab/>
        <w:t xml:space="preserve">denotes a good coverage of benefits or reasonable confidence in the assumptions made </w:t>
      </w:r>
    </w:p>
    <w:p w:rsidR="000D28B8" w:rsidRPr="00B57B13" w:rsidRDefault="000D28B8" w:rsidP="00B35480">
      <w:pPr>
        <w:widowControl w:val="0"/>
        <w:ind w:left="1890" w:hanging="1350"/>
        <w:mirrorIndents/>
        <w:rPr>
          <w:rFonts w:ascii="Arial" w:hAnsi="Arial" w:cs="Arial"/>
        </w:rPr>
      </w:pPr>
      <w:r w:rsidRPr="00B57B13">
        <w:rPr>
          <w:rFonts w:ascii="Arial" w:hAnsi="Arial" w:cs="Arial"/>
        </w:rPr>
        <w:t>Medium:</w:t>
      </w:r>
      <w:r w:rsidRPr="00B57B13">
        <w:rPr>
          <w:rFonts w:ascii="Arial" w:hAnsi="Arial" w:cs="Arial"/>
        </w:rPr>
        <w:tab/>
        <w:t xml:space="preserve">denotes only a reasonable coverage of benefits or some uncertainties in assumptions made </w:t>
      </w:r>
    </w:p>
    <w:p w:rsidR="000D28B8" w:rsidRPr="00B57B13" w:rsidRDefault="000D28B8" w:rsidP="00B35480">
      <w:pPr>
        <w:widowControl w:val="0"/>
        <w:ind w:left="1890" w:hanging="1350"/>
        <w:mirrorIndents/>
        <w:rPr>
          <w:rFonts w:ascii="Arial" w:hAnsi="Arial" w:cs="Arial"/>
        </w:rPr>
      </w:pPr>
      <w:r w:rsidRPr="00B57B13">
        <w:rPr>
          <w:rFonts w:ascii="Arial" w:hAnsi="Arial" w:cs="Arial"/>
        </w:rPr>
        <w:t>Low:</w:t>
      </w:r>
      <w:r w:rsidRPr="00B57B13">
        <w:rPr>
          <w:rFonts w:ascii="Arial" w:hAnsi="Arial" w:cs="Arial"/>
        </w:rPr>
        <w:tab/>
        <w:t xml:space="preserve">denotes a poor coverage of benefits or many uncertainties in assumptions made </w:t>
      </w:r>
    </w:p>
    <w:p w:rsidR="000D28B8" w:rsidRDefault="000D28B8" w:rsidP="00B35480">
      <w:pPr>
        <w:pStyle w:val="Table"/>
        <w:jc w:val="left"/>
        <w:rPr>
          <w:rFonts w:ascii="Arial" w:hAnsi="Arial"/>
        </w:rPr>
      </w:pPr>
    </w:p>
    <w:p w:rsidR="000D28B8" w:rsidRPr="00A8335A" w:rsidRDefault="000D28B8" w:rsidP="00A8335A">
      <w:pPr>
        <w:pStyle w:val="Caption"/>
        <w:keepNext/>
        <w:spacing w:after="240"/>
        <w:jc w:val="center"/>
        <w:rPr>
          <w:rFonts w:ascii="Arial" w:hAnsi="Arial"/>
          <w:b w:val="0"/>
          <w:i/>
          <w:sz w:val="22"/>
          <w:szCs w:val="22"/>
        </w:rPr>
      </w:pPr>
      <w:bookmarkStart w:id="441" w:name="_Toc484505471"/>
      <w:r w:rsidRPr="00A8335A">
        <w:rPr>
          <w:rFonts w:ascii="Arial" w:hAnsi="Arial"/>
          <w:b w:val="0"/>
          <w:sz w:val="22"/>
          <w:szCs w:val="22"/>
        </w:rPr>
        <w:t xml:space="preserve">Table </w:t>
      </w:r>
      <w:r w:rsidR="00913E1D" w:rsidRPr="00034D7A">
        <w:rPr>
          <w:rFonts w:ascii="Arial" w:hAnsi="Arial"/>
          <w:b w:val="0"/>
          <w:sz w:val="22"/>
          <w:szCs w:val="22"/>
        </w:rPr>
        <w:t>14</w:t>
      </w:r>
      <w:r w:rsidRPr="00034D7A">
        <w:rPr>
          <w:rFonts w:ascii="Arial" w:hAnsi="Arial"/>
          <w:b w:val="0"/>
          <w:sz w:val="22"/>
          <w:szCs w:val="22"/>
        </w:rPr>
        <w:t>:</w:t>
      </w:r>
      <w:r w:rsidRPr="00A8335A">
        <w:rPr>
          <w:rFonts w:ascii="Arial" w:hAnsi="Arial"/>
          <w:b w:val="0"/>
          <w:sz w:val="22"/>
          <w:szCs w:val="22"/>
        </w:rPr>
        <w:t xml:space="preserve"> Confidence in Analysis of Cluster</w:t>
      </w:r>
      <w:bookmarkEnd w:id="441"/>
    </w:p>
    <w:tbl>
      <w:tblPr>
        <w:tblStyle w:val="TableGrid"/>
        <w:tblW w:w="0" w:type="auto"/>
        <w:tblInd w:w="1951" w:type="dxa"/>
        <w:tblLook w:val="04A0" w:firstRow="1" w:lastRow="0" w:firstColumn="1" w:lastColumn="0" w:noHBand="0" w:noVBand="1"/>
      </w:tblPr>
      <w:tblGrid>
        <w:gridCol w:w="2551"/>
        <w:gridCol w:w="2552"/>
      </w:tblGrid>
      <w:tr w:rsidR="000D28B8" w:rsidRPr="00B57B13" w:rsidTr="00B35480">
        <w:tc>
          <w:tcPr>
            <w:tcW w:w="2551" w:type="dxa"/>
            <w:vAlign w:val="center"/>
          </w:tcPr>
          <w:p w:rsidR="000D28B8" w:rsidRPr="00B57B13" w:rsidRDefault="000D28B8" w:rsidP="00B35480">
            <w:pPr>
              <w:widowControl w:val="0"/>
              <w:mirrorIndents/>
              <w:jc w:val="center"/>
              <w:rPr>
                <w:rFonts w:ascii="Arial" w:hAnsi="Arial" w:cs="Arial"/>
                <w:b/>
                <w:sz w:val="22"/>
                <w:szCs w:val="22"/>
              </w:rPr>
            </w:pPr>
            <w:r w:rsidRPr="00B57B13">
              <w:rPr>
                <w:rFonts w:ascii="Arial" w:hAnsi="Arial" w:cs="Arial"/>
                <w:b/>
                <w:sz w:val="22"/>
                <w:szCs w:val="22"/>
              </w:rPr>
              <w:t>Coverage of Benefits</w:t>
            </w:r>
          </w:p>
        </w:tc>
        <w:tc>
          <w:tcPr>
            <w:tcW w:w="2552" w:type="dxa"/>
            <w:vAlign w:val="center"/>
          </w:tcPr>
          <w:p w:rsidR="000D28B8" w:rsidRPr="00B57B13" w:rsidRDefault="000D28B8" w:rsidP="00B35480">
            <w:pPr>
              <w:widowControl w:val="0"/>
              <w:mirrorIndents/>
              <w:jc w:val="center"/>
              <w:rPr>
                <w:rFonts w:ascii="Arial" w:hAnsi="Arial" w:cs="Arial"/>
                <w:b/>
                <w:sz w:val="22"/>
                <w:szCs w:val="22"/>
              </w:rPr>
            </w:pPr>
            <w:r w:rsidRPr="00B57B13">
              <w:rPr>
                <w:rFonts w:ascii="Arial" w:hAnsi="Arial" w:cs="Arial"/>
                <w:b/>
                <w:sz w:val="22"/>
                <w:szCs w:val="22"/>
              </w:rPr>
              <w:t>Confidence in Assumptions</w:t>
            </w:r>
          </w:p>
        </w:tc>
      </w:tr>
      <w:tr w:rsidR="000D28B8" w:rsidRPr="00B57B13" w:rsidTr="00B35480">
        <w:trPr>
          <w:trHeight w:val="432"/>
        </w:trPr>
        <w:tc>
          <w:tcPr>
            <w:tcW w:w="2551" w:type="dxa"/>
            <w:vAlign w:val="center"/>
          </w:tcPr>
          <w:p w:rsidR="000D28B8" w:rsidRPr="00B57B13" w:rsidRDefault="000D28B8" w:rsidP="00B35480">
            <w:pPr>
              <w:widowControl w:val="0"/>
              <w:mirrorIndents/>
              <w:jc w:val="center"/>
              <w:rPr>
                <w:rFonts w:ascii="Arial" w:hAnsi="Arial" w:cs="Arial"/>
                <w:sz w:val="22"/>
                <w:szCs w:val="22"/>
              </w:rPr>
            </w:pPr>
            <w:r w:rsidRPr="00B57B13">
              <w:rPr>
                <w:rFonts w:ascii="Arial" w:hAnsi="Arial" w:cs="Arial"/>
                <w:sz w:val="22"/>
                <w:szCs w:val="22"/>
              </w:rPr>
              <w:t>High-Medium</w:t>
            </w:r>
          </w:p>
        </w:tc>
        <w:tc>
          <w:tcPr>
            <w:tcW w:w="2552" w:type="dxa"/>
            <w:vAlign w:val="center"/>
          </w:tcPr>
          <w:p w:rsidR="000D28B8" w:rsidRPr="00B57B13" w:rsidRDefault="000D28B8" w:rsidP="00B35480">
            <w:pPr>
              <w:widowControl w:val="0"/>
              <w:mirrorIndents/>
              <w:jc w:val="center"/>
              <w:rPr>
                <w:rFonts w:ascii="Arial" w:hAnsi="Arial" w:cs="Arial"/>
                <w:sz w:val="22"/>
                <w:szCs w:val="22"/>
              </w:rPr>
            </w:pPr>
            <w:r w:rsidRPr="00B57B13">
              <w:rPr>
                <w:rFonts w:ascii="Arial" w:hAnsi="Arial" w:cs="Arial"/>
                <w:sz w:val="22"/>
                <w:szCs w:val="22"/>
              </w:rPr>
              <w:t>High-Medium</w:t>
            </w:r>
          </w:p>
        </w:tc>
      </w:tr>
    </w:tbl>
    <w:p w:rsidR="000D28B8" w:rsidRPr="00B57B13" w:rsidRDefault="000D28B8" w:rsidP="00B35480">
      <w:pPr>
        <w:rPr>
          <w:rFonts w:ascii="Arial" w:hAnsi="Arial" w:cs="Arial"/>
          <w:sz w:val="18"/>
          <w:szCs w:val="18"/>
        </w:rPr>
      </w:pPr>
    </w:p>
    <w:p w:rsidR="000D28B8" w:rsidRPr="00B57B13" w:rsidRDefault="000D28B8" w:rsidP="00A8335A">
      <w:pPr>
        <w:spacing w:after="240"/>
        <w:rPr>
          <w:rFonts w:ascii="Arial" w:hAnsi="Arial" w:cs="Arial"/>
        </w:rPr>
      </w:pPr>
      <w:r w:rsidRPr="00B57B13">
        <w:rPr>
          <w:rFonts w:ascii="Arial" w:hAnsi="Arial" w:cs="Arial"/>
        </w:rPr>
        <w:t xml:space="preserve">Coverage of benefits was assessed as high-medium as most benefits were economic in nature relating to decreasing input costs. Some impacts were not valued due to the availability of relevant data, the ability to place credible monetary estimates on the results, and time and resources constraints. The impacts not valued were assessed as being less important than those valued.   </w:t>
      </w:r>
    </w:p>
    <w:p w:rsidR="000D28B8" w:rsidRPr="00B57B13" w:rsidRDefault="000D28B8" w:rsidP="00A8335A">
      <w:pPr>
        <w:spacing w:after="240"/>
        <w:rPr>
          <w:rFonts w:ascii="Arial" w:hAnsi="Arial" w:cs="Arial"/>
        </w:rPr>
      </w:pPr>
      <w:r w:rsidRPr="00B57B13">
        <w:rPr>
          <w:rFonts w:ascii="Arial" w:hAnsi="Arial" w:cs="Arial"/>
        </w:rPr>
        <w:t xml:space="preserve">Confidence in assumptions was rated as high-medium. While validation of most assumptions was provided subjectively by research personnel, some uncertainty remains regarding the specific levels of impacts captured by producers; the associated adoption levels are necessarily uncertain as these predominantly lie in the future. On the other hand, there have been some on farm adoption and impacts that have already occurred while the project was on-going. These findings, along with the survey results, form the basis of the adoption assumptions that are therefore a mixture of both revealed and stated preferences. </w:t>
      </w:r>
    </w:p>
    <w:p w:rsidR="000D28B8" w:rsidRPr="00B57B13" w:rsidRDefault="000D28B8" w:rsidP="00A8335A">
      <w:pPr>
        <w:spacing w:after="240"/>
        <w:rPr>
          <w:rFonts w:ascii="Arial" w:hAnsi="Arial" w:cs="Arial"/>
        </w:rPr>
      </w:pPr>
      <w:r w:rsidRPr="00B57B13">
        <w:rPr>
          <w:rFonts w:ascii="Arial" w:hAnsi="Arial" w:cs="Arial"/>
        </w:rPr>
        <w:t xml:space="preserve">The assumptions that have been made for valuing the benefits from these investments are potentially conservative, with uncertainty factors for adoption and impact being included in the analysis. </w:t>
      </w:r>
    </w:p>
    <w:p w:rsidR="000D28B8" w:rsidRPr="00A8335A" w:rsidRDefault="000D28B8" w:rsidP="00A8335A">
      <w:pPr>
        <w:spacing w:after="240"/>
        <w:rPr>
          <w:rFonts w:ascii="Arial" w:hAnsi="Arial" w:cs="Arial"/>
          <w:b/>
          <w:sz w:val="40"/>
          <w:szCs w:val="40"/>
        </w:rPr>
      </w:pPr>
      <w:bookmarkStart w:id="442" w:name="_Toc484505456"/>
      <w:bookmarkStart w:id="443" w:name="_Toc486145306"/>
      <w:bookmarkStart w:id="444" w:name="_Toc486145374"/>
      <w:bookmarkStart w:id="445" w:name="_Toc486146290"/>
      <w:r w:rsidRPr="00A8335A">
        <w:rPr>
          <w:rFonts w:ascii="Arial" w:hAnsi="Arial" w:cs="Arial"/>
          <w:b/>
          <w:sz w:val="40"/>
          <w:szCs w:val="40"/>
        </w:rPr>
        <w:t>8. Conclusions</w:t>
      </w:r>
      <w:bookmarkEnd w:id="442"/>
      <w:bookmarkEnd w:id="443"/>
      <w:bookmarkEnd w:id="444"/>
      <w:bookmarkEnd w:id="445"/>
      <w:r w:rsidRPr="00A8335A">
        <w:rPr>
          <w:rFonts w:ascii="Arial" w:hAnsi="Arial" w:cs="Arial"/>
          <w:b/>
          <w:sz w:val="40"/>
          <w:szCs w:val="40"/>
        </w:rPr>
        <w:t xml:space="preserve"> </w:t>
      </w:r>
    </w:p>
    <w:p w:rsidR="000D28B8" w:rsidRPr="00B57B13" w:rsidRDefault="000D28B8" w:rsidP="00A8335A">
      <w:pPr>
        <w:spacing w:after="240"/>
        <w:rPr>
          <w:rFonts w:ascii="Arial" w:hAnsi="Arial" w:cs="Arial"/>
        </w:rPr>
      </w:pPr>
      <w:r w:rsidRPr="00B57B13">
        <w:rPr>
          <w:rFonts w:ascii="Arial" w:hAnsi="Arial" w:cs="Arial"/>
        </w:rPr>
        <w:t xml:space="preserve">The findings have led to significant cost reductions for farmers who have adopted the project’s findings. The project also exhibited widespread industry participation, allowing for increased networks to develop so providing capacity of the dairy industry to innovate and undertake future change. </w:t>
      </w:r>
    </w:p>
    <w:p w:rsidR="00A8335A" w:rsidRDefault="000D28B8" w:rsidP="00A8335A">
      <w:pPr>
        <w:spacing w:after="240"/>
        <w:rPr>
          <w:rFonts w:ascii="Arial" w:hAnsi="Arial" w:cs="Arial"/>
        </w:rPr>
      </w:pPr>
      <w:r w:rsidRPr="00B57B13">
        <w:rPr>
          <w:rFonts w:ascii="Arial" w:hAnsi="Arial" w:cs="Arial"/>
        </w:rPr>
        <w:t>Funding for the C4 Milk project totalled $5.8million (present value terms) and produced aggregate total expected benefits of $29.9million (present value terms). This gave a net present value of $24.1million, a benefit-cost ratio of 5.2 to 1, an internal rate of return of 25.9% and a modified internal rate of return of 11.4% discounted for 30 years.</w:t>
      </w:r>
    </w:p>
    <w:p w:rsidR="000D28B8" w:rsidRPr="00B57B13" w:rsidRDefault="000D28B8" w:rsidP="00A8335A">
      <w:pPr>
        <w:spacing w:after="240"/>
        <w:rPr>
          <w:rFonts w:ascii="Arial" w:hAnsi="Arial" w:cs="Arial"/>
        </w:rPr>
      </w:pPr>
      <w:r w:rsidRPr="00B57B13">
        <w:rPr>
          <w:rFonts w:ascii="Arial" w:hAnsi="Arial" w:cs="Arial"/>
        </w:rPr>
        <w:t xml:space="preserve">Given the assumptions made, the investment criteria estimated support the conclusion that this has been a most worthwhile investment. In addition to the impacts that were valued, several other impacts were identified and reported only qualitatively. Hence, the resulting investment criteria most likely provide an underestimate of the total value of project impacts.  </w:t>
      </w:r>
    </w:p>
    <w:p w:rsidR="000D28B8" w:rsidRPr="00A8335A" w:rsidRDefault="000D28B8" w:rsidP="00A8335A">
      <w:pPr>
        <w:spacing w:after="240"/>
        <w:rPr>
          <w:rFonts w:ascii="Arial" w:hAnsi="Arial" w:cs="Arial"/>
          <w:b/>
          <w:sz w:val="40"/>
          <w:szCs w:val="40"/>
        </w:rPr>
      </w:pPr>
      <w:bookmarkStart w:id="446" w:name="_Toc484505457"/>
      <w:bookmarkStart w:id="447" w:name="_Toc486145307"/>
      <w:bookmarkStart w:id="448" w:name="_Toc486145375"/>
      <w:bookmarkStart w:id="449" w:name="_Toc486146291"/>
      <w:r w:rsidRPr="00A8335A">
        <w:rPr>
          <w:rFonts w:ascii="Arial" w:hAnsi="Arial" w:cs="Arial"/>
          <w:b/>
          <w:sz w:val="40"/>
          <w:szCs w:val="40"/>
        </w:rPr>
        <w:t>References</w:t>
      </w:r>
      <w:bookmarkEnd w:id="446"/>
      <w:bookmarkEnd w:id="447"/>
      <w:bookmarkEnd w:id="448"/>
      <w:bookmarkEnd w:id="449"/>
    </w:p>
    <w:p w:rsidR="00034D7A" w:rsidRDefault="000D28B8" w:rsidP="00B35480">
      <w:pPr>
        <w:rPr>
          <w:rFonts w:ascii="Arial" w:hAnsi="Arial" w:cs="Arial"/>
        </w:rPr>
      </w:pPr>
      <w:r w:rsidRPr="00B57B13">
        <w:rPr>
          <w:rFonts w:ascii="Arial" w:hAnsi="Arial" w:cs="Arial"/>
        </w:rPr>
        <w:t xml:space="preserve">Australian Bureau of Agricultural and Resource Economics, 2014. Productivity in the </w:t>
      </w:r>
    </w:p>
    <w:p w:rsidR="000D28B8" w:rsidRDefault="000D28B8" w:rsidP="00034D7A">
      <w:pPr>
        <w:ind w:firstLine="720"/>
        <w:rPr>
          <w:rFonts w:ascii="Arial" w:hAnsi="Arial" w:cs="Arial"/>
        </w:rPr>
      </w:pPr>
      <w:r w:rsidRPr="00B57B13">
        <w:rPr>
          <w:rFonts w:ascii="Arial" w:hAnsi="Arial" w:cs="Arial"/>
        </w:rPr>
        <w:t xml:space="preserve">Australian dairy industry, ABARES. </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Australian Bureau of Agricultural and Resource Economics, 2016. Australian dairy: financial </w:t>
      </w:r>
    </w:p>
    <w:p w:rsidR="000D28B8" w:rsidRDefault="000D28B8" w:rsidP="00034D7A">
      <w:pPr>
        <w:ind w:left="720"/>
        <w:rPr>
          <w:rFonts w:ascii="Arial" w:hAnsi="Arial" w:cs="Arial"/>
        </w:rPr>
      </w:pPr>
      <w:r w:rsidRPr="00B57B13">
        <w:rPr>
          <w:rFonts w:ascii="Arial" w:hAnsi="Arial" w:cs="Arial"/>
        </w:rPr>
        <w:t xml:space="preserve">performance of dairy farms, 2013–14 to 2015–16. Accessed March 2017 at </w:t>
      </w:r>
      <w:hyperlink r:id="rId28" w:history="1">
        <w:r w:rsidRPr="00B57B13">
          <w:rPr>
            <w:rStyle w:val="Hyperlink"/>
            <w:rFonts w:ascii="Arial" w:hAnsi="Arial" w:cs="Arial"/>
          </w:rPr>
          <w:t>http://pandora.nla.gov.au/pan/30839/20161004-0002/16.6.pdf</w:t>
        </w:r>
      </w:hyperlink>
      <w:r w:rsidRPr="00B57B13">
        <w:rPr>
          <w:rFonts w:ascii="Arial" w:hAnsi="Arial" w:cs="Arial"/>
        </w:rPr>
        <w:t xml:space="preserve"> </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Dairy Australia (DA), 2015. The Northern Dairy Industry Accessed 9 March 2017 at: </w:t>
      </w:r>
    </w:p>
    <w:p w:rsidR="000D28B8" w:rsidRDefault="00402DE3" w:rsidP="00034D7A">
      <w:pPr>
        <w:ind w:left="720"/>
        <w:rPr>
          <w:rFonts w:ascii="Arial" w:hAnsi="Arial" w:cs="Arial"/>
        </w:rPr>
      </w:pPr>
      <w:hyperlink r:id="rId29" w:history="1">
        <w:r w:rsidR="00034D7A" w:rsidRPr="00545B8D">
          <w:rPr>
            <w:rStyle w:val="Hyperlink"/>
            <w:rFonts w:ascii="Arial" w:hAnsi="Arial" w:cs="Arial"/>
          </w:rPr>
          <w:t>http://dairyinfo.biz/wp-content/uploads/2014/10/The_Northern_Dairy_Industry_factsheet.pdf</w:t>
        </w:r>
      </w:hyperlink>
      <w:r w:rsidR="000D28B8" w:rsidRPr="00B57B13">
        <w:rPr>
          <w:rFonts w:ascii="Arial" w:hAnsi="Arial" w:cs="Arial"/>
        </w:rPr>
        <w:t xml:space="preserve"> </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DAWR (2015) Rural Research and Development Priorities, Department of Agriculture and </w:t>
      </w:r>
    </w:p>
    <w:p w:rsidR="000D28B8" w:rsidRDefault="000D28B8" w:rsidP="00034D7A">
      <w:pPr>
        <w:ind w:left="720"/>
        <w:rPr>
          <w:rFonts w:ascii="Arial" w:hAnsi="Arial" w:cs="Arial"/>
        </w:rPr>
      </w:pPr>
      <w:r w:rsidRPr="00B57B13">
        <w:rPr>
          <w:rFonts w:ascii="Arial" w:hAnsi="Arial" w:cs="Arial"/>
        </w:rPr>
        <w:t xml:space="preserve">Water Resources, Canberra, ACT, accessed April 2017 at: </w:t>
      </w:r>
      <w:hyperlink r:id="rId30" w:history="1">
        <w:r w:rsidRPr="00B57B13">
          <w:rPr>
            <w:rStyle w:val="Hyperlink"/>
            <w:rFonts w:ascii="Arial" w:hAnsi="Arial" w:cs="Arial"/>
          </w:rPr>
          <w:t>http://www.agriculture.gov.au/ag-farm-food/innovation/priorities</w:t>
        </w:r>
      </w:hyperlink>
      <w:r w:rsidRPr="00B57B13">
        <w:rPr>
          <w:rFonts w:ascii="Arial" w:hAnsi="Arial" w:cs="Arial"/>
        </w:rPr>
        <w:t xml:space="preserve"> </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Department of Agriculture and Fisheries (DAF), 2016a. Balancing dairy production and </w:t>
      </w:r>
    </w:p>
    <w:p w:rsidR="000D28B8" w:rsidRDefault="000D28B8" w:rsidP="00034D7A">
      <w:pPr>
        <w:ind w:left="720"/>
        <w:rPr>
          <w:rFonts w:ascii="Arial" w:hAnsi="Arial" w:cs="Arial"/>
        </w:rPr>
      </w:pPr>
      <w:r w:rsidRPr="00B57B13">
        <w:rPr>
          <w:rFonts w:ascii="Arial" w:hAnsi="Arial" w:cs="Arial"/>
        </w:rPr>
        <w:t xml:space="preserve">profits in Northern Australia Queensland Dairy Accounting Scheme Financial and production trends – 2016. Accessed March at: http://dairyinfo.biz/wp-content/uploads/2016/11/QDAS_2016.pdf    </w:t>
      </w:r>
    </w:p>
    <w:p w:rsidR="00A8335A" w:rsidRPr="00B57B13" w:rsidRDefault="00A8335A" w:rsidP="00B35480">
      <w:pPr>
        <w:rPr>
          <w:rFonts w:ascii="Arial" w:hAnsi="Arial" w:cs="Arial"/>
        </w:rPr>
      </w:pPr>
    </w:p>
    <w:p w:rsidR="000D28B8" w:rsidRDefault="000D28B8" w:rsidP="00B35480">
      <w:pPr>
        <w:rPr>
          <w:rFonts w:ascii="Arial" w:hAnsi="Arial" w:cs="Arial"/>
        </w:rPr>
      </w:pPr>
      <w:r w:rsidRPr="00B57B13">
        <w:rPr>
          <w:rFonts w:ascii="Arial" w:hAnsi="Arial" w:cs="Arial"/>
        </w:rPr>
        <w:t>Department of Agriculture and Fisheries (DAF), 2016b. Progress Report Number 4</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Department of Agriculture, Fisheries, and Forestry (DAFF), 2013a. Successful Dairy </w:t>
      </w:r>
    </w:p>
    <w:p w:rsidR="000D28B8" w:rsidRDefault="000D28B8" w:rsidP="00034D7A">
      <w:pPr>
        <w:ind w:left="720"/>
        <w:rPr>
          <w:rFonts w:ascii="Arial" w:hAnsi="Arial" w:cs="Arial"/>
        </w:rPr>
      </w:pPr>
      <w:r w:rsidRPr="00B57B13">
        <w:rPr>
          <w:rFonts w:ascii="Arial" w:hAnsi="Arial" w:cs="Arial"/>
        </w:rPr>
        <w:t xml:space="preserve">Production in the Sub-Tropics. Accessed March at: </w:t>
      </w:r>
      <w:hyperlink r:id="rId31" w:history="1">
        <w:r w:rsidR="00034D7A" w:rsidRPr="00545B8D">
          <w:rPr>
            <w:rStyle w:val="Hyperlink"/>
            <w:rFonts w:ascii="Arial" w:hAnsi="Arial" w:cs="Arial"/>
          </w:rPr>
          <w:t>http://dairyinfo.biz/wp-content/uploads/2014/11/Tropical_feedbase_manual.pdf</w:t>
        </w:r>
      </w:hyperlink>
      <w:r w:rsidRPr="00B57B13">
        <w:rPr>
          <w:rFonts w:ascii="Arial" w:hAnsi="Arial" w:cs="Arial"/>
        </w:rPr>
        <w:t xml:space="preserve"> </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Department of Agriculture, Fisheries and Forestry (DAFF), 2013b. </w:t>
      </w:r>
    </w:p>
    <w:p w:rsidR="000D28B8" w:rsidRPr="00034D7A" w:rsidRDefault="00402DE3" w:rsidP="00034D7A">
      <w:pPr>
        <w:ind w:left="720"/>
        <w:rPr>
          <w:rStyle w:val="Hyperlink"/>
          <w:rFonts w:ascii="Arial" w:hAnsi="Arial" w:cs="Arial"/>
        </w:rPr>
      </w:pPr>
      <w:hyperlink r:id="rId32" w:history="1">
        <w:r w:rsidR="00034D7A" w:rsidRPr="00034D7A">
          <w:rPr>
            <w:rStyle w:val="Hyperlink"/>
            <w:rFonts w:ascii="Arial" w:hAnsi="Arial" w:cs="Arial"/>
          </w:rPr>
          <w:t>http://dairyinfo.biz/wp-</w:t>
        </w:r>
      </w:hyperlink>
      <w:r w:rsidR="000D28B8" w:rsidRPr="00034D7A">
        <w:rPr>
          <w:rStyle w:val="Hyperlink"/>
          <w:rFonts w:ascii="Arial" w:hAnsi="Arial" w:cs="Arial"/>
        </w:rPr>
        <w:t>content/uploads/2014/11/N04_Factors_affecting_feed_intake.pdf</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Edwards, E.J., Osborne, C.P., Strömberg, C.A., Smith, S.A. and C4 Grasses Consortium, </w:t>
      </w:r>
    </w:p>
    <w:p w:rsidR="000D28B8" w:rsidRDefault="000D28B8" w:rsidP="00034D7A">
      <w:pPr>
        <w:ind w:left="720"/>
        <w:rPr>
          <w:rFonts w:ascii="Arial" w:hAnsi="Arial" w:cs="Arial"/>
        </w:rPr>
      </w:pPr>
      <w:r w:rsidRPr="00B57B13">
        <w:rPr>
          <w:rFonts w:ascii="Arial" w:hAnsi="Arial" w:cs="Arial"/>
        </w:rPr>
        <w:t>2010. The origins of C4 grasslands: integrating evolutionary and ecosystem science. Science, 328(5978), pp.587-591.</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Harper and McNeill, 2015. The Role of iNDF in the Regulation of Feed Intake and the </w:t>
      </w:r>
    </w:p>
    <w:p w:rsidR="000D28B8" w:rsidRDefault="000D28B8" w:rsidP="00034D7A">
      <w:pPr>
        <w:ind w:left="720"/>
        <w:rPr>
          <w:rStyle w:val="Hyperlink"/>
          <w:rFonts w:ascii="Arial" w:hAnsi="Arial" w:cs="Arial"/>
        </w:rPr>
      </w:pPr>
      <w:r w:rsidRPr="00B57B13">
        <w:rPr>
          <w:rFonts w:ascii="Arial" w:hAnsi="Arial" w:cs="Arial"/>
        </w:rPr>
        <w:t xml:space="preserve">Importance of Its Assessment in Subtropical Ruminant Systems. Agriculture. Accessed 8 March 2017 at: </w:t>
      </w:r>
      <w:hyperlink r:id="rId33" w:history="1">
        <w:r w:rsidRPr="00B57B13">
          <w:rPr>
            <w:rStyle w:val="Hyperlink"/>
            <w:rFonts w:ascii="Arial" w:hAnsi="Arial" w:cs="Arial"/>
          </w:rPr>
          <w:t>http://www.mdpi.com/2077-0472/5/3/778/htm</w:t>
        </w:r>
      </w:hyperlink>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OCS (2016) Science and Research Priorities, Office of the Chief Scientist, Department of </w:t>
      </w:r>
    </w:p>
    <w:p w:rsidR="000D28B8" w:rsidRDefault="000D28B8" w:rsidP="00034D7A">
      <w:pPr>
        <w:ind w:left="720"/>
        <w:rPr>
          <w:rFonts w:ascii="Arial" w:hAnsi="Arial" w:cs="Arial"/>
        </w:rPr>
      </w:pPr>
      <w:r w:rsidRPr="00B57B13">
        <w:rPr>
          <w:rFonts w:ascii="Arial" w:hAnsi="Arial" w:cs="Arial"/>
        </w:rPr>
        <w:t xml:space="preserve">Industry, Innovation and Science, Canberra, accessed April 2017 at: </w:t>
      </w:r>
      <w:hyperlink r:id="rId34" w:history="1">
        <w:r w:rsidRPr="00B57B13">
          <w:rPr>
            <w:rStyle w:val="Hyperlink"/>
            <w:rFonts w:ascii="Arial" w:hAnsi="Arial" w:cs="Arial"/>
          </w:rPr>
          <w:t>http://science.gov.au/scienceGov/ScienceAndResearchPriorities/Pages/default.aspx</w:t>
        </w:r>
      </w:hyperlink>
      <w:r w:rsidRPr="00B57B13">
        <w:rPr>
          <w:rFonts w:ascii="Arial" w:hAnsi="Arial" w:cs="Arial"/>
        </w:rPr>
        <w:t xml:space="preserve"> </w:t>
      </w:r>
    </w:p>
    <w:p w:rsidR="00A8335A" w:rsidRDefault="00A8335A" w:rsidP="00B35480">
      <w:pPr>
        <w:rPr>
          <w:rFonts w:ascii="Arial" w:hAnsi="Arial" w:cs="Arial"/>
        </w:rPr>
      </w:pPr>
    </w:p>
    <w:p w:rsidR="00034D7A" w:rsidRDefault="00034D7A" w:rsidP="00B35480">
      <w:pPr>
        <w:rPr>
          <w:rFonts w:ascii="Arial" w:hAnsi="Arial" w:cs="Arial"/>
        </w:rPr>
      </w:pPr>
    </w:p>
    <w:p w:rsidR="00034D7A" w:rsidRPr="00B57B13" w:rsidRDefault="00034D7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Office of the Chief Scientist, Queensland Government (2015) Revised Queensland Science </w:t>
      </w:r>
    </w:p>
    <w:p w:rsidR="000D28B8" w:rsidRDefault="000D28B8" w:rsidP="00034D7A">
      <w:pPr>
        <w:ind w:left="720"/>
        <w:rPr>
          <w:rFonts w:ascii="Arial" w:hAnsi="Arial" w:cs="Arial"/>
        </w:rPr>
      </w:pPr>
      <w:r w:rsidRPr="00B57B13">
        <w:rPr>
          <w:rFonts w:ascii="Arial" w:hAnsi="Arial" w:cs="Arial"/>
        </w:rPr>
        <w:t xml:space="preserve">and Research Priorities, accessed April 2017 at: </w:t>
      </w:r>
      <w:hyperlink r:id="rId35" w:history="1">
        <w:r w:rsidRPr="00B57B13">
          <w:rPr>
            <w:rStyle w:val="Hyperlink"/>
            <w:rFonts w:ascii="Arial" w:hAnsi="Arial" w:cs="Arial"/>
          </w:rPr>
          <w:t>http://www.chiefscientist.qld.gov.au/images/documents/chiefscientist/pubs/reports-other/qld-science-n-research-priorities-2015-2016.pdf</w:t>
        </w:r>
      </w:hyperlink>
      <w:r w:rsidRPr="00B57B13">
        <w:rPr>
          <w:rFonts w:ascii="Arial" w:hAnsi="Arial" w:cs="Arial"/>
        </w:rPr>
        <w:t xml:space="preserve"> </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Queensland Parliament, 2017. Public hearing—inquiry into the sustainable Queensland </w:t>
      </w:r>
    </w:p>
    <w:p w:rsidR="000D28B8" w:rsidRDefault="000D28B8" w:rsidP="00034D7A">
      <w:pPr>
        <w:ind w:left="720"/>
        <w:rPr>
          <w:rFonts w:ascii="Arial" w:hAnsi="Arial" w:cs="Arial"/>
        </w:rPr>
      </w:pPr>
      <w:r w:rsidRPr="00B57B13">
        <w:rPr>
          <w:rFonts w:ascii="Arial" w:hAnsi="Arial" w:cs="Arial"/>
        </w:rPr>
        <w:t xml:space="preserve">dairy production (fair milk price logos) bill 2016. Accessed March 2017 at </w:t>
      </w:r>
      <w:hyperlink r:id="rId36" w:history="1">
        <w:r w:rsidRPr="00B57B13">
          <w:rPr>
            <w:rStyle w:val="Hyperlink"/>
            <w:rFonts w:ascii="Arial" w:hAnsi="Arial" w:cs="Arial"/>
          </w:rPr>
          <w:t>http://www.parliament.qld.gov.au/documents/committees/AEC/2016/13-FairMilkPriceLogos2016/trns-ph-1Mar2017.pdf</w:t>
        </w:r>
      </w:hyperlink>
      <w:r w:rsidRPr="00B57B13">
        <w:rPr>
          <w:rFonts w:ascii="Arial" w:hAnsi="Arial" w:cs="Arial"/>
        </w:rPr>
        <w:t xml:space="preserve"> </w:t>
      </w:r>
    </w:p>
    <w:p w:rsidR="00A8335A" w:rsidRPr="00B57B13" w:rsidRDefault="00A8335A" w:rsidP="00B35480">
      <w:pPr>
        <w:rPr>
          <w:rFonts w:ascii="Arial" w:hAnsi="Arial" w:cs="Arial"/>
        </w:rPr>
      </w:pPr>
    </w:p>
    <w:p w:rsidR="00034D7A" w:rsidRDefault="000D28B8" w:rsidP="00B35480">
      <w:pPr>
        <w:rPr>
          <w:rFonts w:ascii="Arial" w:hAnsi="Arial" w:cs="Arial"/>
        </w:rPr>
      </w:pPr>
      <w:r w:rsidRPr="00B57B13">
        <w:rPr>
          <w:rFonts w:ascii="Arial" w:hAnsi="Arial" w:cs="Arial"/>
        </w:rPr>
        <w:t xml:space="preserve">Sub-tropical dairy, 2010. Strategic Plan for Industry Development 2010 to 2015 Accessed </w:t>
      </w:r>
    </w:p>
    <w:p w:rsidR="000D28B8" w:rsidRPr="00B57B13" w:rsidRDefault="000D28B8" w:rsidP="00EB01F3">
      <w:pPr>
        <w:ind w:left="720"/>
        <w:rPr>
          <w:rFonts w:ascii="Arial" w:hAnsi="Arial" w:cs="Arial"/>
        </w:rPr>
      </w:pPr>
      <w:r w:rsidRPr="00B57B13">
        <w:rPr>
          <w:rFonts w:ascii="Arial" w:hAnsi="Arial" w:cs="Arial"/>
        </w:rPr>
        <w:t xml:space="preserve">March 2017 at </w:t>
      </w:r>
      <w:hyperlink r:id="rId37" w:history="1">
        <w:r w:rsidR="00EB01F3" w:rsidRPr="00545B8D">
          <w:rPr>
            <w:rStyle w:val="Hyperlink"/>
            <w:rFonts w:ascii="Arial" w:hAnsi="Arial" w:cs="Arial"/>
          </w:rPr>
          <w:t>http://dairyinfo.biz/wp-content/uploads/2014/10/NDI_SP_Aug_2010_Final.pdf</w:t>
        </w:r>
      </w:hyperlink>
      <w:r w:rsidRPr="00B57B13">
        <w:rPr>
          <w:rFonts w:ascii="Arial" w:hAnsi="Arial" w:cs="Arial"/>
        </w:rPr>
        <w:t xml:space="preserve"> </w:t>
      </w:r>
    </w:p>
    <w:p w:rsidR="000D28B8" w:rsidRPr="00B57B13" w:rsidRDefault="000D28B8" w:rsidP="00EB01F3">
      <w:pPr>
        <w:ind w:left="720"/>
        <w:rPr>
          <w:rFonts w:ascii="Arial" w:hAnsi="Arial" w:cs="Arial"/>
        </w:rPr>
      </w:pPr>
      <w:r w:rsidRPr="00B57B13">
        <w:rPr>
          <w:rFonts w:ascii="Arial" w:hAnsi="Arial" w:cs="Arial"/>
        </w:rPr>
        <w:t>YouTube, 2017. Queensland Agriculture. Accessed 24</w:t>
      </w:r>
      <w:r w:rsidRPr="00B57B13">
        <w:rPr>
          <w:rFonts w:ascii="Arial" w:hAnsi="Arial" w:cs="Arial"/>
          <w:vertAlign w:val="superscript"/>
        </w:rPr>
        <w:t>th</w:t>
      </w:r>
      <w:r w:rsidRPr="00B57B13">
        <w:rPr>
          <w:rFonts w:ascii="Arial" w:hAnsi="Arial" w:cs="Arial"/>
        </w:rPr>
        <w:t xml:space="preserve"> May 2017 at: </w:t>
      </w:r>
      <w:hyperlink r:id="rId38" w:history="1">
        <w:r w:rsidRPr="00B57B13">
          <w:rPr>
            <w:rStyle w:val="Hyperlink"/>
            <w:rFonts w:ascii="Arial" w:hAnsi="Arial" w:cs="Arial"/>
          </w:rPr>
          <w:t>https://www.youtube.com/user/QldAgriculture/videos</w:t>
        </w:r>
      </w:hyperlink>
      <w:r w:rsidRPr="00B57B13">
        <w:rPr>
          <w:rFonts w:ascii="Arial" w:hAnsi="Arial" w:cs="Arial"/>
        </w:rPr>
        <w:t xml:space="preserve"> </w:t>
      </w:r>
    </w:p>
    <w:p w:rsidR="000D28B8" w:rsidRPr="00B57B13" w:rsidRDefault="000D28B8" w:rsidP="000D28B8">
      <w:pPr>
        <w:spacing w:after="360"/>
        <w:outlineLvl w:val="0"/>
        <w:rPr>
          <w:rFonts w:ascii="Arial" w:hAnsi="Arial" w:cs="Arial"/>
          <w:bCs/>
        </w:rPr>
      </w:pPr>
    </w:p>
    <w:bookmarkEnd w:id="41"/>
    <w:bookmarkEnd w:id="42"/>
    <w:bookmarkEnd w:id="43"/>
    <w:p w:rsidR="00A8335A" w:rsidRDefault="00A8335A" w:rsidP="00AF6856">
      <w:pPr>
        <w:rPr>
          <w:rFonts w:ascii="Arial" w:hAnsi="Arial" w:cs="Arial"/>
          <w:sz w:val="40"/>
          <w:szCs w:val="40"/>
        </w:rPr>
      </w:pPr>
      <w:r>
        <w:br w:type="page"/>
      </w:r>
    </w:p>
    <w:p w:rsidR="002B5A16" w:rsidRPr="002B5A16" w:rsidRDefault="002B5A16" w:rsidP="00AF6856">
      <w:pPr>
        <w:pStyle w:val="Heading2"/>
      </w:pPr>
      <w:bookmarkStart w:id="450" w:name="_Toc490036919"/>
      <w:r w:rsidRPr="002B5A16">
        <w:t>Appendix 5: An Impact Assessment of DAF Investment in Sweetpotato Projects between 1998 and 2018 that address Pests, Diseases, Agronomy and New Varieties</w:t>
      </w:r>
      <w:bookmarkEnd w:id="450"/>
    </w:p>
    <w:p w:rsidR="002B5A16" w:rsidRPr="005173A2" w:rsidRDefault="002B5A16" w:rsidP="005173A2">
      <w:pPr>
        <w:spacing w:after="240"/>
        <w:rPr>
          <w:rFonts w:ascii="Arial" w:hAnsi="Arial" w:cs="Arial"/>
          <w:b/>
          <w:sz w:val="24"/>
        </w:rPr>
      </w:pPr>
      <w:bookmarkStart w:id="451" w:name="_Toc487091255"/>
      <w:r w:rsidRPr="005173A2">
        <w:rPr>
          <w:rFonts w:ascii="Arial" w:hAnsi="Arial" w:cs="Arial"/>
          <w:b/>
          <w:sz w:val="24"/>
        </w:rPr>
        <w:t>Acknowledgments</w:t>
      </w:r>
      <w:bookmarkEnd w:id="451"/>
    </w:p>
    <w:p w:rsidR="009E5E68" w:rsidRDefault="009E5E68" w:rsidP="009E5E68">
      <w:pPr>
        <w:spacing w:after="60"/>
        <w:rPr>
          <w:rFonts w:ascii="Arial" w:hAnsi="Arial" w:cs="Arial"/>
        </w:rPr>
      </w:pPr>
      <w:r>
        <w:rPr>
          <w:rFonts w:ascii="Arial" w:hAnsi="Arial" w:cs="Arial"/>
        </w:rPr>
        <w:t>Michael Hughes, Farming Systems Development Officer, Department of Agriculture and Fisheries, Queensland</w:t>
      </w:r>
    </w:p>
    <w:p w:rsidR="009E5E68" w:rsidRPr="00DE286F" w:rsidRDefault="009E5E68" w:rsidP="009E5E68">
      <w:pPr>
        <w:spacing w:after="60"/>
        <w:rPr>
          <w:rFonts w:ascii="Arial" w:hAnsi="Arial" w:cs="Arial"/>
        </w:rPr>
      </w:pPr>
      <w:r w:rsidRPr="00DE286F">
        <w:rPr>
          <w:rFonts w:ascii="Arial" w:hAnsi="Arial" w:cs="Arial"/>
        </w:rPr>
        <w:t>Sandra Dennien</w:t>
      </w:r>
      <w:r>
        <w:rPr>
          <w:rFonts w:ascii="Arial" w:hAnsi="Arial" w:cs="Arial"/>
        </w:rPr>
        <w:t>,</w:t>
      </w:r>
      <w:r w:rsidRPr="00DE286F">
        <w:rPr>
          <w:rFonts w:ascii="Arial" w:hAnsi="Arial" w:cs="Arial"/>
        </w:rPr>
        <w:t xml:space="preserve"> Experimentalist</w:t>
      </w:r>
      <w:r>
        <w:rPr>
          <w:rFonts w:ascii="Arial" w:hAnsi="Arial" w:cs="Arial"/>
        </w:rPr>
        <w:t>, Department of Agriculture and Fisheries, Queensland</w:t>
      </w:r>
    </w:p>
    <w:p w:rsidR="009E5E68" w:rsidRPr="00D35605" w:rsidRDefault="009E5E68" w:rsidP="009E5E68">
      <w:pPr>
        <w:spacing w:after="60"/>
        <w:rPr>
          <w:rFonts w:ascii="Arial" w:hAnsi="Arial" w:cs="Arial"/>
        </w:rPr>
      </w:pPr>
      <w:r w:rsidRPr="00D35605">
        <w:rPr>
          <w:rFonts w:ascii="Arial" w:hAnsi="Arial" w:cs="Arial"/>
        </w:rPr>
        <w:t xml:space="preserve">Eric </w:t>
      </w:r>
      <w:r>
        <w:rPr>
          <w:rFonts w:ascii="Arial" w:hAnsi="Arial" w:cs="Arial"/>
        </w:rPr>
        <w:t>Coleman, Australian Sweetpotato Growers Inc.</w:t>
      </w:r>
    </w:p>
    <w:p w:rsidR="009E5E68" w:rsidRDefault="009E5E68" w:rsidP="009E5E68">
      <w:pPr>
        <w:spacing w:after="60"/>
        <w:rPr>
          <w:rFonts w:ascii="Arial" w:hAnsi="Arial" w:cs="Arial"/>
        </w:rPr>
      </w:pPr>
      <w:r>
        <w:rPr>
          <w:rFonts w:ascii="Arial" w:hAnsi="Arial" w:cs="Arial"/>
        </w:rPr>
        <w:t>Nick MacLeod, Director, Department of Agriculture and Fisheries, Queensland</w:t>
      </w:r>
    </w:p>
    <w:p w:rsidR="002B5A16" w:rsidRDefault="002B5A16" w:rsidP="00E87BF4">
      <w:pPr>
        <w:spacing w:after="60"/>
        <w:rPr>
          <w:rFonts w:ascii="Arial" w:hAnsi="Arial" w:cs="Arial"/>
        </w:rPr>
      </w:pPr>
      <w:r>
        <w:rPr>
          <w:rFonts w:ascii="Arial" w:hAnsi="Arial" w:cs="Arial"/>
        </w:rPr>
        <w:t xml:space="preserve">Andrew Alford, Research Program Manager – Impact Assessment, </w:t>
      </w:r>
      <w:r w:rsidR="00E87BF4">
        <w:rPr>
          <w:rFonts w:ascii="Arial" w:hAnsi="Arial" w:cs="Arial"/>
        </w:rPr>
        <w:t>Australian Centre for International Agricultural Research</w:t>
      </w:r>
    </w:p>
    <w:p w:rsidR="00E87BF4" w:rsidRPr="00B57B13" w:rsidRDefault="00E87BF4" w:rsidP="00E87BF4">
      <w:pPr>
        <w:spacing w:after="60"/>
        <w:rPr>
          <w:rFonts w:ascii="Arial" w:hAnsi="Arial" w:cs="Arial"/>
        </w:rPr>
      </w:pPr>
      <w:r w:rsidRPr="00B57B13">
        <w:rPr>
          <w:rFonts w:ascii="Arial" w:hAnsi="Arial" w:cs="Arial"/>
        </w:rPr>
        <w:t>Lynda Bull, Executive Support Officer, Department of Agriculture and Fisheries</w:t>
      </w:r>
      <w:r>
        <w:rPr>
          <w:rFonts w:ascii="Arial" w:hAnsi="Arial" w:cs="Arial"/>
        </w:rPr>
        <w:t>, Queensland</w:t>
      </w:r>
    </w:p>
    <w:p w:rsidR="00E87BF4" w:rsidRDefault="00E87BF4" w:rsidP="00E87BF4">
      <w:pPr>
        <w:spacing w:after="60"/>
        <w:rPr>
          <w:rFonts w:ascii="Arial" w:hAnsi="Arial" w:cs="Arial"/>
        </w:rPr>
      </w:pPr>
      <w:r w:rsidRPr="00B57B13">
        <w:rPr>
          <w:rFonts w:ascii="Arial" w:hAnsi="Arial" w:cs="Arial"/>
        </w:rPr>
        <w:t>Wayne Hall, Executive Director, Department of Agriculture and Fisheries</w:t>
      </w:r>
      <w:r>
        <w:rPr>
          <w:rFonts w:ascii="Arial" w:hAnsi="Arial" w:cs="Arial"/>
        </w:rPr>
        <w:t>, Queensland</w:t>
      </w:r>
    </w:p>
    <w:p w:rsidR="00AF6856" w:rsidRDefault="00AF6856" w:rsidP="002B5A16">
      <w:pPr>
        <w:rPr>
          <w:rFonts w:ascii="Arial" w:hAnsi="Arial" w:cs="Arial"/>
        </w:rPr>
      </w:pPr>
    </w:p>
    <w:p w:rsidR="00AF6856" w:rsidRDefault="00AF6856" w:rsidP="002B5A16">
      <w:pPr>
        <w:rPr>
          <w:rFonts w:ascii="Arial" w:hAnsi="Arial" w:cs="Arial"/>
        </w:rPr>
      </w:pPr>
    </w:p>
    <w:p w:rsidR="002B5A16" w:rsidRPr="005173A2" w:rsidRDefault="002B5A16" w:rsidP="005173A2">
      <w:pPr>
        <w:spacing w:after="240"/>
        <w:rPr>
          <w:rFonts w:ascii="Arial" w:hAnsi="Arial" w:cs="Arial"/>
          <w:b/>
          <w:sz w:val="24"/>
        </w:rPr>
      </w:pPr>
      <w:bookmarkStart w:id="452" w:name="_Toc487091256"/>
      <w:r w:rsidRPr="005173A2">
        <w:rPr>
          <w:rFonts w:ascii="Arial" w:hAnsi="Arial" w:cs="Arial"/>
          <w:b/>
          <w:sz w:val="24"/>
        </w:rPr>
        <w:t>Abbreviations</w:t>
      </w:r>
      <w:bookmarkEnd w:id="452"/>
    </w:p>
    <w:p w:rsidR="002B5A16" w:rsidRDefault="002B5A16" w:rsidP="002B5A16">
      <w:pPr>
        <w:rPr>
          <w:rFonts w:ascii="Arial" w:hAnsi="Arial" w:cs="Arial"/>
        </w:rPr>
      </w:pPr>
      <w:r>
        <w:rPr>
          <w:rFonts w:ascii="Arial" w:hAnsi="Arial" w:cs="Arial"/>
        </w:rPr>
        <w:t>ACIAR</w:t>
      </w:r>
      <w:r>
        <w:rPr>
          <w:rFonts w:ascii="Arial" w:hAnsi="Arial" w:cs="Arial"/>
        </w:rPr>
        <w:tab/>
      </w:r>
      <w:r>
        <w:rPr>
          <w:rFonts w:ascii="Arial" w:hAnsi="Arial" w:cs="Arial"/>
        </w:rPr>
        <w:tab/>
        <w:t>Australian Centre for International Agricultural Research</w:t>
      </w:r>
    </w:p>
    <w:p w:rsidR="002B5A16" w:rsidRDefault="002B5A16" w:rsidP="002B5A16">
      <w:pPr>
        <w:rPr>
          <w:rFonts w:ascii="Arial" w:hAnsi="Arial" w:cs="Arial"/>
        </w:rPr>
      </w:pPr>
      <w:r>
        <w:rPr>
          <w:rFonts w:ascii="Arial" w:hAnsi="Arial" w:cs="Arial"/>
        </w:rPr>
        <w:t>ASPG</w:t>
      </w:r>
      <w:r>
        <w:rPr>
          <w:rFonts w:ascii="Arial" w:hAnsi="Arial" w:cs="Arial"/>
        </w:rPr>
        <w:tab/>
      </w:r>
      <w:r>
        <w:rPr>
          <w:rFonts w:ascii="Arial" w:hAnsi="Arial" w:cs="Arial"/>
        </w:rPr>
        <w:tab/>
        <w:t>Australian Sweetpotato Growers Inc.</w:t>
      </w:r>
    </w:p>
    <w:p w:rsidR="002B5A16" w:rsidRDefault="002B5A16" w:rsidP="002B5A16">
      <w:pPr>
        <w:rPr>
          <w:rFonts w:ascii="Arial" w:hAnsi="Arial" w:cs="Arial"/>
        </w:rPr>
      </w:pPr>
      <w:r>
        <w:rPr>
          <w:rFonts w:ascii="Arial" w:hAnsi="Arial" w:cs="Arial"/>
        </w:rPr>
        <w:t>BMP</w:t>
      </w:r>
      <w:r>
        <w:rPr>
          <w:rFonts w:ascii="Arial" w:hAnsi="Arial" w:cs="Arial"/>
        </w:rPr>
        <w:tab/>
      </w:r>
      <w:r>
        <w:rPr>
          <w:rFonts w:ascii="Arial" w:hAnsi="Arial" w:cs="Arial"/>
        </w:rPr>
        <w:tab/>
        <w:t>Best Management Practice</w:t>
      </w:r>
    </w:p>
    <w:p w:rsidR="002B5A16" w:rsidRPr="00E2791E" w:rsidRDefault="002B5A16" w:rsidP="002B5A16">
      <w:pPr>
        <w:rPr>
          <w:rFonts w:ascii="Arial" w:hAnsi="Arial" w:cs="Arial"/>
        </w:rPr>
      </w:pPr>
      <w:r w:rsidRPr="00E2791E">
        <w:rPr>
          <w:rFonts w:ascii="Arial" w:hAnsi="Arial" w:cs="Arial"/>
        </w:rPr>
        <w:t>CBA</w:t>
      </w:r>
      <w:r w:rsidRPr="00E2791E">
        <w:rPr>
          <w:rFonts w:ascii="Arial" w:hAnsi="Arial" w:cs="Arial"/>
        </w:rPr>
        <w:tab/>
      </w:r>
      <w:r w:rsidRPr="00E2791E">
        <w:rPr>
          <w:rFonts w:ascii="Arial" w:hAnsi="Arial" w:cs="Arial"/>
        </w:rPr>
        <w:tab/>
        <w:t>Cost-Benefit Analysis</w:t>
      </w:r>
    </w:p>
    <w:p w:rsidR="002B5A16" w:rsidRDefault="002B5A16" w:rsidP="002B5A16">
      <w:pPr>
        <w:rPr>
          <w:rFonts w:ascii="Arial" w:hAnsi="Arial" w:cs="Arial"/>
        </w:rPr>
      </w:pPr>
      <w:r>
        <w:rPr>
          <w:rFonts w:ascii="Arial" w:hAnsi="Arial" w:cs="Arial"/>
        </w:rPr>
        <w:t>CIP</w:t>
      </w:r>
      <w:r>
        <w:rPr>
          <w:rFonts w:ascii="Arial" w:hAnsi="Arial" w:cs="Arial"/>
        </w:rPr>
        <w:tab/>
      </w:r>
      <w:r>
        <w:rPr>
          <w:rFonts w:ascii="Arial" w:hAnsi="Arial" w:cs="Arial"/>
        </w:rPr>
        <w:tab/>
        <w:t>International Potato Centre</w:t>
      </w:r>
    </w:p>
    <w:p w:rsidR="002B5A16" w:rsidRDefault="002B5A16" w:rsidP="002B5A16">
      <w:pPr>
        <w:rPr>
          <w:rFonts w:ascii="Arial" w:hAnsi="Arial" w:cs="Arial"/>
        </w:rPr>
      </w:pPr>
      <w:r>
        <w:rPr>
          <w:rFonts w:ascii="Arial" w:hAnsi="Arial" w:cs="Arial"/>
        </w:rPr>
        <w:t>CRC</w:t>
      </w:r>
      <w:r>
        <w:rPr>
          <w:rFonts w:ascii="Arial" w:hAnsi="Arial" w:cs="Arial"/>
        </w:rPr>
        <w:tab/>
      </w:r>
      <w:r>
        <w:rPr>
          <w:rFonts w:ascii="Arial" w:hAnsi="Arial" w:cs="Arial"/>
        </w:rPr>
        <w:tab/>
        <w:t>Cooperative Research Centre</w:t>
      </w:r>
    </w:p>
    <w:p w:rsidR="002B5A16" w:rsidRPr="00E2791E" w:rsidRDefault="002B5A16" w:rsidP="002B5A16">
      <w:pPr>
        <w:rPr>
          <w:rFonts w:ascii="Arial" w:hAnsi="Arial" w:cs="Arial"/>
        </w:rPr>
      </w:pPr>
      <w:r w:rsidRPr="00E2791E">
        <w:rPr>
          <w:rFonts w:ascii="Arial" w:hAnsi="Arial" w:cs="Arial"/>
        </w:rPr>
        <w:t>CRRDC</w:t>
      </w:r>
      <w:r w:rsidRPr="00E2791E">
        <w:rPr>
          <w:rFonts w:ascii="Arial" w:hAnsi="Arial" w:cs="Arial"/>
        </w:rPr>
        <w:tab/>
        <w:t xml:space="preserve">Council of Research and Development Corporations  </w:t>
      </w:r>
    </w:p>
    <w:p w:rsidR="002B5A16" w:rsidRPr="00E2791E" w:rsidRDefault="002B5A16" w:rsidP="002B5A16">
      <w:pPr>
        <w:rPr>
          <w:rFonts w:ascii="Arial" w:hAnsi="Arial" w:cs="Arial"/>
        </w:rPr>
      </w:pPr>
      <w:r w:rsidRPr="00E2791E">
        <w:rPr>
          <w:rFonts w:ascii="Arial" w:hAnsi="Arial" w:cs="Arial"/>
        </w:rPr>
        <w:t>DAF</w:t>
      </w:r>
      <w:r w:rsidRPr="00E2791E">
        <w:rPr>
          <w:rFonts w:ascii="Arial" w:hAnsi="Arial" w:cs="Arial"/>
        </w:rPr>
        <w:tab/>
      </w:r>
      <w:r w:rsidRPr="00E2791E">
        <w:rPr>
          <w:rFonts w:ascii="Arial" w:hAnsi="Arial" w:cs="Arial"/>
        </w:rPr>
        <w:tab/>
        <w:t>Department of Agriculture and Fisheries, Queensland</w:t>
      </w:r>
    </w:p>
    <w:p w:rsidR="002B5A16" w:rsidRDefault="002B5A16" w:rsidP="002B5A16">
      <w:pPr>
        <w:rPr>
          <w:rFonts w:ascii="Arial" w:hAnsi="Arial" w:cs="Arial"/>
        </w:rPr>
      </w:pPr>
      <w:r>
        <w:rPr>
          <w:rFonts w:ascii="Arial" w:hAnsi="Arial" w:cs="Arial"/>
        </w:rPr>
        <w:t>DAL</w:t>
      </w:r>
      <w:r>
        <w:rPr>
          <w:rFonts w:ascii="Arial" w:hAnsi="Arial" w:cs="Arial"/>
        </w:rPr>
        <w:tab/>
      </w:r>
      <w:r>
        <w:rPr>
          <w:rFonts w:ascii="Arial" w:hAnsi="Arial" w:cs="Arial"/>
        </w:rPr>
        <w:tab/>
        <w:t>Department of Agriculture and Livestock (PNG and Solomon Islands)</w:t>
      </w:r>
    </w:p>
    <w:p w:rsidR="002B5A16" w:rsidRPr="00E2791E" w:rsidRDefault="002B5A16" w:rsidP="002B5A16">
      <w:pPr>
        <w:rPr>
          <w:rFonts w:ascii="Arial" w:hAnsi="Arial" w:cs="Arial"/>
        </w:rPr>
      </w:pPr>
      <w:r w:rsidRPr="00E2791E">
        <w:rPr>
          <w:rFonts w:ascii="Arial" w:hAnsi="Arial" w:cs="Arial"/>
        </w:rPr>
        <w:t>DAWR</w:t>
      </w:r>
      <w:r w:rsidRPr="00E2791E">
        <w:rPr>
          <w:rFonts w:ascii="Arial" w:hAnsi="Arial" w:cs="Arial"/>
        </w:rPr>
        <w:tab/>
      </w:r>
      <w:r w:rsidRPr="00E2791E">
        <w:rPr>
          <w:rFonts w:ascii="Arial" w:hAnsi="Arial" w:cs="Arial"/>
        </w:rPr>
        <w:tab/>
        <w:t>Department of Agriculture and Water Resources (Australian Government)</w:t>
      </w:r>
    </w:p>
    <w:p w:rsidR="002B5A16" w:rsidRDefault="002B5A16" w:rsidP="002B5A16">
      <w:pPr>
        <w:rPr>
          <w:rFonts w:ascii="Arial" w:hAnsi="Arial" w:cs="Arial"/>
        </w:rPr>
      </w:pPr>
      <w:r>
        <w:rPr>
          <w:rFonts w:ascii="Arial" w:hAnsi="Arial" w:cs="Arial"/>
        </w:rPr>
        <w:t>DPI</w:t>
      </w:r>
      <w:r>
        <w:rPr>
          <w:rFonts w:ascii="Arial" w:hAnsi="Arial" w:cs="Arial"/>
        </w:rPr>
        <w:tab/>
      </w:r>
      <w:r>
        <w:rPr>
          <w:rFonts w:ascii="Arial" w:hAnsi="Arial" w:cs="Arial"/>
        </w:rPr>
        <w:tab/>
        <w:t>NSW Department of Primary Industries</w:t>
      </w:r>
    </w:p>
    <w:p w:rsidR="002B5A16" w:rsidRDefault="002B5A16" w:rsidP="002B5A16">
      <w:pPr>
        <w:rPr>
          <w:rFonts w:ascii="Arial" w:hAnsi="Arial" w:cs="Arial"/>
        </w:rPr>
      </w:pPr>
      <w:r>
        <w:rPr>
          <w:rFonts w:ascii="Arial" w:hAnsi="Arial" w:cs="Arial"/>
        </w:rPr>
        <w:t>ELISA</w:t>
      </w:r>
      <w:r>
        <w:rPr>
          <w:rFonts w:ascii="Arial" w:hAnsi="Arial" w:cs="Arial"/>
        </w:rPr>
        <w:tab/>
      </w:r>
      <w:r>
        <w:rPr>
          <w:rFonts w:ascii="Arial" w:hAnsi="Arial" w:cs="Arial"/>
        </w:rPr>
        <w:tab/>
        <w:t>E</w:t>
      </w:r>
      <w:r w:rsidRPr="00052383">
        <w:rPr>
          <w:rFonts w:ascii="Arial" w:hAnsi="Arial" w:cs="Arial"/>
          <w:szCs w:val="20"/>
          <w:lang w:val="en"/>
        </w:rPr>
        <w:t>nzyme-</w:t>
      </w:r>
      <w:r>
        <w:rPr>
          <w:rFonts w:ascii="Arial" w:hAnsi="Arial" w:cs="Arial"/>
          <w:szCs w:val="20"/>
          <w:lang w:val="en"/>
        </w:rPr>
        <w:t>L</w:t>
      </w:r>
      <w:r w:rsidRPr="00052383">
        <w:rPr>
          <w:rFonts w:ascii="Arial" w:hAnsi="Arial" w:cs="Arial"/>
          <w:szCs w:val="20"/>
          <w:lang w:val="en"/>
        </w:rPr>
        <w:t xml:space="preserve">inked </w:t>
      </w:r>
      <w:r>
        <w:rPr>
          <w:rFonts w:ascii="Arial" w:hAnsi="Arial" w:cs="Arial"/>
          <w:szCs w:val="20"/>
          <w:lang w:val="en"/>
        </w:rPr>
        <w:t>I</w:t>
      </w:r>
      <w:r w:rsidRPr="00052383">
        <w:rPr>
          <w:rFonts w:ascii="Arial" w:hAnsi="Arial" w:cs="Arial"/>
          <w:szCs w:val="20"/>
          <w:lang w:val="en"/>
        </w:rPr>
        <w:t>mmuno</w:t>
      </w:r>
      <w:r>
        <w:rPr>
          <w:rFonts w:ascii="Arial" w:hAnsi="Arial" w:cs="Arial"/>
          <w:szCs w:val="20"/>
          <w:lang w:val="en"/>
        </w:rPr>
        <w:t>-S</w:t>
      </w:r>
      <w:r w:rsidRPr="00052383">
        <w:rPr>
          <w:rFonts w:ascii="Arial" w:hAnsi="Arial" w:cs="Arial"/>
          <w:szCs w:val="20"/>
          <w:lang w:val="en"/>
        </w:rPr>
        <w:t xml:space="preserve">orbent </w:t>
      </w:r>
      <w:r>
        <w:rPr>
          <w:rFonts w:ascii="Arial" w:hAnsi="Arial" w:cs="Arial"/>
          <w:szCs w:val="20"/>
          <w:lang w:val="en"/>
        </w:rPr>
        <w:t>A</w:t>
      </w:r>
      <w:r w:rsidRPr="00052383">
        <w:rPr>
          <w:rFonts w:ascii="Arial" w:hAnsi="Arial" w:cs="Arial"/>
          <w:szCs w:val="20"/>
          <w:lang w:val="en"/>
        </w:rPr>
        <w:t>ssay</w:t>
      </w:r>
    </w:p>
    <w:p w:rsidR="002B5A16" w:rsidRDefault="002B5A16" w:rsidP="002B5A16">
      <w:pPr>
        <w:rPr>
          <w:rFonts w:ascii="Arial" w:hAnsi="Arial" w:cs="Arial"/>
        </w:rPr>
      </w:pPr>
      <w:r>
        <w:rPr>
          <w:rFonts w:ascii="Arial" w:hAnsi="Arial" w:cs="Arial"/>
        </w:rPr>
        <w:t>GDP</w:t>
      </w:r>
      <w:r>
        <w:rPr>
          <w:rFonts w:ascii="Arial" w:hAnsi="Arial" w:cs="Arial"/>
        </w:rPr>
        <w:tab/>
      </w:r>
      <w:r>
        <w:rPr>
          <w:rFonts w:ascii="Arial" w:hAnsi="Arial" w:cs="Arial"/>
        </w:rPr>
        <w:tab/>
        <w:t>Gross Domestic Product</w:t>
      </w:r>
    </w:p>
    <w:p w:rsidR="002B5A16" w:rsidRDefault="002B5A16" w:rsidP="002B5A16">
      <w:pPr>
        <w:rPr>
          <w:rFonts w:ascii="Arial" w:hAnsi="Arial" w:cs="Arial"/>
        </w:rPr>
      </w:pPr>
      <w:r>
        <w:rPr>
          <w:rFonts w:ascii="Arial" w:hAnsi="Arial" w:cs="Arial"/>
        </w:rPr>
        <w:t>HAL</w:t>
      </w:r>
      <w:r>
        <w:rPr>
          <w:rFonts w:ascii="Arial" w:hAnsi="Arial" w:cs="Arial"/>
        </w:rPr>
        <w:tab/>
      </w:r>
      <w:r>
        <w:rPr>
          <w:rFonts w:ascii="Arial" w:hAnsi="Arial" w:cs="Arial"/>
        </w:rPr>
        <w:tab/>
        <w:t>Horticulture Australia Limited (now HIA)</w:t>
      </w:r>
    </w:p>
    <w:p w:rsidR="002B5A16" w:rsidRDefault="002B5A16" w:rsidP="002B5A16">
      <w:pPr>
        <w:rPr>
          <w:rFonts w:ascii="Arial" w:hAnsi="Arial" w:cs="Arial"/>
        </w:rPr>
      </w:pPr>
      <w:r>
        <w:rPr>
          <w:rFonts w:ascii="Arial" w:hAnsi="Arial" w:cs="Arial"/>
        </w:rPr>
        <w:t>HIA</w:t>
      </w:r>
      <w:r>
        <w:rPr>
          <w:rFonts w:ascii="Arial" w:hAnsi="Arial" w:cs="Arial"/>
        </w:rPr>
        <w:tab/>
      </w:r>
      <w:r>
        <w:rPr>
          <w:rFonts w:ascii="Arial" w:hAnsi="Arial" w:cs="Arial"/>
        </w:rPr>
        <w:tab/>
        <w:t xml:space="preserve">Horticulture Innovation Australia </w:t>
      </w:r>
    </w:p>
    <w:p w:rsidR="002B5A16" w:rsidRDefault="002B5A16" w:rsidP="002B5A16">
      <w:pPr>
        <w:rPr>
          <w:rFonts w:ascii="Arial" w:hAnsi="Arial" w:cs="Arial"/>
        </w:rPr>
      </w:pPr>
      <w:r>
        <w:rPr>
          <w:rFonts w:ascii="Arial" w:hAnsi="Arial" w:cs="Arial"/>
        </w:rPr>
        <w:t>HRDC</w:t>
      </w:r>
      <w:r>
        <w:rPr>
          <w:rFonts w:ascii="Arial" w:hAnsi="Arial" w:cs="Arial"/>
        </w:rPr>
        <w:tab/>
      </w:r>
      <w:r>
        <w:rPr>
          <w:rFonts w:ascii="Arial" w:hAnsi="Arial" w:cs="Arial"/>
        </w:rPr>
        <w:tab/>
        <w:t>Horticulture Research and Development Corporation (now HIA)</w:t>
      </w:r>
    </w:p>
    <w:p w:rsidR="002B5A16" w:rsidRDefault="002B5A16" w:rsidP="002B5A16">
      <w:pPr>
        <w:rPr>
          <w:rFonts w:ascii="Arial" w:hAnsi="Arial" w:cs="Arial"/>
        </w:rPr>
      </w:pPr>
      <w:r>
        <w:rPr>
          <w:rFonts w:ascii="Arial" w:hAnsi="Arial" w:cs="Arial"/>
        </w:rPr>
        <w:t>IPM</w:t>
      </w:r>
      <w:r>
        <w:rPr>
          <w:rFonts w:ascii="Arial" w:hAnsi="Arial" w:cs="Arial"/>
        </w:rPr>
        <w:tab/>
      </w:r>
      <w:r>
        <w:rPr>
          <w:rFonts w:ascii="Arial" w:hAnsi="Arial" w:cs="Arial"/>
        </w:rPr>
        <w:tab/>
        <w:t>Integrated Pest Management</w:t>
      </w:r>
    </w:p>
    <w:p w:rsidR="002B5A16" w:rsidRDefault="002B5A16" w:rsidP="002B5A16">
      <w:pPr>
        <w:rPr>
          <w:rFonts w:ascii="Arial" w:hAnsi="Arial" w:cs="Arial"/>
        </w:rPr>
      </w:pPr>
      <w:r>
        <w:rPr>
          <w:rFonts w:ascii="Arial" w:hAnsi="Arial" w:cs="Arial"/>
        </w:rPr>
        <w:t>IRR</w:t>
      </w:r>
      <w:r>
        <w:rPr>
          <w:rFonts w:ascii="Arial" w:hAnsi="Arial" w:cs="Arial"/>
        </w:rPr>
        <w:tab/>
      </w:r>
      <w:r>
        <w:rPr>
          <w:rFonts w:ascii="Arial" w:hAnsi="Arial" w:cs="Arial"/>
        </w:rPr>
        <w:tab/>
        <w:t xml:space="preserve">Internal Rate of Return </w:t>
      </w:r>
    </w:p>
    <w:p w:rsidR="002B5A16" w:rsidRPr="00D03CA7" w:rsidRDefault="002B5A16" w:rsidP="002B5A16">
      <w:pPr>
        <w:rPr>
          <w:rFonts w:ascii="Arial" w:hAnsi="Arial" w:cs="Arial"/>
        </w:rPr>
      </w:pPr>
      <w:r w:rsidRPr="00D03CA7">
        <w:rPr>
          <w:rFonts w:ascii="Arial" w:hAnsi="Arial" w:cs="Arial"/>
        </w:rPr>
        <w:t>MIRR</w:t>
      </w:r>
      <w:r w:rsidRPr="00D03CA7">
        <w:rPr>
          <w:rFonts w:ascii="Arial" w:hAnsi="Arial" w:cs="Arial"/>
        </w:rPr>
        <w:tab/>
      </w:r>
      <w:r w:rsidRPr="00D03CA7">
        <w:rPr>
          <w:rFonts w:ascii="Arial" w:hAnsi="Arial" w:cs="Arial"/>
        </w:rPr>
        <w:tab/>
        <w:t>Modified Internal Rate of Return</w:t>
      </w:r>
    </w:p>
    <w:p w:rsidR="002B5A16" w:rsidRDefault="002B5A16" w:rsidP="002B5A16">
      <w:pPr>
        <w:rPr>
          <w:rFonts w:ascii="Arial" w:hAnsi="Arial" w:cs="Arial"/>
        </w:rPr>
      </w:pPr>
      <w:r>
        <w:rPr>
          <w:rFonts w:ascii="Arial" w:hAnsi="Arial" w:cs="Arial"/>
        </w:rPr>
        <w:t>NARI</w:t>
      </w:r>
      <w:r>
        <w:rPr>
          <w:rFonts w:ascii="Arial" w:hAnsi="Arial" w:cs="Arial"/>
        </w:rPr>
        <w:tab/>
      </w:r>
      <w:r>
        <w:rPr>
          <w:rFonts w:ascii="Arial" w:hAnsi="Arial" w:cs="Arial"/>
        </w:rPr>
        <w:tab/>
        <w:t>National Agricultural Research Institute (PNG)</w:t>
      </w:r>
    </w:p>
    <w:p w:rsidR="002B5A16" w:rsidRDefault="002B5A16" w:rsidP="002B5A16">
      <w:pPr>
        <w:rPr>
          <w:rFonts w:ascii="Arial" w:hAnsi="Arial" w:cs="Arial"/>
        </w:rPr>
      </w:pPr>
      <w:r>
        <w:rPr>
          <w:rFonts w:ascii="Arial" w:hAnsi="Arial" w:cs="Arial"/>
        </w:rPr>
        <w:t>NGO</w:t>
      </w:r>
      <w:r>
        <w:rPr>
          <w:rFonts w:ascii="Arial" w:hAnsi="Arial" w:cs="Arial"/>
        </w:rPr>
        <w:tab/>
      </w:r>
      <w:r>
        <w:rPr>
          <w:rFonts w:ascii="Arial" w:hAnsi="Arial" w:cs="Arial"/>
        </w:rPr>
        <w:tab/>
        <w:t>Non-Government Organisation</w:t>
      </w:r>
    </w:p>
    <w:p w:rsidR="002B5A16" w:rsidRDefault="002B5A16" w:rsidP="002B5A16">
      <w:pPr>
        <w:rPr>
          <w:rFonts w:ascii="Arial" w:hAnsi="Arial" w:cs="Arial"/>
        </w:rPr>
      </w:pPr>
      <w:r>
        <w:rPr>
          <w:rFonts w:ascii="Arial" w:hAnsi="Arial" w:cs="Arial"/>
        </w:rPr>
        <w:t>NSW</w:t>
      </w:r>
      <w:r>
        <w:rPr>
          <w:rFonts w:ascii="Arial" w:hAnsi="Arial" w:cs="Arial"/>
        </w:rPr>
        <w:tab/>
      </w:r>
      <w:r>
        <w:rPr>
          <w:rFonts w:ascii="Arial" w:hAnsi="Arial" w:cs="Arial"/>
        </w:rPr>
        <w:tab/>
        <w:t>New South Wales</w:t>
      </w:r>
    </w:p>
    <w:p w:rsidR="002B5A16" w:rsidRDefault="002B5A16" w:rsidP="002B5A16">
      <w:pPr>
        <w:rPr>
          <w:rFonts w:ascii="Arial" w:hAnsi="Arial" w:cs="Arial"/>
        </w:rPr>
      </w:pPr>
      <w:r>
        <w:rPr>
          <w:rFonts w:ascii="Arial" w:hAnsi="Arial" w:cs="Arial"/>
        </w:rPr>
        <w:t>OCS</w:t>
      </w:r>
      <w:r>
        <w:rPr>
          <w:rFonts w:ascii="Arial" w:hAnsi="Arial" w:cs="Arial"/>
        </w:rPr>
        <w:tab/>
      </w:r>
      <w:r>
        <w:rPr>
          <w:rFonts w:ascii="Arial" w:hAnsi="Arial" w:cs="Arial"/>
        </w:rPr>
        <w:tab/>
        <w:t>Office of Chief Scientist Queensland</w:t>
      </w:r>
    </w:p>
    <w:p w:rsidR="002B5A16" w:rsidRDefault="002B5A16" w:rsidP="002B5A16">
      <w:pPr>
        <w:rPr>
          <w:rFonts w:ascii="Arial" w:hAnsi="Arial" w:cs="Arial"/>
        </w:rPr>
      </w:pPr>
      <w:r>
        <w:rPr>
          <w:rFonts w:ascii="Arial" w:hAnsi="Arial" w:cs="Arial"/>
        </w:rPr>
        <w:t>PNG</w:t>
      </w:r>
      <w:r>
        <w:rPr>
          <w:rFonts w:ascii="Arial" w:hAnsi="Arial" w:cs="Arial"/>
        </w:rPr>
        <w:tab/>
      </w:r>
      <w:r>
        <w:rPr>
          <w:rFonts w:ascii="Arial" w:hAnsi="Arial" w:cs="Arial"/>
        </w:rPr>
        <w:tab/>
      </w:r>
      <w:r w:rsidRPr="00FF21F6">
        <w:rPr>
          <w:rFonts w:ascii="Arial" w:hAnsi="Arial" w:cs="Arial"/>
        </w:rPr>
        <w:t>Papua New Guinea</w:t>
      </w:r>
    </w:p>
    <w:p w:rsidR="002B5A16" w:rsidRDefault="002B5A16" w:rsidP="002B5A16">
      <w:pPr>
        <w:rPr>
          <w:rFonts w:ascii="Arial" w:hAnsi="Arial" w:cs="Arial"/>
        </w:rPr>
      </w:pPr>
      <w:r>
        <w:rPr>
          <w:rFonts w:ascii="Arial" w:hAnsi="Arial" w:cs="Arial"/>
        </w:rPr>
        <w:t>PT</w:t>
      </w:r>
      <w:r>
        <w:rPr>
          <w:rFonts w:ascii="Arial" w:hAnsi="Arial" w:cs="Arial"/>
        </w:rPr>
        <w:tab/>
      </w:r>
      <w:r>
        <w:rPr>
          <w:rFonts w:ascii="Arial" w:hAnsi="Arial" w:cs="Arial"/>
        </w:rPr>
        <w:tab/>
        <w:t>Pathogen Tested</w:t>
      </w:r>
    </w:p>
    <w:p w:rsidR="002B5A16" w:rsidRPr="007C64BD" w:rsidRDefault="002B5A16" w:rsidP="002B5A16">
      <w:pPr>
        <w:rPr>
          <w:rFonts w:ascii="Arial" w:hAnsi="Arial" w:cs="Arial"/>
        </w:rPr>
      </w:pPr>
      <w:r w:rsidRPr="007C64BD">
        <w:rPr>
          <w:rFonts w:ascii="Arial" w:hAnsi="Arial" w:cs="Arial"/>
        </w:rPr>
        <w:t>PVB</w:t>
      </w:r>
      <w:r w:rsidRPr="007C64BD">
        <w:rPr>
          <w:rFonts w:ascii="Arial" w:hAnsi="Arial" w:cs="Arial"/>
        </w:rPr>
        <w:tab/>
      </w:r>
      <w:r w:rsidRPr="007C64BD">
        <w:rPr>
          <w:rFonts w:ascii="Arial" w:hAnsi="Arial" w:cs="Arial"/>
        </w:rPr>
        <w:tab/>
        <w:t>Present Value of Benefits</w:t>
      </w:r>
    </w:p>
    <w:p w:rsidR="002B5A16" w:rsidRDefault="002B5A16" w:rsidP="002B5A16">
      <w:pPr>
        <w:rPr>
          <w:rFonts w:ascii="Arial" w:hAnsi="Arial" w:cs="Arial"/>
        </w:rPr>
      </w:pPr>
      <w:r>
        <w:rPr>
          <w:rFonts w:ascii="Arial" w:hAnsi="Arial" w:cs="Arial"/>
        </w:rPr>
        <w:t>QLD</w:t>
      </w:r>
      <w:r>
        <w:rPr>
          <w:rFonts w:ascii="Arial" w:hAnsi="Arial" w:cs="Arial"/>
        </w:rPr>
        <w:tab/>
      </w:r>
      <w:r>
        <w:rPr>
          <w:rFonts w:ascii="Arial" w:hAnsi="Arial" w:cs="Arial"/>
        </w:rPr>
        <w:tab/>
        <w:t>Queensland</w:t>
      </w:r>
    </w:p>
    <w:p w:rsidR="002B5A16" w:rsidRDefault="002B5A16" w:rsidP="002B5A16">
      <w:pPr>
        <w:rPr>
          <w:rFonts w:ascii="Arial" w:hAnsi="Arial" w:cs="Arial"/>
        </w:rPr>
      </w:pPr>
      <w:r>
        <w:rPr>
          <w:rFonts w:ascii="Arial" w:hAnsi="Arial" w:cs="Arial"/>
        </w:rPr>
        <w:t>QUT</w:t>
      </w:r>
      <w:r>
        <w:rPr>
          <w:rFonts w:ascii="Arial" w:hAnsi="Arial" w:cs="Arial"/>
        </w:rPr>
        <w:tab/>
      </w:r>
      <w:r>
        <w:rPr>
          <w:rFonts w:ascii="Arial" w:hAnsi="Arial" w:cs="Arial"/>
        </w:rPr>
        <w:tab/>
        <w:t>Queensland University of Technology</w:t>
      </w:r>
    </w:p>
    <w:p w:rsidR="002B5A16" w:rsidRPr="00E2791E" w:rsidRDefault="002B5A16" w:rsidP="002B5A16">
      <w:pPr>
        <w:rPr>
          <w:rFonts w:ascii="Arial" w:hAnsi="Arial" w:cs="Arial"/>
        </w:rPr>
      </w:pPr>
      <w:r w:rsidRPr="00E2791E">
        <w:rPr>
          <w:rFonts w:ascii="Arial" w:hAnsi="Arial" w:cs="Arial"/>
        </w:rPr>
        <w:t>RDC</w:t>
      </w:r>
      <w:r w:rsidRPr="00E2791E">
        <w:rPr>
          <w:rFonts w:ascii="Arial" w:hAnsi="Arial" w:cs="Arial"/>
        </w:rPr>
        <w:tab/>
      </w:r>
      <w:r w:rsidRPr="00E2791E">
        <w:rPr>
          <w:rFonts w:ascii="Arial" w:hAnsi="Arial" w:cs="Arial"/>
        </w:rPr>
        <w:tab/>
        <w:t>Research and Development Corporation</w:t>
      </w:r>
    </w:p>
    <w:p w:rsidR="002B5A16" w:rsidRPr="007C64BD" w:rsidRDefault="002B5A16" w:rsidP="002B5A16">
      <w:pPr>
        <w:rPr>
          <w:rFonts w:ascii="Arial" w:hAnsi="Arial" w:cs="Arial"/>
        </w:rPr>
      </w:pPr>
      <w:r w:rsidRPr="007C64BD">
        <w:rPr>
          <w:rFonts w:ascii="Arial" w:hAnsi="Arial" w:cs="Arial"/>
        </w:rPr>
        <w:t>R&amp;D</w:t>
      </w:r>
      <w:r w:rsidRPr="007C64BD">
        <w:rPr>
          <w:rFonts w:ascii="Arial" w:hAnsi="Arial" w:cs="Arial"/>
        </w:rPr>
        <w:tab/>
      </w:r>
      <w:r w:rsidRPr="007C64BD">
        <w:rPr>
          <w:rFonts w:ascii="Arial" w:hAnsi="Arial" w:cs="Arial"/>
        </w:rPr>
        <w:tab/>
        <w:t>Research and Development</w:t>
      </w:r>
    </w:p>
    <w:p w:rsidR="002B5A16" w:rsidRDefault="002B5A16" w:rsidP="002B5A16">
      <w:pPr>
        <w:rPr>
          <w:rFonts w:ascii="Arial" w:hAnsi="Arial" w:cs="Arial"/>
        </w:rPr>
      </w:pPr>
      <w:r w:rsidRPr="007C64BD">
        <w:rPr>
          <w:rFonts w:ascii="Arial" w:hAnsi="Arial" w:cs="Arial"/>
        </w:rPr>
        <w:t>RD&amp;E</w:t>
      </w:r>
      <w:r w:rsidRPr="007C64BD">
        <w:rPr>
          <w:rFonts w:ascii="Arial" w:hAnsi="Arial" w:cs="Arial"/>
        </w:rPr>
        <w:tab/>
      </w:r>
      <w:r w:rsidRPr="007C64BD">
        <w:rPr>
          <w:rFonts w:ascii="Arial" w:hAnsi="Arial" w:cs="Arial"/>
        </w:rPr>
        <w:tab/>
        <w:t>Research, Development and Extension</w:t>
      </w:r>
    </w:p>
    <w:p w:rsidR="002B5A16" w:rsidRDefault="002B5A16" w:rsidP="002B5A16">
      <w:pPr>
        <w:rPr>
          <w:rFonts w:ascii="Arial" w:hAnsi="Arial" w:cs="Arial"/>
        </w:rPr>
      </w:pPr>
      <w:r>
        <w:rPr>
          <w:rFonts w:ascii="Arial" w:hAnsi="Arial" w:cs="Arial"/>
        </w:rPr>
        <w:t>SI</w:t>
      </w:r>
      <w:r>
        <w:rPr>
          <w:rFonts w:ascii="Arial" w:hAnsi="Arial" w:cs="Arial"/>
        </w:rPr>
        <w:tab/>
      </w:r>
      <w:r>
        <w:rPr>
          <w:rFonts w:ascii="Arial" w:hAnsi="Arial" w:cs="Arial"/>
        </w:rPr>
        <w:tab/>
        <w:t>Solomon Islands</w:t>
      </w:r>
    </w:p>
    <w:p w:rsidR="002B5A16" w:rsidRDefault="002B5A16">
      <w:pPr>
        <w:rPr>
          <w:rFonts w:ascii="Arial" w:hAnsi="Arial" w:cs="Arial"/>
          <w:b/>
          <w:sz w:val="44"/>
          <w:szCs w:val="20"/>
        </w:rPr>
      </w:pPr>
      <w:r w:rsidRPr="00674D8A">
        <w:rPr>
          <w:rFonts w:ascii="Arial" w:hAnsi="Arial" w:cs="Arial"/>
        </w:rPr>
        <w:t>SPC</w:t>
      </w:r>
      <w:r w:rsidRPr="00674D8A">
        <w:rPr>
          <w:rFonts w:ascii="Arial" w:hAnsi="Arial" w:cs="Arial"/>
        </w:rPr>
        <w:tab/>
      </w:r>
      <w:r w:rsidRPr="00674D8A">
        <w:rPr>
          <w:rFonts w:ascii="Arial" w:hAnsi="Arial" w:cs="Arial"/>
        </w:rPr>
        <w:tab/>
        <w:t xml:space="preserve">Secretariat </w:t>
      </w:r>
      <w:r>
        <w:rPr>
          <w:rFonts w:ascii="Arial" w:hAnsi="Arial" w:cs="Arial"/>
        </w:rPr>
        <w:t xml:space="preserve">of the </w:t>
      </w:r>
      <w:r w:rsidRPr="00674D8A">
        <w:rPr>
          <w:rFonts w:ascii="Arial" w:hAnsi="Arial" w:cs="Arial"/>
        </w:rPr>
        <w:t>Pacific Communit</w:t>
      </w:r>
      <w:r>
        <w:rPr>
          <w:rFonts w:ascii="Arial" w:hAnsi="Arial" w:cs="Arial"/>
        </w:rPr>
        <w:t xml:space="preserve">y </w:t>
      </w:r>
      <w:r>
        <w:rPr>
          <w:rFonts w:ascii="Arial" w:hAnsi="Arial" w:cs="Arial"/>
        </w:rPr>
        <w:br w:type="page"/>
      </w:r>
    </w:p>
    <w:p w:rsidR="002B5A16" w:rsidRPr="00AF6856" w:rsidRDefault="002B5A16" w:rsidP="00AF6856">
      <w:pPr>
        <w:spacing w:after="240"/>
        <w:rPr>
          <w:rFonts w:ascii="Arial" w:hAnsi="Arial" w:cs="Arial"/>
          <w:b/>
          <w:sz w:val="40"/>
          <w:szCs w:val="40"/>
        </w:rPr>
      </w:pPr>
      <w:bookmarkStart w:id="453" w:name="_Toc487091257"/>
      <w:r w:rsidRPr="00AF6856">
        <w:rPr>
          <w:rFonts w:ascii="Arial" w:hAnsi="Arial" w:cs="Arial"/>
          <w:b/>
          <w:sz w:val="40"/>
          <w:szCs w:val="40"/>
        </w:rPr>
        <w:t>Executive Summary</w:t>
      </w:r>
      <w:bookmarkEnd w:id="453"/>
    </w:p>
    <w:p w:rsidR="002B5A16" w:rsidRPr="0094710F" w:rsidRDefault="002B5A16" w:rsidP="00AF6856">
      <w:pPr>
        <w:spacing w:after="240"/>
        <w:rPr>
          <w:rFonts w:ascii="Arial" w:hAnsi="Arial" w:cs="Arial"/>
          <w:b/>
          <w:sz w:val="24"/>
        </w:rPr>
      </w:pPr>
      <w:r w:rsidRPr="0094710F">
        <w:rPr>
          <w:rFonts w:ascii="Arial" w:hAnsi="Arial" w:cs="Arial"/>
          <w:b/>
          <w:sz w:val="24"/>
        </w:rPr>
        <w:t xml:space="preserve">The </w:t>
      </w:r>
      <w:r>
        <w:rPr>
          <w:rFonts w:ascii="Arial" w:hAnsi="Arial" w:cs="Arial"/>
          <w:b/>
          <w:sz w:val="24"/>
        </w:rPr>
        <w:t>Projects</w:t>
      </w:r>
    </w:p>
    <w:p w:rsidR="002B5A16" w:rsidRPr="0094710F" w:rsidRDefault="002B5A16" w:rsidP="00AF6856">
      <w:pPr>
        <w:spacing w:after="240"/>
        <w:rPr>
          <w:rFonts w:ascii="Arial" w:hAnsi="Arial" w:cs="Arial"/>
        </w:rPr>
      </w:pPr>
      <w:r w:rsidRPr="0094710F">
        <w:rPr>
          <w:rFonts w:ascii="Arial" w:hAnsi="Arial" w:cs="Arial"/>
        </w:rPr>
        <w:t xml:space="preserve">This report presents the results of an impact assessment of Queensland Department of Agriculture and Fisheries (DAF) </w:t>
      </w:r>
      <w:r w:rsidRPr="001F4C8A">
        <w:rPr>
          <w:rFonts w:ascii="Arial" w:hAnsi="Arial" w:cs="Arial"/>
        </w:rPr>
        <w:t xml:space="preserve">investment in </w:t>
      </w:r>
      <w:r>
        <w:rPr>
          <w:rFonts w:ascii="Arial" w:hAnsi="Arial" w:cs="Arial"/>
        </w:rPr>
        <w:t>eleven sweetpotato</w:t>
      </w:r>
      <w:r w:rsidRPr="001F4C8A">
        <w:rPr>
          <w:rFonts w:ascii="Arial" w:hAnsi="Arial" w:cs="Arial"/>
        </w:rPr>
        <w:t xml:space="preserve"> projects</w:t>
      </w:r>
      <w:r>
        <w:rPr>
          <w:rFonts w:ascii="Arial" w:hAnsi="Arial" w:cs="Arial"/>
        </w:rPr>
        <w:t xml:space="preserve"> that address pests, diseases, agronomy and new sweetpotato varieties. </w:t>
      </w:r>
      <w:r w:rsidRPr="001F4C8A">
        <w:rPr>
          <w:rFonts w:ascii="Arial" w:hAnsi="Arial" w:cs="Arial"/>
        </w:rPr>
        <w:t xml:space="preserve">The projects </w:t>
      </w:r>
      <w:r>
        <w:rPr>
          <w:rFonts w:ascii="Arial" w:hAnsi="Arial" w:cs="Arial"/>
        </w:rPr>
        <w:t xml:space="preserve">have </w:t>
      </w:r>
      <w:r w:rsidRPr="001F4C8A">
        <w:rPr>
          <w:rFonts w:ascii="Arial" w:hAnsi="Arial" w:cs="Arial"/>
        </w:rPr>
        <w:t>be</w:t>
      </w:r>
      <w:r>
        <w:rPr>
          <w:rFonts w:ascii="Arial" w:hAnsi="Arial" w:cs="Arial"/>
        </w:rPr>
        <w:t>en</w:t>
      </w:r>
      <w:r w:rsidRPr="001F4C8A">
        <w:rPr>
          <w:rFonts w:ascii="Arial" w:hAnsi="Arial" w:cs="Arial"/>
        </w:rPr>
        <w:t xml:space="preserve"> funded by DAF and a range of project partners over the period </w:t>
      </w:r>
      <w:r>
        <w:rPr>
          <w:rFonts w:ascii="Arial" w:hAnsi="Arial" w:cs="Arial"/>
        </w:rPr>
        <w:t xml:space="preserve">1998 to </w:t>
      </w:r>
      <w:r w:rsidRPr="001F4C8A">
        <w:rPr>
          <w:rFonts w:ascii="Arial" w:hAnsi="Arial" w:cs="Arial"/>
        </w:rPr>
        <w:t>2018.</w:t>
      </w:r>
    </w:p>
    <w:p w:rsidR="002B5A16" w:rsidRPr="0094710F" w:rsidRDefault="002B5A16" w:rsidP="00AF6856">
      <w:pPr>
        <w:spacing w:after="240"/>
        <w:rPr>
          <w:rFonts w:ascii="Arial" w:hAnsi="Arial" w:cs="Arial"/>
          <w:b/>
          <w:sz w:val="24"/>
        </w:rPr>
      </w:pPr>
      <w:r w:rsidRPr="0094710F">
        <w:rPr>
          <w:rFonts w:ascii="Arial" w:hAnsi="Arial" w:cs="Arial"/>
          <w:b/>
          <w:sz w:val="24"/>
        </w:rPr>
        <w:t>Methods</w:t>
      </w:r>
    </w:p>
    <w:p w:rsidR="002B5A16" w:rsidRPr="0094710F" w:rsidRDefault="002B5A16" w:rsidP="00AF6856">
      <w:pPr>
        <w:spacing w:after="240"/>
        <w:rPr>
          <w:rFonts w:ascii="Arial" w:hAnsi="Arial" w:cs="Arial"/>
        </w:rPr>
      </w:pPr>
      <w:r w:rsidRPr="0094710F">
        <w:rPr>
          <w:rFonts w:ascii="Arial" w:hAnsi="Arial" w:cs="Arial"/>
        </w:rPr>
        <w:t>The project</w:t>
      </w:r>
      <w:r>
        <w:rPr>
          <w:rFonts w:ascii="Arial" w:hAnsi="Arial" w:cs="Arial"/>
        </w:rPr>
        <w:t>s</w:t>
      </w:r>
      <w:r w:rsidRPr="0094710F">
        <w:rPr>
          <w:rFonts w:ascii="Arial" w:hAnsi="Arial" w:cs="Arial"/>
        </w:rPr>
        <w:t xml:space="preserve"> w</w:t>
      </w:r>
      <w:r>
        <w:rPr>
          <w:rFonts w:ascii="Arial" w:hAnsi="Arial" w:cs="Arial"/>
        </w:rPr>
        <w:t>ere</w:t>
      </w:r>
      <w:r w:rsidRPr="0094710F">
        <w:rPr>
          <w:rFonts w:ascii="Arial" w:hAnsi="Arial" w:cs="Arial"/>
        </w:rPr>
        <w:t xml:space="preserve"> analysed qualitatively within a logical framework that included activities/outputs, outcomes, and impacts. Impacts were categorised into a triple bottom line framework.</w:t>
      </w:r>
      <w:r>
        <w:rPr>
          <w:rFonts w:ascii="Arial" w:hAnsi="Arial" w:cs="Arial"/>
        </w:rPr>
        <w:t xml:space="preserve"> The p</w:t>
      </w:r>
      <w:r w:rsidRPr="0094710F">
        <w:rPr>
          <w:rFonts w:ascii="Arial" w:hAnsi="Arial" w:cs="Arial"/>
        </w:rPr>
        <w:t>rincipal impact</w:t>
      </w:r>
      <w:r>
        <w:rPr>
          <w:rFonts w:ascii="Arial" w:hAnsi="Arial" w:cs="Arial"/>
        </w:rPr>
        <w:t>s</w:t>
      </w:r>
      <w:r w:rsidRPr="0094710F">
        <w:rPr>
          <w:rFonts w:ascii="Arial" w:hAnsi="Arial" w:cs="Arial"/>
        </w:rPr>
        <w:t xml:space="preserve"> w</w:t>
      </w:r>
      <w:r>
        <w:rPr>
          <w:rFonts w:ascii="Arial" w:hAnsi="Arial" w:cs="Arial"/>
        </w:rPr>
        <w:t>ere</w:t>
      </w:r>
      <w:r w:rsidRPr="0094710F">
        <w:rPr>
          <w:rFonts w:ascii="Arial" w:hAnsi="Arial" w:cs="Arial"/>
        </w:rPr>
        <w:t xml:space="preserve"> then valued. Benefits were </w:t>
      </w:r>
      <w:r>
        <w:rPr>
          <w:rFonts w:ascii="Arial" w:hAnsi="Arial" w:cs="Arial"/>
        </w:rPr>
        <w:t xml:space="preserve">estimated </w:t>
      </w:r>
      <w:r w:rsidRPr="0094710F">
        <w:rPr>
          <w:rFonts w:ascii="Arial" w:hAnsi="Arial" w:cs="Arial"/>
        </w:rPr>
        <w:t>for a range of time frames up to 30 years from the year of last investment in the project. Past and future cash flows in 201</w:t>
      </w:r>
      <w:r>
        <w:rPr>
          <w:rFonts w:ascii="Arial" w:hAnsi="Arial" w:cs="Arial"/>
        </w:rPr>
        <w:t>6</w:t>
      </w:r>
      <w:r w:rsidRPr="0094710F">
        <w:rPr>
          <w:rFonts w:ascii="Arial" w:hAnsi="Arial" w:cs="Arial"/>
        </w:rPr>
        <w:t>/1</w:t>
      </w:r>
      <w:r>
        <w:rPr>
          <w:rFonts w:ascii="Arial" w:hAnsi="Arial" w:cs="Arial"/>
        </w:rPr>
        <w:t>7</w:t>
      </w:r>
      <w:r w:rsidRPr="0094710F">
        <w:rPr>
          <w:rFonts w:ascii="Arial" w:hAnsi="Arial" w:cs="Arial"/>
        </w:rPr>
        <w:t xml:space="preserve"> </w:t>
      </w:r>
      <w:r>
        <w:rPr>
          <w:rFonts w:ascii="Arial" w:hAnsi="Arial" w:cs="Arial"/>
        </w:rPr>
        <w:t>dollar</w:t>
      </w:r>
      <w:r w:rsidRPr="0094710F">
        <w:rPr>
          <w:rFonts w:ascii="Arial" w:hAnsi="Arial" w:cs="Arial"/>
        </w:rPr>
        <w:t xml:space="preserve"> terms were discounted to the year 201</w:t>
      </w:r>
      <w:r>
        <w:rPr>
          <w:rFonts w:ascii="Arial" w:hAnsi="Arial" w:cs="Arial"/>
        </w:rPr>
        <w:t>6</w:t>
      </w:r>
      <w:r w:rsidRPr="0094710F">
        <w:rPr>
          <w:rFonts w:ascii="Arial" w:hAnsi="Arial" w:cs="Arial"/>
        </w:rPr>
        <w:t>/1</w:t>
      </w:r>
      <w:r>
        <w:rPr>
          <w:rFonts w:ascii="Arial" w:hAnsi="Arial" w:cs="Arial"/>
        </w:rPr>
        <w:t>7</w:t>
      </w:r>
      <w:r w:rsidRPr="0094710F">
        <w:rPr>
          <w:rFonts w:ascii="Arial" w:hAnsi="Arial" w:cs="Arial"/>
        </w:rPr>
        <w:t xml:space="preserve"> using a discount rate of 5% to estimate the investment criteria.</w:t>
      </w:r>
    </w:p>
    <w:p w:rsidR="002B5A16" w:rsidRPr="0094710F" w:rsidRDefault="002B5A16" w:rsidP="00AF6856">
      <w:pPr>
        <w:spacing w:after="240"/>
        <w:rPr>
          <w:rFonts w:ascii="Arial" w:hAnsi="Arial" w:cs="Arial"/>
          <w:b/>
          <w:sz w:val="24"/>
        </w:rPr>
      </w:pPr>
      <w:r w:rsidRPr="0094710F">
        <w:rPr>
          <w:rFonts w:ascii="Arial" w:hAnsi="Arial" w:cs="Arial"/>
          <w:b/>
          <w:sz w:val="24"/>
        </w:rPr>
        <w:t>Impacts</w:t>
      </w:r>
    </w:p>
    <w:p w:rsidR="002B5A16" w:rsidRPr="0094710F" w:rsidRDefault="002B5A16" w:rsidP="00AF6856">
      <w:pPr>
        <w:spacing w:after="240"/>
        <w:rPr>
          <w:rFonts w:ascii="Arial" w:hAnsi="Arial" w:cs="Arial"/>
        </w:rPr>
      </w:pPr>
      <w:r w:rsidRPr="0094710F">
        <w:rPr>
          <w:rFonts w:ascii="Arial" w:hAnsi="Arial" w:cs="Arial"/>
        </w:rPr>
        <w:t>The major impact</w:t>
      </w:r>
      <w:r>
        <w:rPr>
          <w:rFonts w:ascii="Arial" w:hAnsi="Arial" w:cs="Arial"/>
        </w:rPr>
        <w:t>s</w:t>
      </w:r>
      <w:r w:rsidRPr="0094710F">
        <w:rPr>
          <w:rFonts w:ascii="Arial" w:hAnsi="Arial" w:cs="Arial"/>
        </w:rPr>
        <w:t xml:space="preserve"> identified w</w:t>
      </w:r>
      <w:r>
        <w:rPr>
          <w:rFonts w:ascii="Arial" w:hAnsi="Arial" w:cs="Arial"/>
        </w:rPr>
        <w:t>ere</w:t>
      </w:r>
      <w:r w:rsidRPr="0094710F">
        <w:rPr>
          <w:rFonts w:ascii="Arial" w:hAnsi="Arial" w:cs="Arial"/>
        </w:rPr>
        <w:t xml:space="preserve"> of a financial nature. However, some social and environmental impacts were also identified</w:t>
      </w:r>
      <w:r>
        <w:rPr>
          <w:rFonts w:ascii="Arial" w:hAnsi="Arial" w:cs="Arial"/>
        </w:rPr>
        <w:t xml:space="preserve"> but not valued</w:t>
      </w:r>
      <w:r w:rsidRPr="00C02DDF">
        <w:rPr>
          <w:rFonts w:ascii="Arial" w:hAnsi="Arial" w:cs="Arial"/>
        </w:rPr>
        <w:t>. It is expected th</w:t>
      </w:r>
      <w:r>
        <w:rPr>
          <w:rFonts w:ascii="Arial" w:hAnsi="Arial" w:cs="Arial"/>
        </w:rPr>
        <w:t>at both th</w:t>
      </w:r>
      <w:r w:rsidRPr="00C02DDF">
        <w:rPr>
          <w:rFonts w:ascii="Arial" w:hAnsi="Arial" w:cs="Arial"/>
        </w:rPr>
        <w:t xml:space="preserve">e </w:t>
      </w:r>
      <w:r>
        <w:rPr>
          <w:rFonts w:ascii="Arial" w:hAnsi="Arial" w:cs="Arial"/>
        </w:rPr>
        <w:t xml:space="preserve">Australian and Pacific Island Countries’ sweetpotato </w:t>
      </w:r>
      <w:r w:rsidRPr="00C02DDF">
        <w:rPr>
          <w:rFonts w:ascii="Arial" w:hAnsi="Arial" w:cs="Arial"/>
        </w:rPr>
        <w:t>industr</w:t>
      </w:r>
      <w:r>
        <w:rPr>
          <w:rFonts w:ascii="Arial" w:hAnsi="Arial" w:cs="Arial"/>
        </w:rPr>
        <w:t>ies</w:t>
      </w:r>
      <w:r w:rsidRPr="00C02DDF">
        <w:rPr>
          <w:rFonts w:ascii="Arial" w:hAnsi="Arial" w:cs="Arial"/>
        </w:rPr>
        <w:t xml:space="preserve"> </w:t>
      </w:r>
      <w:r w:rsidRPr="0094710F">
        <w:rPr>
          <w:rFonts w:ascii="Arial" w:hAnsi="Arial" w:cs="Arial"/>
        </w:rPr>
        <w:t>will be the primary beneficiar</w:t>
      </w:r>
      <w:r>
        <w:rPr>
          <w:rFonts w:ascii="Arial" w:hAnsi="Arial" w:cs="Arial"/>
        </w:rPr>
        <w:t xml:space="preserve">ies </w:t>
      </w:r>
      <w:r w:rsidRPr="0094710F">
        <w:rPr>
          <w:rFonts w:ascii="Arial" w:hAnsi="Arial" w:cs="Arial"/>
        </w:rPr>
        <w:t>of the investment.</w:t>
      </w:r>
      <w:r>
        <w:rPr>
          <w:rFonts w:ascii="Arial" w:hAnsi="Arial" w:cs="Arial"/>
        </w:rPr>
        <w:t xml:space="preserve"> This analysis has focussed on impacts on the Australian sweetpotato industry.</w:t>
      </w:r>
    </w:p>
    <w:p w:rsidR="002B5A16" w:rsidRPr="0094710F" w:rsidRDefault="002B5A16" w:rsidP="00AF6856">
      <w:pPr>
        <w:spacing w:after="240"/>
        <w:rPr>
          <w:rFonts w:ascii="Arial" w:hAnsi="Arial" w:cs="Arial"/>
          <w:b/>
          <w:sz w:val="24"/>
        </w:rPr>
      </w:pPr>
      <w:r w:rsidRPr="0094710F">
        <w:rPr>
          <w:rFonts w:ascii="Arial" w:hAnsi="Arial" w:cs="Arial"/>
          <w:b/>
          <w:sz w:val="24"/>
        </w:rPr>
        <w:t>Investment Criteria</w:t>
      </w:r>
    </w:p>
    <w:p w:rsidR="002B5A16" w:rsidRPr="007E45C8" w:rsidRDefault="002B5A16" w:rsidP="00AF6856">
      <w:pPr>
        <w:spacing w:after="240"/>
        <w:rPr>
          <w:rFonts w:ascii="Arial" w:hAnsi="Arial" w:cs="Arial"/>
          <w:color w:val="000000" w:themeColor="text1"/>
        </w:rPr>
      </w:pPr>
      <w:r w:rsidRPr="00E627CD">
        <w:rPr>
          <w:rFonts w:ascii="Arial" w:hAnsi="Arial" w:cs="Arial"/>
          <w:color w:val="000000" w:themeColor="text1"/>
        </w:rPr>
        <w:t>Total funding from all sources for the project was $15.3 million (present value terms). The value of benefits was estimated at $133.1 million (present value terms). This gave an estimated net present value of $117.8 million, and a benefit-cost ratio of 8.7</w:t>
      </w:r>
      <w:r w:rsidRPr="00035385">
        <w:rPr>
          <w:rFonts w:ascii="Arial" w:hAnsi="Arial" w:cs="Arial"/>
          <w:color w:val="000000" w:themeColor="text1"/>
        </w:rPr>
        <w:t xml:space="preserve"> to</w:t>
      </w:r>
      <w:r w:rsidRPr="00404DB0">
        <w:rPr>
          <w:rFonts w:ascii="Arial" w:hAnsi="Arial" w:cs="Arial"/>
          <w:color w:val="000000" w:themeColor="text1"/>
        </w:rPr>
        <w:t xml:space="preserve"> 1.</w:t>
      </w:r>
      <w:r w:rsidRPr="007E45C8">
        <w:rPr>
          <w:rFonts w:ascii="Arial" w:hAnsi="Arial" w:cs="Arial"/>
          <w:color w:val="000000" w:themeColor="text1"/>
        </w:rPr>
        <w:t xml:space="preserve"> </w:t>
      </w:r>
    </w:p>
    <w:p w:rsidR="002B5A16" w:rsidRPr="0094710F" w:rsidRDefault="002B5A16">
      <w:pPr>
        <w:rPr>
          <w:rFonts w:ascii="Arial" w:hAnsi="Arial" w:cs="Arial"/>
          <w:b/>
          <w:sz w:val="44"/>
          <w:szCs w:val="20"/>
        </w:rPr>
      </w:pPr>
      <w:r w:rsidRPr="0094710F">
        <w:rPr>
          <w:rFonts w:ascii="Arial" w:hAnsi="Arial" w:cs="Arial"/>
        </w:rPr>
        <w:br w:type="page"/>
      </w:r>
    </w:p>
    <w:p w:rsidR="002B5A16" w:rsidRPr="00AF6856" w:rsidRDefault="002B5A16" w:rsidP="00AF6856">
      <w:pPr>
        <w:spacing w:after="240"/>
        <w:rPr>
          <w:rFonts w:ascii="Arial" w:hAnsi="Arial" w:cs="Arial"/>
          <w:b/>
          <w:sz w:val="40"/>
          <w:szCs w:val="40"/>
        </w:rPr>
      </w:pPr>
      <w:bookmarkStart w:id="454" w:name="_Toc487091258"/>
      <w:r w:rsidRPr="00AF6856">
        <w:rPr>
          <w:rFonts w:ascii="Arial" w:hAnsi="Arial" w:cs="Arial"/>
          <w:b/>
          <w:sz w:val="40"/>
          <w:szCs w:val="40"/>
        </w:rPr>
        <w:t>1. Methods</w:t>
      </w:r>
      <w:bookmarkEnd w:id="454"/>
    </w:p>
    <w:p w:rsidR="002B5A16" w:rsidRPr="0094710F" w:rsidRDefault="002B5A16" w:rsidP="00AF6856">
      <w:pPr>
        <w:spacing w:after="240"/>
        <w:rPr>
          <w:rFonts w:ascii="Arial" w:hAnsi="Arial" w:cs="Arial"/>
        </w:rPr>
      </w:pPr>
      <w:r w:rsidRPr="0094710F">
        <w:rPr>
          <w:rFonts w:ascii="Arial" w:hAnsi="Arial" w:cs="Arial"/>
        </w:rPr>
        <w:t xml:space="preserve">The evaluation approach follows general evaluation guidelines that are now well entrenched within the Australian primary industry research sector including </w:t>
      </w:r>
      <w:r>
        <w:rPr>
          <w:rFonts w:ascii="Arial" w:hAnsi="Arial" w:cs="Arial"/>
        </w:rPr>
        <w:t>Research and Development Corporations (</w:t>
      </w:r>
      <w:r w:rsidRPr="0094710F">
        <w:rPr>
          <w:rFonts w:ascii="Arial" w:hAnsi="Arial" w:cs="Arial"/>
        </w:rPr>
        <w:t>RDCs</w:t>
      </w:r>
      <w:r>
        <w:rPr>
          <w:rFonts w:ascii="Arial" w:hAnsi="Arial" w:cs="Arial"/>
        </w:rPr>
        <w:t>)</w:t>
      </w:r>
      <w:r w:rsidRPr="0094710F">
        <w:rPr>
          <w:rFonts w:ascii="Arial" w:hAnsi="Arial" w:cs="Arial"/>
        </w:rPr>
        <w:t>, Cooperative Research Centres (CRCs), State Departments of Agriculture, and some Universities. This impact assessment uses Cost-Benefit Analysis (CBA)</w:t>
      </w:r>
      <w:r>
        <w:rPr>
          <w:rFonts w:ascii="Arial" w:hAnsi="Arial" w:cs="Arial"/>
        </w:rPr>
        <w:t xml:space="preserve"> as its principal tool</w:t>
      </w:r>
      <w:r w:rsidRPr="0094710F">
        <w:rPr>
          <w:rFonts w:ascii="Arial" w:hAnsi="Arial" w:cs="Arial"/>
        </w:rPr>
        <w:t>. Th</w:t>
      </w:r>
      <w:r>
        <w:rPr>
          <w:rFonts w:ascii="Arial" w:hAnsi="Arial" w:cs="Arial"/>
        </w:rPr>
        <w:t>e</w:t>
      </w:r>
      <w:r w:rsidRPr="0094710F">
        <w:rPr>
          <w:rFonts w:ascii="Arial" w:hAnsi="Arial" w:cs="Arial"/>
        </w:rPr>
        <w:t xml:space="preserve"> </w:t>
      </w:r>
      <w:r>
        <w:rPr>
          <w:rFonts w:ascii="Arial" w:hAnsi="Arial" w:cs="Arial"/>
        </w:rPr>
        <w:t xml:space="preserve">approach included </w:t>
      </w:r>
      <w:r w:rsidRPr="0094710F">
        <w:rPr>
          <w:rFonts w:ascii="Arial" w:hAnsi="Arial" w:cs="Arial"/>
        </w:rPr>
        <w:t>both qualitative and quantitative</w:t>
      </w:r>
      <w:r>
        <w:rPr>
          <w:rFonts w:ascii="Arial" w:hAnsi="Arial" w:cs="Arial"/>
        </w:rPr>
        <w:t xml:space="preserve"> descriptions </w:t>
      </w:r>
      <w:r w:rsidRPr="0094710F">
        <w:rPr>
          <w:rFonts w:ascii="Arial" w:hAnsi="Arial" w:cs="Arial"/>
        </w:rPr>
        <w:t xml:space="preserve">that are in accord with the evaluation guidelines of the Council of Research and Development Corporations (CRRDC, 2014). </w:t>
      </w:r>
    </w:p>
    <w:p w:rsidR="002B5A16" w:rsidRPr="0094710F" w:rsidRDefault="002B5A16" w:rsidP="00AF6856">
      <w:pPr>
        <w:spacing w:after="240"/>
        <w:rPr>
          <w:rFonts w:ascii="Arial" w:hAnsi="Arial" w:cs="Arial"/>
          <w:szCs w:val="22"/>
        </w:rPr>
      </w:pPr>
      <w:r w:rsidRPr="0094710F">
        <w:rPr>
          <w:rFonts w:ascii="Arial" w:hAnsi="Arial" w:cs="Arial"/>
          <w:szCs w:val="22"/>
        </w:rPr>
        <w:t xml:space="preserve">The evaluation process involved identifying and briefly describing </w:t>
      </w:r>
      <w:r>
        <w:rPr>
          <w:rFonts w:ascii="Arial" w:hAnsi="Arial" w:cs="Arial"/>
          <w:szCs w:val="22"/>
        </w:rPr>
        <w:t xml:space="preserve">project </w:t>
      </w:r>
      <w:r w:rsidRPr="0094710F">
        <w:rPr>
          <w:rFonts w:ascii="Arial" w:hAnsi="Arial" w:cs="Arial"/>
          <w:szCs w:val="22"/>
        </w:rPr>
        <w:t>objectives, activities</w:t>
      </w:r>
      <w:r>
        <w:rPr>
          <w:rFonts w:ascii="Arial" w:hAnsi="Arial" w:cs="Arial"/>
          <w:szCs w:val="22"/>
        </w:rPr>
        <w:t xml:space="preserve"> and</w:t>
      </w:r>
      <w:r w:rsidRPr="0094710F">
        <w:rPr>
          <w:rFonts w:ascii="Arial" w:hAnsi="Arial" w:cs="Arial"/>
          <w:szCs w:val="22"/>
        </w:rPr>
        <w:t xml:space="preserve"> </w:t>
      </w:r>
      <w:r w:rsidRPr="00AF6856">
        <w:rPr>
          <w:rFonts w:ascii="Arial" w:hAnsi="Arial" w:cs="Arial"/>
        </w:rPr>
        <w:t>outputs</w:t>
      </w:r>
      <w:r w:rsidRPr="0094710F">
        <w:rPr>
          <w:rFonts w:ascii="Arial" w:hAnsi="Arial" w:cs="Arial"/>
          <w:szCs w:val="22"/>
        </w:rPr>
        <w:t>, outcomes, and impacts</w:t>
      </w:r>
      <w:r>
        <w:rPr>
          <w:rFonts w:ascii="Arial" w:hAnsi="Arial" w:cs="Arial"/>
          <w:szCs w:val="22"/>
        </w:rPr>
        <w:t>.</w:t>
      </w:r>
      <w:r w:rsidRPr="0094710F">
        <w:rPr>
          <w:rFonts w:ascii="Arial" w:hAnsi="Arial" w:cs="Arial"/>
          <w:szCs w:val="22"/>
        </w:rPr>
        <w:t xml:space="preserve"> The principal economic, environmental and social impacts are then summarised in a triple bottom line framework. </w:t>
      </w:r>
    </w:p>
    <w:p w:rsidR="002B5A16" w:rsidRPr="0094710F" w:rsidRDefault="002B5A16" w:rsidP="00AF6856">
      <w:pPr>
        <w:spacing w:after="240"/>
        <w:rPr>
          <w:rFonts w:ascii="Arial" w:hAnsi="Arial" w:cs="Arial"/>
          <w:szCs w:val="22"/>
        </w:rPr>
      </w:pPr>
      <w:r w:rsidRPr="0094710F">
        <w:rPr>
          <w:rFonts w:ascii="Arial" w:hAnsi="Arial" w:cs="Arial"/>
          <w:szCs w:val="22"/>
        </w:rPr>
        <w:t xml:space="preserve">Some, but not all, of the impacts identified </w:t>
      </w:r>
      <w:r>
        <w:rPr>
          <w:rFonts w:ascii="Arial" w:hAnsi="Arial" w:cs="Arial"/>
          <w:szCs w:val="22"/>
        </w:rPr>
        <w:t xml:space="preserve">were </w:t>
      </w:r>
      <w:r w:rsidRPr="0094710F">
        <w:rPr>
          <w:rFonts w:ascii="Arial" w:hAnsi="Arial" w:cs="Arial"/>
          <w:szCs w:val="22"/>
        </w:rPr>
        <w:t xml:space="preserve">then valued in monetary terms. </w:t>
      </w:r>
      <w:r w:rsidRPr="00F21760">
        <w:rPr>
          <w:rFonts w:ascii="Arial" w:hAnsi="Arial" w:cs="Arial"/>
          <w:szCs w:val="22"/>
        </w:rPr>
        <w:t xml:space="preserve">The decision not to value certain impacts was due either to a shortage of necessary evidence/data, a high degree </w:t>
      </w:r>
      <w:r w:rsidRPr="00AF6856">
        <w:rPr>
          <w:rFonts w:ascii="Arial" w:hAnsi="Arial" w:cs="Arial"/>
        </w:rPr>
        <w:t>of</w:t>
      </w:r>
      <w:r w:rsidRPr="00F21760">
        <w:rPr>
          <w:rFonts w:ascii="Arial" w:hAnsi="Arial" w:cs="Arial"/>
          <w:szCs w:val="22"/>
        </w:rPr>
        <w:t xml:space="preserve"> uncertainty surrounding </w:t>
      </w:r>
      <w:r>
        <w:rPr>
          <w:rFonts w:ascii="Arial" w:hAnsi="Arial" w:cs="Arial"/>
          <w:szCs w:val="22"/>
        </w:rPr>
        <w:t xml:space="preserve">the </w:t>
      </w:r>
      <w:r w:rsidRPr="00F21760">
        <w:rPr>
          <w:rFonts w:ascii="Arial" w:hAnsi="Arial" w:cs="Arial"/>
          <w:szCs w:val="22"/>
        </w:rPr>
        <w:t xml:space="preserve">potential impact, or the likely low relative significance of the benefit compared to those that were valued. The impacts valued </w:t>
      </w:r>
      <w:r>
        <w:rPr>
          <w:rFonts w:ascii="Arial" w:hAnsi="Arial" w:cs="Arial"/>
          <w:szCs w:val="22"/>
        </w:rPr>
        <w:t xml:space="preserve">therefore </w:t>
      </w:r>
      <w:r w:rsidRPr="00F21760">
        <w:rPr>
          <w:rFonts w:ascii="Arial" w:hAnsi="Arial" w:cs="Arial"/>
          <w:szCs w:val="22"/>
        </w:rPr>
        <w:t>are deemed to represent the principal benefits delivered by the project.</w:t>
      </w:r>
    </w:p>
    <w:p w:rsidR="002B5A16" w:rsidRPr="00AF6856" w:rsidRDefault="002B5A16" w:rsidP="00AF6856">
      <w:pPr>
        <w:spacing w:after="240"/>
        <w:rPr>
          <w:rFonts w:ascii="Arial" w:hAnsi="Arial" w:cs="Arial"/>
          <w:b/>
          <w:sz w:val="40"/>
          <w:szCs w:val="40"/>
        </w:rPr>
      </w:pPr>
      <w:bookmarkStart w:id="455" w:name="_Toc487091259"/>
      <w:r w:rsidRPr="00AF6856">
        <w:rPr>
          <w:rFonts w:ascii="Arial" w:hAnsi="Arial" w:cs="Arial"/>
          <w:b/>
          <w:sz w:val="40"/>
          <w:szCs w:val="40"/>
        </w:rPr>
        <w:t>2. Background and Rationale</w:t>
      </w:r>
      <w:bookmarkEnd w:id="455"/>
      <w:r w:rsidRPr="00AF6856">
        <w:rPr>
          <w:rFonts w:ascii="Arial" w:hAnsi="Arial" w:cs="Arial"/>
          <w:b/>
          <w:sz w:val="40"/>
          <w:szCs w:val="40"/>
        </w:rPr>
        <w:t xml:space="preserve"> </w:t>
      </w:r>
    </w:p>
    <w:p w:rsidR="002B5A16" w:rsidRPr="0094710F" w:rsidRDefault="002B5A16" w:rsidP="00AF6856">
      <w:pPr>
        <w:spacing w:after="240"/>
        <w:rPr>
          <w:rFonts w:ascii="Arial" w:eastAsiaTheme="majorEastAsia" w:hAnsi="Arial" w:cs="Arial"/>
          <w:b/>
          <w:bCs/>
          <w:sz w:val="24"/>
        </w:rPr>
      </w:pPr>
      <w:r w:rsidRPr="0094710F">
        <w:rPr>
          <w:rFonts w:ascii="Arial" w:eastAsiaTheme="majorEastAsia" w:hAnsi="Arial" w:cs="Arial"/>
          <w:b/>
          <w:bCs/>
          <w:sz w:val="24"/>
        </w:rPr>
        <w:t>Background</w:t>
      </w:r>
    </w:p>
    <w:p w:rsidR="002B5A16" w:rsidRDefault="002B5A16" w:rsidP="00AF6856">
      <w:pPr>
        <w:spacing w:after="240"/>
        <w:rPr>
          <w:rFonts w:ascii="Arial" w:eastAsiaTheme="majorEastAsia" w:hAnsi="Arial" w:cs="Arial"/>
          <w:bCs/>
        </w:rPr>
      </w:pPr>
      <w:r>
        <w:rPr>
          <w:rFonts w:ascii="Arial" w:eastAsiaTheme="majorEastAsia" w:hAnsi="Arial" w:cs="Arial"/>
          <w:bCs/>
        </w:rPr>
        <w:t xml:space="preserve">Fresh Australian produced sweetpotatoes are available </w:t>
      </w:r>
      <w:r w:rsidRPr="00D70F77">
        <w:rPr>
          <w:rFonts w:ascii="Arial" w:eastAsiaTheme="majorEastAsia" w:hAnsi="Arial" w:cs="Arial"/>
          <w:bCs/>
        </w:rPr>
        <w:t>all year round. Annual production in 2016 was 100,000 tonnes valued at $100 million farm gate.</w:t>
      </w:r>
      <w:r>
        <w:rPr>
          <w:rFonts w:ascii="Arial" w:eastAsiaTheme="majorEastAsia" w:hAnsi="Arial" w:cs="Arial"/>
          <w:bCs/>
        </w:rPr>
        <w:t xml:space="preserve"> Queensland (QLD) produces 70% of </w:t>
      </w:r>
      <w:r w:rsidRPr="00AF6856">
        <w:rPr>
          <w:rFonts w:ascii="Arial" w:hAnsi="Arial" w:cs="Arial"/>
          <w:szCs w:val="22"/>
        </w:rPr>
        <w:t>Australia’s</w:t>
      </w:r>
      <w:r>
        <w:rPr>
          <w:rFonts w:ascii="Arial" w:eastAsiaTheme="majorEastAsia" w:hAnsi="Arial" w:cs="Arial"/>
          <w:bCs/>
        </w:rPr>
        <w:t xml:space="preserve"> sweetpotato output with production being centred on Bundaberg. </w:t>
      </w:r>
      <w:r w:rsidRPr="007072B6">
        <w:rPr>
          <w:rFonts w:ascii="Arial" w:eastAsiaTheme="majorEastAsia" w:hAnsi="Arial" w:cs="Arial"/>
          <w:bCs/>
        </w:rPr>
        <w:t xml:space="preserve">The second major producing area is Cudgen in </w:t>
      </w:r>
      <w:r>
        <w:rPr>
          <w:rFonts w:ascii="Arial" w:eastAsiaTheme="majorEastAsia" w:hAnsi="Arial" w:cs="Arial"/>
          <w:bCs/>
        </w:rPr>
        <w:t xml:space="preserve">far </w:t>
      </w:r>
      <w:r w:rsidRPr="007072B6">
        <w:rPr>
          <w:rFonts w:ascii="Arial" w:eastAsiaTheme="majorEastAsia" w:hAnsi="Arial" w:cs="Arial"/>
          <w:bCs/>
        </w:rPr>
        <w:t>north</w:t>
      </w:r>
      <w:r>
        <w:rPr>
          <w:rFonts w:ascii="Arial" w:eastAsiaTheme="majorEastAsia" w:hAnsi="Arial" w:cs="Arial"/>
          <w:bCs/>
        </w:rPr>
        <w:t>-east</w:t>
      </w:r>
      <w:r w:rsidRPr="007072B6">
        <w:rPr>
          <w:rFonts w:ascii="Arial" w:eastAsiaTheme="majorEastAsia" w:hAnsi="Arial" w:cs="Arial"/>
          <w:bCs/>
        </w:rPr>
        <w:t>ern New South Wales</w:t>
      </w:r>
      <w:r>
        <w:rPr>
          <w:rFonts w:ascii="Arial" w:eastAsiaTheme="majorEastAsia" w:hAnsi="Arial" w:cs="Arial"/>
          <w:bCs/>
        </w:rPr>
        <w:t xml:space="preserve"> (NSW)</w:t>
      </w:r>
      <w:r w:rsidRPr="007072B6">
        <w:rPr>
          <w:rFonts w:ascii="Arial" w:eastAsiaTheme="majorEastAsia" w:hAnsi="Arial" w:cs="Arial"/>
          <w:bCs/>
        </w:rPr>
        <w:t xml:space="preserve">. </w:t>
      </w:r>
      <w:r>
        <w:rPr>
          <w:rFonts w:ascii="Arial" w:eastAsiaTheme="majorEastAsia" w:hAnsi="Arial" w:cs="Arial"/>
          <w:bCs/>
        </w:rPr>
        <w:t>Sweetpotato</w:t>
      </w:r>
      <w:r w:rsidRPr="007072B6">
        <w:rPr>
          <w:rFonts w:ascii="Arial" w:eastAsiaTheme="majorEastAsia" w:hAnsi="Arial" w:cs="Arial"/>
          <w:bCs/>
        </w:rPr>
        <w:t xml:space="preserve">es are also grown at Mareeba, Atherton and Rockhampton (QLD), Murwillumbah (NSW), </w:t>
      </w:r>
      <w:r>
        <w:rPr>
          <w:rFonts w:ascii="Arial" w:eastAsiaTheme="majorEastAsia" w:hAnsi="Arial" w:cs="Arial"/>
          <w:bCs/>
        </w:rPr>
        <w:t xml:space="preserve">and in </w:t>
      </w:r>
      <w:r w:rsidRPr="007072B6">
        <w:rPr>
          <w:rFonts w:ascii="Arial" w:eastAsiaTheme="majorEastAsia" w:hAnsi="Arial" w:cs="Arial"/>
          <w:bCs/>
        </w:rPr>
        <w:t>Perth, Carnarvon and Kununurra (W</w:t>
      </w:r>
      <w:r>
        <w:rPr>
          <w:rFonts w:ascii="Arial" w:eastAsiaTheme="majorEastAsia" w:hAnsi="Arial" w:cs="Arial"/>
          <w:bCs/>
        </w:rPr>
        <w:t xml:space="preserve">estern </w:t>
      </w:r>
      <w:r w:rsidRPr="007072B6">
        <w:rPr>
          <w:rFonts w:ascii="Arial" w:eastAsiaTheme="majorEastAsia" w:hAnsi="Arial" w:cs="Arial"/>
          <w:bCs/>
        </w:rPr>
        <w:t>A</w:t>
      </w:r>
      <w:r>
        <w:rPr>
          <w:rFonts w:ascii="Arial" w:eastAsiaTheme="majorEastAsia" w:hAnsi="Arial" w:cs="Arial"/>
          <w:bCs/>
        </w:rPr>
        <w:t>ustralia</w:t>
      </w:r>
      <w:r w:rsidRPr="007072B6">
        <w:rPr>
          <w:rFonts w:ascii="Arial" w:eastAsiaTheme="majorEastAsia" w:hAnsi="Arial" w:cs="Arial"/>
          <w:bCs/>
        </w:rPr>
        <w:t>)</w:t>
      </w:r>
      <w:r>
        <w:rPr>
          <w:rFonts w:ascii="Arial" w:eastAsiaTheme="majorEastAsia" w:hAnsi="Arial" w:cs="Arial"/>
          <w:bCs/>
        </w:rPr>
        <w:t xml:space="preserve">. </w:t>
      </w:r>
    </w:p>
    <w:p w:rsidR="002B5A16" w:rsidRDefault="002B5A16" w:rsidP="00AF6856">
      <w:pPr>
        <w:spacing w:after="240"/>
        <w:rPr>
          <w:rFonts w:ascii="Arial" w:eastAsiaTheme="majorEastAsia" w:hAnsi="Arial" w:cs="Arial"/>
          <w:bCs/>
        </w:rPr>
      </w:pPr>
      <w:r>
        <w:rPr>
          <w:rFonts w:ascii="Arial" w:eastAsiaTheme="majorEastAsia" w:hAnsi="Arial" w:cs="Arial"/>
          <w:bCs/>
        </w:rPr>
        <w:t xml:space="preserve">By 2020 sweetpotato will be the third most important vegetable grown in QLD behind tomatoes and </w:t>
      </w:r>
      <w:r w:rsidRPr="00AF6856">
        <w:rPr>
          <w:rFonts w:ascii="Arial" w:hAnsi="Arial" w:cs="Arial"/>
          <w:szCs w:val="22"/>
        </w:rPr>
        <w:t>capsicums</w:t>
      </w:r>
      <w:r>
        <w:rPr>
          <w:rFonts w:ascii="Arial" w:eastAsiaTheme="majorEastAsia" w:hAnsi="Arial" w:cs="Arial"/>
          <w:bCs/>
        </w:rPr>
        <w:t>. Sweetpotato is the only vegetable category whose retail sales are increasing. All fresh market sweetpotatoes sold in Australia are grown in Australia. A small amount of product is processed and 200 tonnes were exported in 2015. All imports are currently in processed form (e.g. chips) (Nick Macleod, Director Vegetables and Deciduous Fruit RD&amp;E, DAF, written communication, March 2017).</w:t>
      </w:r>
    </w:p>
    <w:p w:rsidR="002B5A16" w:rsidRDefault="002B5A16" w:rsidP="00AF6856">
      <w:pPr>
        <w:spacing w:after="240"/>
        <w:rPr>
          <w:rFonts w:ascii="Arial" w:eastAsiaTheme="majorEastAsia" w:hAnsi="Arial" w:cs="Arial"/>
          <w:bCs/>
        </w:rPr>
      </w:pPr>
      <w:r>
        <w:rPr>
          <w:rFonts w:ascii="Arial" w:eastAsiaTheme="majorEastAsia" w:hAnsi="Arial" w:cs="Arial"/>
          <w:bCs/>
        </w:rPr>
        <w:t xml:space="preserve">Sweetpotatoes are an essential staple of Pacific Island Communities. In Papua New Guinea (PNG) they account for 64% of the staple foods grown by weight and have a United States (US) dollar </w:t>
      </w:r>
      <w:r w:rsidRPr="00AF6856">
        <w:rPr>
          <w:rFonts w:ascii="Arial" w:hAnsi="Arial" w:cs="Arial"/>
          <w:szCs w:val="22"/>
        </w:rPr>
        <w:t>value</w:t>
      </w:r>
      <w:r>
        <w:rPr>
          <w:rFonts w:ascii="Arial" w:eastAsiaTheme="majorEastAsia" w:hAnsi="Arial" w:cs="Arial"/>
          <w:bCs/>
        </w:rPr>
        <w:t xml:space="preserve"> of $450 million per annum. Depending on the PNG region, sweetpotato occupies between 55% and 90% of the land under arable agriculture. In the Solomon Islands, sweetpotatoes have a similar prominence – with production of 280,000 tonnes worth an estimated A$40 million (Bourke 2005).</w:t>
      </w:r>
    </w:p>
    <w:p w:rsidR="002B5A16" w:rsidRPr="00113279" w:rsidRDefault="002B5A16" w:rsidP="00AF6856">
      <w:pPr>
        <w:spacing w:after="240"/>
        <w:rPr>
          <w:rFonts w:ascii="Arial" w:eastAsiaTheme="majorEastAsia" w:hAnsi="Arial" w:cs="Arial"/>
          <w:b/>
          <w:bCs/>
          <w:sz w:val="24"/>
        </w:rPr>
      </w:pPr>
      <w:r w:rsidRPr="00113279">
        <w:rPr>
          <w:rFonts w:ascii="Arial" w:eastAsiaTheme="majorEastAsia" w:hAnsi="Arial" w:cs="Arial"/>
          <w:b/>
          <w:bCs/>
          <w:sz w:val="24"/>
        </w:rPr>
        <w:t>Rationale for the Projects</w:t>
      </w:r>
    </w:p>
    <w:p w:rsidR="002B5A16" w:rsidRDefault="002B5A16" w:rsidP="00AF6856">
      <w:pPr>
        <w:spacing w:after="240"/>
        <w:rPr>
          <w:rFonts w:ascii="Arial" w:eastAsiaTheme="majorEastAsia" w:hAnsi="Arial" w:cs="Arial"/>
          <w:bCs/>
        </w:rPr>
      </w:pPr>
      <w:r>
        <w:rPr>
          <w:rFonts w:ascii="Arial" w:eastAsiaTheme="majorEastAsia" w:hAnsi="Arial" w:cs="Arial"/>
          <w:bCs/>
        </w:rPr>
        <w:t xml:space="preserve">Sweetpotato yield and quality have been in decline in both PNG and the Solomon Islands. Pests and diseases were thought to be the major cause of yield loss. Ongoing yield decline threatens food security. Pathogen Tested (PT) virus free planting material held out promise of yield gain in the Pacific and would also benefit the Australian sweetpotato industry. Improved pest control and agronomy could be married to the use of PT material. </w:t>
      </w:r>
    </w:p>
    <w:p w:rsidR="002B5A16" w:rsidRDefault="002B5A16" w:rsidP="00AF6856">
      <w:pPr>
        <w:spacing w:after="240"/>
        <w:rPr>
          <w:rFonts w:ascii="Arial" w:eastAsiaTheme="majorEastAsia" w:hAnsi="Arial" w:cs="Arial"/>
          <w:bCs/>
        </w:rPr>
      </w:pPr>
      <w:r>
        <w:rPr>
          <w:rFonts w:ascii="Arial" w:eastAsiaTheme="majorEastAsia" w:hAnsi="Arial" w:cs="Arial"/>
          <w:bCs/>
        </w:rPr>
        <w:t xml:space="preserve">PNG and the Solomon Islands have many sweetpotato varieties. </w:t>
      </w:r>
      <w:r w:rsidRPr="00D35605">
        <w:rPr>
          <w:rFonts w:ascii="Arial" w:eastAsiaTheme="majorEastAsia" w:hAnsi="Arial" w:cs="Arial"/>
          <w:bCs/>
        </w:rPr>
        <w:t>The Australian industry is dominated by gold type varieties with Bellevue, Beauregard and Orleans holding a 90% market share</w:t>
      </w:r>
      <w:r>
        <w:rPr>
          <w:rFonts w:ascii="Arial" w:eastAsiaTheme="majorEastAsia" w:hAnsi="Arial" w:cs="Arial"/>
          <w:bCs/>
        </w:rPr>
        <w:t>. The other significant Australian variety is ‘Northern Star’ a purple skinned white fleshed variety with approximately 5% market share that was tested and released as a part of a DAF project included in this cluster. Consumer research in Australia shows there is latent demand for alternative varieties with different coloured flesh that are smooth skinned and easy to peel.</w:t>
      </w:r>
    </w:p>
    <w:p w:rsidR="002B5A16" w:rsidRDefault="002B5A16" w:rsidP="00AF6856">
      <w:pPr>
        <w:spacing w:after="240"/>
        <w:rPr>
          <w:rFonts w:ascii="Arial" w:eastAsiaTheme="majorEastAsia" w:hAnsi="Arial" w:cs="Arial"/>
          <w:bCs/>
        </w:rPr>
      </w:pPr>
      <w:r w:rsidRPr="00CF6ECF">
        <w:rPr>
          <w:rFonts w:ascii="Arial" w:eastAsiaTheme="majorEastAsia" w:hAnsi="Arial" w:cs="Arial"/>
          <w:bCs/>
        </w:rPr>
        <w:t>The projects have been funded by DAF and a range of project partners over the period 1998 to 2018.</w:t>
      </w:r>
      <w:r>
        <w:rPr>
          <w:rFonts w:ascii="Arial" w:eastAsiaTheme="majorEastAsia" w:hAnsi="Arial" w:cs="Arial"/>
          <w:bCs/>
        </w:rPr>
        <w:t>The partners included various horticultural industry funding organisations including Horticulture Innovation Australia (HIA) and i</w:t>
      </w:r>
      <w:r w:rsidRPr="006B1F35">
        <w:rPr>
          <w:rFonts w:ascii="Arial" w:eastAsiaTheme="majorEastAsia" w:hAnsi="Arial" w:cs="Arial"/>
          <w:bCs/>
        </w:rPr>
        <w:t>ts antecedents</w:t>
      </w:r>
      <w:r>
        <w:rPr>
          <w:rFonts w:ascii="Arial" w:eastAsiaTheme="majorEastAsia" w:hAnsi="Arial" w:cs="Arial"/>
          <w:bCs/>
        </w:rPr>
        <w:t xml:space="preserve">, as well as the Australian Centre for International Agricultural Research (ACIAR). </w:t>
      </w:r>
    </w:p>
    <w:p w:rsidR="002B5A16" w:rsidRPr="00AF6856" w:rsidRDefault="002B5A16" w:rsidP="00AF6856">
      <w:pPr>
        <w:spacing w:after="240"/>
        <w:rPr>
          <w:rFonts w:ascii="Arial" w:hAnsi="Arial" w:cs="Arial"/>
          <w:b/>
          <w:sz w:val="40"/>
          <w:szCs w:val="40"/>
        </w:rPr>
      </w:pPr>
      <w:bookmarkStart w:id="456" w:name="_Toc487091260"/>
      <w:r w:rsidRPr="00AF6856">
        <w:rPr>
          <w:rFonts w:ascii="Arial" w:hAnsi="Arial" w:cs="Arial"/>
          <w:b/>
          <w:sz w:val="40"/>
          <w:szCs w:val="40"/>
        </w:rPr>
        <w:t>3. Project Details</w:t>
      </w:r>
      <w:bookmarkEnd w:id="456"/>
      <w:r w:rsidRPr="00AF6856">
        <w:rPr>
          <w:rFonts w:ascii="Arial" w:hAnsi="Arial" w:cs="Arial"/>
          <w:b/>
          <w:sz w:val="40"/>
          <w:szCs w:val="40"/>
        </w:rPr>
        <w:t xml:space="preserve"> </w:t>
      </w:r>
    </w:p>
    <w:p w:rsidR="002B5A16" w:rsidRPr="00693606" w:rsidRDefault="002B5A16" w:rsidP="00AF6856">
      <w:pPr>
        <w:spacing w:after="240"/>
        <w:rPr>
          <w:rFonts w:ascii="Arial" w:eastAsiaTheme="majorEastAsia" w:hAnsi="Arial" w:cs="Arial"/>
          <w:bCs/>
        </w:rPr>
      </w:pPr>
      <w:r w:rsidRPr="00693606">
        <w:rPr>
          <w:rFonts w:ascii="Arial" w:eastAsiaTheme="majorEastAsia" w:hAnsi="Arial" w:cs="Arial"/>
          <w:bCs/>
        </w:rPr>
        <w:t>A summary of details on the eleven projects that make up the project cluster is provided in Table 1.</w:t>
      </w:r>
    </w:p>
    <w:p w:rsidR="002B5A16" w:rsidRPr="00AF6856" w:rsidRDefault="002B5A16" w:rsidP="00AF6856">
      <w:pPr>
        <w:pStyle w:val="Caption"/>
        <w:spacing w:after="240"/>
        <w:jc w:val="center"/>
        <w:rPr>
          <w:rFonts w:ascii="Arial" w:hAnsi="Arial"/>
          <w:b w:val="0"/>
          <w:i/>
          <w:color w:val="000000" w:themeColor="text1"/>
          <w:sz w:val="22"/>
          <w:szCs w:val="22"/>
        </w:rPr>
      </w:pPr>
      <w:bookmarkStart w:id="457" w:name="_Toc468972255"/>
      <w:bookmarkStart w:id="458" w:name="_Toc487091275"/>
      <w:r w:rsidRPr="00AF6856">
        <w:rPr>
          <w:rFonts w:ascii="Arial" w:hAnsi="Arial"/>
          <w:b w:val="0"/>
          <w:color w:val="000000" w:themeColor="text1"/>
          <w:sz w:val="22"/>
          <w:szCs w:val="22"/>
        </w:rPr>
        <w:t xml:space="preserve">Table </w:t>
      </w:r>
      <w:r w:rsidR="00913E1D">
        <w:rPr>
          <w:rFonts w:ascii="Arial" w:hAnsi="Arial"/>
          <w:b w:val="0"/>
          <w:i/>
          <w:color w:val="000000" w:themeColor="text1"/>
          <w:sz w:val="22"/>
          <w:szCs w:val="22"/>
        </w:rPr>
        <w:t>1</w:t>
      </w:r>
      <w:r w:rsidRPr="00AF6856">
        <w:rPr>
          <w:rFonts w:ascii="Arial" w:hAnsi="Arial"/>
          <w:b w:val="0"/>
          <w:color w:val="000000" w:themeColor="text1"/>
          <w:sz w:val="22"/>
          <w:szCs w:val="22"/>
        </w:rPr>
        <w:t>: Summary of the Projects Subjected to the Impact Assessment</w:t>
      </w:r>
      <w:bookmarkEnd w:id="457"/>
      <w:bookmarkEnd w:id="458"/>
    </w:p>
    <w:tbl>
      <w:tblPr>
        <w:tblStyle w:val="TableGrid"/>
        <w:tblW w:w="9370" w:type="dxa"/>
        <w:jc w:val="center"/>
        <w:tblLayout w:type="fixed"/>
        <w:tblLook w:val="04A0" w:firstRow="1" w:lastRow="0" w:firstColumn="1" w:lastColumn="0" w:noHBand="0" w:noVBand="1"/>
      </w:tblPr>
      <w:tblGrid>
        <w:gridCol w:w="1354"/>
        <w:gridCol w:w="5464"/>
        <w:gridCol w:w="1276"/>
        <w:gridCol w:w="1276"/>
      </w:tblGrid>
      <w:tr w:rsidR="002B5A16" w:rsidRPr="00CB08AA" w:rsidTr="002B5A16">
        <w:trPr>
          <w:trHeight w:val="664"/>
          <w:jc w:val="center"/>
        </w:trPr>
        <w:tc>
          <w:tcPr>
            <w:tcW w:w="1354" w:type="dxa"/>
            <w:noWrap/>
            <w:hideMark/>
          </w:tcPr>
          <w:p w:rsidR="002B5A16" w:rsidRPr="00CB08AA" w:rsidRDefault="002B5A16" w:rsidP="002B5A16">
            <w:pPr>
              <w:rPr>
                <w:rFonts w:ascii="Arial" w:hAnsi="Arial" w:cs="Arial"/>
                <w:b/>
                <w:bCs/>
                <w:sz w:val="18"/>
                <w:szCs w:val="18"/>
              </w:rPr>
            </w:pPr>
            <w:r w:rsidRPr="00CB08AA">
              <w:rPr>
                <w:rFonts w:ascii="Arial" w:hAnsi="Arial" w:cs="Arial"/>
                <w:b/>
                <w:bCs/>
                <w:sz w:val="18"/>
                <w:szCs w:val="18"/>
              </w:rPr>
              <w:t>Project ID</w:t>
            </w:r>
          </w:p>
        </w:tc>
        <w:tc>
          <w:tcPr>
            <w:tcW w:w="5464" w:type="dxa"/>
            <w:noWrap/>
            <w:hideMark/>
          </w:tcPr>
          <w:p w:rsidR="002B5A16" w:rsidRPr="00CB08AA" w:rsidRDefault="002B5A16" w:rsidP="002B5A16">
            <w:pPr>
              <w:jc w:val="center"/>
              <w:rPr>
                <w:rFonts w:ascii="Arial" w:hAnsi="Arial" w:cs="Arial"/>
                <w:b/>
                <w:bCs/>
                <w:sz w:val="18"/>
                <w:szCs w:val="18"/>
              </w:rPr>
            </w:pPr>
            <w:r w:rsidRPr="00CB08AA">
              <w:rPr>
                <w:rFonts w:ascii="Arial" w:hAnsi="Arial" w:cs="Arial"/>
                <w:b/>
                <w:bCs/>
                <w:sz w:val="18"/>
                <w:szCs w:val="18"/>
              </w:rPr>
              <w:t>Project Name</w:t>
            </w:r>
          </w:p>
        </w:tc>
        <w:tc>
          <w:tcPr>
            <w:tcW w:w="1276" w:type="dxa"/>
          </w:tcPr>
          <w:p w:rsidR="002B5A16" w:rsidRPr="00CB08AA" w:rsidRDefault="002B5A16" w:rsidP="002B5A16">
            <w:pPr>
              <w:jc w:val="center"/>
              <w:rPr>
                <w:rFonts w:ascii="Arial" w:hAnsi="Arial" w:cs="Arial"/>
                <w:b/>
                <w:bCs/>
                <w:sz w:val="18"/>
                <w:szCs w:val="18"/>
              </w:rPr>
            </w:pPr>
            <w:r>
              <w:rPr>
                <w:rFonts w:ascii="Arial" w:hAnsi="Arial" w:cs="Arial"/>
                <w:b/>
                <w:bCs/>
                <w:sz w:val="18"/>
                <w:szCs w:val="18"/>
              </w:rPr>
              <w:t>Start Date</w:t>
            </w:r>
          </w:p>
        </w:tc>
        <w:tc>
          <w:tcPr>
            <w:tcW w:w="1276" w:type="dxa"/>
          </w:tcPr>
          <w:p w:rsidR="002B5A16" w:rsidRPr="00CB08AA" w:rsidRDefault="002B5A16" w:rsidP="002B5A16">
            <w:pPr>
              <w:jc w:val="center"/>
              <w:rPr>
                <w:rFonts w:ascii="Arial" w:hAnsi="Arial" w:cs="Arial"/>
                <w:b/>
                <w:bCs/>
                <w:sz w:val="18"/>
                <w:szCs w:val="18"/>
              </w:rPr>
            </w:pPr>
            <w:r>
              <w:rPr>
                <w:rFonts w:ascii="Arial" w:hAnsi="Arial" w:cs="Arial"/>
                <w:b/>
                <w:bCs/>
                <w:sz w:val="18"/>
                <w:szCs w:val="18"/>
              </w:rPr>
              <w:t>Finish Date</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VG97023</w:t>
            </w:r>
          </w:p>
        </w:tc>
        <w:tc>
          <w:tcPr>
            <w:tcW w:w="5464" w:type="dxa"/>
            <w:noWrap/>
          </w:tcPr>
          <w:p w:rsidR="002B5A16" w:rsidRPr="00DE69EC" w:rsidRDefault="002B5A16" w:rsidP="002B5A16">
            <w:pPr>
              <w:rPr>
                <w:rFonts w:ascii="Arial" w:hAnsi="Arial" w:cs="Arial"/>
                <w:sz w:val="22"/>
                <w:szCs w:val="22"/>
              </w:rPr>
            </w:pPr>
            <w:r>
              <w:rPr>
                <w:rFonts w:ascii="Arial" w:hAnsi="Arial" w:cs="Arial"/>
                <w:sz w:val="22"/>
                <w:szCs w:val="22"/>
              </w:rPr>
              <w:t>Sweetpotato</w:t>
            </w:r>
            <w:r w:rsidRPr="00DE69EC">
              <w:rPr>
                <w:rFonts w:ascii="Arial" w:hAnsi="Arial" w:cs="Arial"/>
                <w:sz w:val="22"/>
                <w:szCs w:val="22"/>
              </w:rPr>
              <w:t xml:space="preserve"> </w:t>
            </w:r>
            <w:r>
              <w:rPr>
                <w:rFonts w:ascii="Arial" w:hAnsi="Arial" w:cs="Arial"/>
                <w:sz w:val="22"/>
                <w:szCs w:val="22"/>
              </w:rPr>
              <w:t>v</w:t>
            </w:r>
            <w:r w:rsidRPr="00DE69EC">
              <w:rPr>
                <w:rFonts w:ascii="Arial" w:hAnsi="Arial" w:cs="Arial"/>
                <w:sz w:val="22"/>
                <w:szCs w:val="22"/>
              </w:rPr>
              <w:t>ariety improvement</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 xml:space="preserve">July 1997 </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July 2000</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VG01010</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Improving </w:t>
            </w:r>
            <w:r>
              <w:rPr>
                <w:rFonts w:ascii="Arial" w:hAnsi="Arial" w:cs="Arial"/>
                <w:sz w:val="22"/>
                <w:szCs w:val="22"/>
              </w:rPr>
              <w:t>sweetpotato</w:t>
            </w:r>
            <w:r w:rsidRPr="00DE69EC">
              <w:rPr>
                <w:rFonts w:ascii="Arial" w:hAnsi="Arial" w:cs="Arial"/>
                <w:sz w:val="22"/>
                <w:szCs w:val="22"/>
              </w:rPr>
              <w:t xml:space="preserve"> agronomy to meet new market opportunities</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July 2001</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June 2005</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VG02114</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Development of smooth skinned easy to peel </w:t>
            </w:r>
            <w:r>
              <w:rPr>
                <w:rFonts w:ascii="Arial" w:hAnsi="Arial" w:cs="Arial"/>
                <w:sz w:val="22"/>
                <w:szCs w:val="22"/>
              </w:rPr>
              <w:t>sweetpotato</w:t>
            </w:r>
            <w:r w:rsidRPr="00DE69EC">
              <w:rPr>
                <w:rFonts w:ascii="Arial" w:hAnsi="Arial" w:cs="Arial"/>
                <w:sz w:val="22"/>
                <w:szCs w:val="22"/>
              </w:rPr>
              <w:t xml:space="preserve"> using smart state technology</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Dec 2002</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Mar 2006</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VG05037</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Improving the management of </w:t>
            </w:r>
            <w:r>
              <w:rPr>
                <w:rFonts w:ascii="Arial" w:hAnsi="Arial" w:cs="Arial"/>
                <w:sz w:val="22"/>
                <w:szCs w:val="22"/>
              </w:rPr>
              <w:t>sweetpotato</w:t>
            </w:r>
            <w:r w:rsidRPr="00DE69EC">
              <w:rPr>
                <w:rFonts w:ascii="Arial" w:hAnsi="Arial" w:cs="Arial"/>
                <w:sz w:val="22"/>
                <w:szCs w:val="22"/>
              </w:rPr>
              <w:t xml:space="preserve"> soil insect pests</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July 2005</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Nov 2009</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CP2004-071</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Reducing pest and disease related yield decline in selected Papua New Guinea (PNG) </w:t>
            </w:r>
            <w:r>
              <w:rPr>
                <w:rFonts w:ascii="Arial" w:hAnsi="Arial" w:cs="Arial"/>
                <w:sz w:val="22"/>
                <w:szCs w:val="22"/>
              </w:rPr>
              <w:t>sweetpotato</w:t>
            </w:r>
            <w:r w:rsidRPr="00DE69EC">
              <w:rPr>
                <w:rFonts w:ascii="Arial" w:hAnsi="Arial" w:cs="Arial"/>
                <w:sz w:val="22"/>
                <w:szCs w:val="22"/>
              </w:rPr>
              <w:t xml:space="preserve"> production systems</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Apr 2006</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Mar 2010</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CP2005-134</w:t>
            </w:r>
          </w:p>
        </w:tc>
        <w:tc>
          <w:tcPr>
            <w:tcW w:w="5464" w:type="dxa"/>
            <w:noWrap/>
          </w:tcPr>
          <w:p w:rsidR="002B5A16" w:rsidRPr="00DE69EC" w:rsidRDefault="002B5A16" w:rsidP="002B5A16">
            <w:pPr>
              <w:rPr>
                <w:rFonts w:ascii="Arial" w:hAnsi="Arial" w:cs="Arial"/>
                <w:sz w:val="22"/>
                <w:szCs w:val="22"/>
              </w:rPr>
            </w:pPr>
            <w:bookmarkStart w:id="459" w:name="OLE_LINK1"/>
            <w:r w:rsidRPr="00DE69EC">
              <w:rPr>
                <w:rFonts w:ascii="Arial" w:hAnsi="Arial" w:cs="Arial"/>
                <w:sz w:val="22"/>
                <w:szCs w:val="22"/>
              </w:rPr>
              <w:t xml:space="preserve">The use of pathogen tested planting materials to improve sustainable </w:t>
            </w:r>
            <w:r>
              <w:rPr>
                <w:rFonts w:ascii="Arial" w:hAnsi="Arial" w:cs="Arial"/>
                <w:sz w:val="22"/>
                <w:szCs w:val="22"/>
              </w:rPr>
              <w:t>sweetpotato</w:t>
            </w:r>
            <w:r w:rsidRPr="00DE69EC">
              <w:rPr>
                <w:rFonts w:ascii="Arial" w:hAnsi="Arial" w:cs="Arial"/>
                <w:sz w:val="22"/>
                <w:szCs w:val="22"/>
              </w:rPr>
              <w:t xml:space="preserve"> production in </w:t>
            </w:r>
            <w:bookmarkEnd w:id="459"/>
            <w:r w:rsidRPr="00DE69EC">
              <w:rPr>
                <w:rFonts w:ascii="Arial" w:hAnsi="Arial" w:cs="Arial"/>
                <w:sz w:val="22"/>
                <w:szCs w:val="22"/>
              </w:rPr>
              <w:t>Solomon Islands and PNG</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Sept 2006</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Aug 2010</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08-14329</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Efficacy of Oxamyl for control root knot nematode in </w:t>
            </w:r>
            <w:r>
              <w:rPr>
                <w:rFonts w:ascii="Arial" w:hAnsi="Arial" w:cs="Arial"/>
                <w:sz w:val="22"/>
                <w:szCs w:val="22"/>
              </w:rPr>
              <w:t>sweetpotato</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Sept 2008</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Feb 2009</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VG09009</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Evaluating </w:t>
            </w:r>
            <w:r>
              <w:rPr>
                <w:rFonts w:ascii="Arial" w:hAnsi="Arial" w:cs="Arial"/>
                <w:sz w:val="22"/>
                <w:szCs w:val="22"/>
              </w:rPr>
              <w:t>sweetpotato</w:t>
            </w:r>
            <w:r w:rsidRPr="00DE69EC">
              <w:rPr>
                <w:rFonts w:ascii="Arial" w:hAnsi="Arial" w:cs="Arial"/>
                <w:sz w:val="22"/>
                <w:szCs w:val="22"/>
              </w:rPr>
              <w:t xml:space="preserve"> varieties to meet market needs</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Jan 2010</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Dec 2013</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VG09052</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Integration of crop and soil insect management in </w:t>
            </w:r>
            <w:r>
              <w:rPr>
                <w:rFonts w:ascii="Arial" w:hAnsi="Arial" w:cs="Arial"/>
                <w:sz w:val="22"/>
                <w:szCs w:val="22"/>
              </w:rPr>
              <w:t>sweetpotato</w:t>
            </w:r>
            <w:r w:rsidRPr="00DE69EC">
              <w:rPr>
                <w:rFonts w:ascii="Arial" w:hAnsi="Arial" w:cs="Arial"/>
                <w:sz w:val="22"/>
                <w:szCs w:val="22"/>
              </w:rPr>
              <w:t>es</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July 2010</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Jan 2014</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PC2011-053</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Identifying appropriate strategies for reducing virus and weevil losses in </w:t>
            </w:r>
            <w:r>
              <w:rPr>
                <w:rFonts w:ascii="Arial" w:hAnsi="Arial" w:cs="Arial"/>
                <w:sz w:val="22"/>
                <w:szCs w:val="22"/>
              </w:rPr>
              <w:t>sweetpotato</w:t>
            </w:r>
            <w:r w:rsidRPr="00DE69EC">
              <w:rPr>
                <w:rFonts w:ascii="Arial" w:hAnsi="Arial" w:cs="Arial"/>
                <w:sz w:val="22"/>
                <w:szCs w:val="22"/>
              </w:rPr>
              <w:t xml:space="preserve"> production systems in PNG and Australia</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Sept 2012</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Jan 2015</w:t>
            </w:r>
          </w:p>
        </w:tc>
      </w:tr>
      <w:tr w:rsidR="002B5A16" w:rsidRPr="00DE69EC" w:rsidTr="002B5A16">
        <w:trPr>
          <w:trHeight w:val="20"/>
          <w:jc w:val="center"/>
        </w:trPr>
        <w:tc>
          <w:tcPr>
            <w:tcW w:w="1354" w:type="dxa"/>
            <w:noWrap/>
          </w:tcPr>
          <w:p w:rsidR="002B5A16" w:rsidRPr="00DE69EC" w:rsidRDefault="002B5A16" w:rsidP="002B5A16">
            <w:pPr>
              <w:rPr>
                <w:rFonts w:ascii="Arial" w:hAnsi="Arial" w:cs="Arial"/>
                <w:sz w:val="22"/>
                <w:szCs w:val="22"/>
              </w:rPr>
            </w:pPr>
            <w:r w:rsidRPr="00DE69EC">
              <w:rPr>
                <w:rFonts w:ascii="Arial" w:hAnsi="Arial" w:cs="Arial"/>
                <w:sz w:val="22"/>
                <w:szCs w:val="22"/>
              </w:rPr>
              <w:t>VG13004</w:t>
            </w:r>
          </w:p>
        </w:tc>
        <w:tc>
          <w:tcPr>
            <w:tcW w:w="5464" w:type="dxa"/>
            <w:noWrap/>
          </w:tcPr>
          <w:p w:rsidR="002B5A16" w:rsidRPr="00DE69EC" w:rsidRDefault="002B5A16" w:rsidP="002B5A16">
            <w:pPr>
              <w:rPr>
                <w:rFonts w:ascii="Arial" w:hAnsi="Arial" w:cs="Arial"/>
                <w:sz w:val="22"/>
                <w:szCs w:val="22"/>
              </w:rPr>
            </w:pPr>
            <w:r w:rsidRPr="00DE69EC">
              <w:rPr>
                <w:rFonts w:ascii="Arial" w:hAnsi="Arial" w:cs="Arial"/>
                <w:sz w:val="22"/>
                <w:szCs w:val="22"/>
              </w:rPr>
              <w:t xml:space="preserve">Innovating new virus diagnostics and planting bed management in the Australian </w:t>
            </w:r>
            <w:r>
              <w:rPr>
                <w:rFonts w:ascii="Arial" w:hAnsi="Arial" w:cs="Arial"/>
                <w:sz w:val="22"/>
                <w:szCs w:val="22"/>
              </w:rPr>
              <w:t>Sweetpotato</w:t>
            </w:r>
            <w:r w:rsidRPr="00DE69EC">
              <w:rPr>
                <w:rFonts w:ascii="Arial" w:hAnsi="Arial" w:cs="Arial"/>
                <w:sz w:val="22"/>
                <w:szCs w:val="22"/>
              </w:rPr>
              <w:t xml:space="preserve"> Industry</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Feb 2014</w:t>
            </w:r>
          </w:p>
        </w:tc>
        <w:tc>
          <w:tcPr>
            <w:tcW w:w="1276" w:type="dxa"/>
          </w:tcPr>
          <w:p w:rsidR="002B5A16" w:rsidRPr="00DE69EC" w:rsidRDefault="002B5A16" w:rsidP="002B5A16">
            <w:pPr>
              <w:rPr>
                <w:rFonts w:ascii="Arial" w:hAnsi="Arial" w:cs="Arial"/>
                <w:sz w:val="22"/>
                <w:szCs w:val="22"/>
              </w:rPr>
            </w:pPr>
            <w:r w:rsidRPr="00DE69EC">
              <w:rPr>
                <w:rFonts w:ascii="Arial" w:hAnsi="Arial" w:cs="Arial"/>
                <w:sz w:val="22"/>
                <w:szCs w:val="22"/>
              </w:rPr>
              <w:t>Mar 2018</w:t>
            </w:r>
          </w:p>
        </w:tc>
      </w:tr>
    </w:tbl>
    <w:p w:rsidR="002B5A16" w:rsidRPr="00FF1FCD" w:rsidRDefault="002B5A16" w:rsidP="002B5A16">
      <w:pPr>
        <w:jc w:val="center"/>
        <w:rPr>
          <w:rFonts w:ascii="Arial" w:eastAsiaTheme="majorEastAsia" w:hAnsi="Arial" w:cs="Arial"/>
          <w:bCs/>
        </w:rPr>
      </w:pPr>
      <w:r w:rsidRPr="00FF1FCD">
        <w:rPr>
          <w:rFonts w:ascii="Arial" w:eastAsiaTheme="majorEastAsia" w:hAnsi="Arial" w:cs="Arial"/>
          <w:bCs/>
        </w:rPr>
        <w:t>Source: Department of Agriculture and Fisheries, Queensland</w:t>
      </w:r>
    </w:p>
    <w:p w:rsidR="002B5A16" w:rsidRDefault="002B5A16" w:rsidP="002B5A16">
      <w:pPr>
        <w:rPr>
          <w:rFonts w:ascii="Arial" w:eastAsiaTheme="majorEastAsia" w:hAnsi="Arial" w:cs="Arial"/>
          <w:b/>
          <w:bCs/>
          <w:sz w:val="24"/>
        </w:rPr>
      </w:pPr>
    </w:p>
    <w:p w:rsidR="00AF6856" w:rsidRDefault="00AF6856" w:rsidP="00AF6856">
      <w:pPr>
        <w:spacing w:after="240"/>
        <w:rPr>
          <w:rFonts w:ascii="Arial" w:eastAsiaTheme="majorEastAsia" w:hAnsi="Arial" w:cs="Arial"/>
          <w:b/>
          <w:bCs/>
          <w:sz w:val="24"/>
        </w:rPr>
      </w:pPr>
    </w:p>
    <w:p w:rsidR="00AF6856" w:rsidRDefault="00AF6856" w:rsidP="00AF6856">
      <w:pPr>
        <w:spacing w:after="240"/>
        <w:rPr>
          <w:rFonts w:ascii="Arial" w:eastAsiaTheme="majorEastAsia" w:hAnsi="Arial" w:cs="Arial"/>
          <w:b/>
          <w:bCs/>
          <w:sz w:val="24"/>
        </w:rPr>
      </w:pPr>
    </w:p>
    <w:p w:rsidR="00AF6856" w:rsidRDefault="00AF6856" w:rsidP="00AF6856">
      <w:pPr>
        <w:spacing w:after="240"/>
        <w:rPr>
          <w:rFonts w:ascii="Arial" w:eastAsiaTheme="majorEastAsia" w:hAnsi="Arial" w:cs="Arial"/>
          <w:b/>
          <w:bCs/>
          <w:sz w:val="24"/>
        </w:rPr>
      </w:pPr>
    </w:p>
    <w:p w:rsidR="002B5A16" w:rsidRPr="00F91146" w:rsidRDefault="002B5A16" w:rsidP="00AF6856">
      <w:pPr>
        <w:spacing w:after="240"/>
        <w:rPr>
          <w:rFonts w:ascii="Arial" w:eastAsiaTheme="majorEastAsia" w:hAnsi="Arial" w:cs="Arial"/>
          <w:b/>
          <w:bCs/>
          <w:sz w:val="24"/>
        </w:rPr>
      </w:pPr>
      <w:r w:rsidRPr="00F91146">
        <w:rPr>
          <w:rFonts w:ascii="Arial" w:eastAsiaTheme="majorEastAsia" w:hAnsi="Arial" w:cs="Arial"/>
          <w:b/>
          <w:bCs/>
          <w:sz w:val="24"/>
        </w:rPr>
        <w:t xml:space="preserve">Logical Framework </w:t>
      </w:r>
    </w:p>
    <w:p w:rsidR="002B5A16" w:rsidRDefault="002B5A16" w:rsidP="00AF6856">
      <w:pPr>
        <w:spacing w:after="240"/>
        <w:rPr>
          <w:rFonts w:ascii="Arial" w:eastAsiaTheme="majorEastAsia" w:hAnsi="Arial" w:cs="Arial"/>
          <w:bCs/>
        </w:rPr>
      </w:pPr>
      <w:r w:rsidRPr="00E444DF">
        <w:rPr>
          <w:rFonts w:ascii="Arial" w:eastAsiaTheme="majorEastAsia" w:hAnsi="Arial" w:cs="Arial"/>
          <w:bCs/>
        </w:rPr>
        <w:t>Tables 2 to 12</w:t>
      </w:r>
      <w:r>
        <w:rPr>
          <w:rFonts w:ascii="Arial" w:eastAsiaTheme="majorEastAsia" w:hAnsi="Arial" w:cs="Arial"/>
          <w:bCs/>
        </w:rPr>
        <w:t xml:space="preserve"> </w:t>
      </w:r>
      <w:r w:rsidRPr="00D04886">
        <w:rPr>
          <w:rFonts w:ascii="Arial" w:eastAsiaTheme="majorEastAsia" w:hAnsi="Arial" w:cs="Arial"/>
          <w:bCs/>
        </w:rPr>
        <w:t xml:space="preserve">provide a description of the </w:t>
      </w:r>
      <w:r>
        <w:rPr>
          <w:rFonts w:ascii="Arial" w:eastAsiaTheme="majorEastAsia" w:hAnsi="Arial" w:cs="Arial"/>
          <w:bCs/>
        </w:rPr>
        <w:t xml:space="preserve">11 projects in a </w:t>
      </w:r>
      <w:r w:rsidRPr="00D04886">
        <w:rPr>
          <w:rFonts w:ascii="Arial" w:eastAsiaTheme="majorEastAsia" w:hAnsi="Arial" w:cs="Arial"/>
          <w:bCs/>
        </w:rPr>
        <w:t xml:space="preserve">logical framework. </w:t>
      </w:r>
    </w:p>
    <w:p w:rsidR="002B5A16" w:rsidRPr="007839E6" w:rsidRDefault="002B5A16" w:rsidP="00AF6856">
      <w:pPr>
        <w:spacing w:after="240"/>
        <w:jc w:val="center"/>
        <w:rPr>
          <w:rFonts w:ascii="Arial" w:hAnsi="Arial" w:cs="Arial"/>
          <w:i/>
          <w:color w:val="000000" w:themeColor="text1"/>
        </w:rPr>
      </w:pPr>
      <w:bookmarkStart w:id="460" w:name="_Toc487091276"/>
      <w:r w:rsidRPr="000B39A4">
        <w:rPr>
          <w:rFonts w:ascii="Arial" w:hAnsi="Arial" w:cs="Arial"/>
          <w:color w:val="000000" w:themeColor="text1"/>
        </w:rPr>
        <w:t xml:space="preserve">Table </w:t>
      </w:r>
      <w:r w:rsidR="00913E1D">
        <w:rPr>
          <w:rFonts w:ascii="Arial" w:hAnsi="Arial" w:cs="Arial"/>
          <w:color w:val="000000" w:themeColor="text1"/>
        </w:rPr>
        <w:t>2</w:t>
      </w:r>
      <w:r w:rsidRPr="00CD1F55">
        <w:rPr>
          <w:rFonts w:ascii="Arial" w:hAnsi="Arial" w:cs="Arial"/>
          <w:color w:val="000000" w:themeColor="text1"/>
        </w:rPr>
        <w:t>: Logical Framework for VG97023</w:t>
      </w:r>
      <w:bookmarkEnd w:id="460"/>
    </w:p>
    <w:tbl>
      <w:tblPr>
        <w:tblStyle w:val="TableGrid"/>
        <w:tblW w:w="9478" w:type="dxa"/>
        <w:jc w:val="center"/>
        <w:tblLook w:val="04A0" w:firstRow="1" w:lastRow="0" w:firstColumn="1" w:lastColumn="0" w:noHBand="0" w:noVBand="1"/>
      </w:tblPr>
      <w:tblGrid>
        <w:gridCol w:w="1762"/>
        <w:gridCol w:w="7716"/>
      </w:tblGrid>
      <w:tr w:rsidR="002B5A16" w:rsidRPr="00972E5A" w:rsidTr="00AF6856">
        <w:trPr>
          <w:trHeight w:val="367"/>
          <w:jc w:val="center"/>
        </w:trPr>
        <w:tc>
          <w:tcPr>
            <w:tcW w:w="9478" w:type="dxa"/>
            <w:gridSpan w:val="2"/>
            <w:shd w:val="clear" w:color="auto" w:fill="D9D9D9" w:themeFill="background1" w:themeFillShade="D9"/>
          </w:tcPr>
          <w:p w:rsidR="002B5A16" w:rsidRPr="00FD13F9" w:rsidRDefault="002B5A16" w:rsidP="002B5A16">
            <w:pPr>
              <w:tabs>
                <w:tab w:val="left" w:pos="1620"/>
                <w:tab w:val="left" w:pos="10440"/>
              </w:tabs>
              <w:ind w:left="5"/>
              <w:rPr>
                <w:rFonts w:ascii="Arial" w:hAnsi="Arial" w:cs="Arial"/>
                <w:sz w:val="22"/>
                <w:szCs w:val="22"/>
              </w:rPr>
            </w:pPr>
            <w:r w:rsidRPr="00FD13F9">
              <w:rPr>
                <w:rFonts w:ascii="Arial" w:hAnsi="Arial" w:cs="Arial"/>
                <w:sz w:val="22"/>
                <w:szCs w:val="18"/>
              </w:rPr>
              <w:t>VG</w:t>
            </w:r>
            <w:r>
              <w:rPr>
                <w:rFonts w:ascii="Arial" w:hAnsi="Arial" w:cs="Arial"/>
                <w:sz w:val="22"/>
                <w:szCs w:val="18"/>
              </w:rPr>
              <w:t>97023</w:t>
            </w:r>
            <w:r w:rsidRPr="00FD13F9">
              <w:rPr>
                <w:rFonts w:ascii="Arial" w:hAnsi="Arial" w:cs="Arial"/>
                <w:sz w:val="22"/>
                <w:szCs w:val="18"/>
              </w:rPr>
              <w:t xml:space="preserve">: </w:t>
            </w:r>
            <w:r>
              <w:rPr>
                <w:rFonts w:ascii="Arial" w:hAnsi="Arial" w:cs="Arial"/>
                <w:sz w:val="22"/>
                <w:szCs w:val="18"/>
              </w:rPr>
              <w:t>Sweetpotato</w:t>
            </w:r>
            <w:r w:rsidRPr="00FD13F9">
              <w:rPr>
                <w:rFonts w:ascii="Arial" w:hAnsi="Arial" w:cs="Arial"/>
                <w:sz w:val="22"/>
                <w:szCs w:val="18"/>
              </w:rPr>
              <w:t xml:space="preserve"> </w:t>
            </w:r>
            <w:r>
              <w:rPr>
                <w:rFonts w:ascii="Arial" w:hAnsi="Arial" w:cs="Arial"/>
                <w:sz w:val="22"/>
                <w:szCs w:val="18"/>
              </w:rPr>
              <w:t>variety improvement</w:t>
            </w:r>
          </w:p>
        </w:tc>
      </w:tr>
      <w:tr w:rsidR="002B5A16" w:rsidRPr="00D04886" w:rsidTr="00AF6856">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July 1997 to July 2000 </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Lester Loader</w:t>
            </w:r>
          </w:p>
        </w:tc>
      </w:tr>
      <w:tr w:rsidR="002B5A16" w:rsidRPr="00D04886" w:rsidTr="00AF6856">
        <w:trPr>
          <w:trHeight w:val="551"/>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CE2869" w:rsidRDefault="002B5A16" w:rsidP="002B5A16">
            <w:pPr>
              <w:tabs>
                <w:tab w:val="left" w:pos="1620"/>
                <w:tab w:val="left" w:pos="10440"/>
              </w:tabs>
              <w:ind w:left="5"/>
              <w:rPr>
                <w:rFonts w:ascii="Arial" w:hAnsi="Arial" w:cs="Arial"/>
                <w:sz w:val="22"/>
              </w:rPr>
            </w:pPr>
            <w:r>
              <w:rPr>
                <w:rFonts w:ascii="Arial" w:hAnsi="Arial" w:cs="Arial"/>
                <w:sz w:val="22"/>
              </w:rPr>
              <w:t xml:space="preserve">There is opportunity to improve grower productivity and expand the sweetpotato market through the introduction of new varieties. </w:t>
            </w:r>
          </w:p>
        </w:tc>
      </w:tr>
      <w:tr w:rsidR="002B5A16" w:rsidRPr="00D04886" w:rsidTr="00AF6856">
        <w:trPr>
          <w:trHeight w:val="417"/>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Pr="008E59EA" w:rsidRDefault="002B5A16" w:rsidP="000D5A34">
            <w:pPr>
              <w:pStyle w:val="ListParagraph"/>
              <w:numPr>
                <w:ilvl w:val="0"/>
                <w:numId w:val="51"/>
              </w:numPr>
              <w:tabs>
                <w:tab w:val="left" w:pos="1620"/>
                <w:tab w:val="left" w:pos="10440"/>
              </w:tabs>
              <w:suppressAutoHyphens/>
              <w:ind w:left="365"/>
              <w:contextualSpacing w:val="0"/>
              <w:rPr>
                <w:rFonts w:ascii="Arial" w:hAnsi="Arial" w:cs="Arial"/>
                <w:sz w:val="22"/>
              </w:rPr>
            </w:pPr>
            <w:r w:rsidRPr="008E59EA">
              <w:rPr>
                <w:rFonts w:ascii="Arial" w:hAnsi="Arial" w:cs="Arial"/>
                <w:sz w:val="22"/>
              </w:rPr>
              <w:t xml:space="preserve">Establish a </w:t>
            </w:r>
            <w:r>
              <w:rPr>
                <w:rFonts w:ascii="Arial" w:hAnsi="Arial" w:cs="Arial"/>
                <w:sz w:val="22"/>
              </w:rPr>
              <w:t>sweetpotato</w:t>
            </w:r>
            <w:r w:rsidRPr="008E59EA">
              <w:rPr>
                <w:rFonts w:ascii="Arial" w:hAnsi="Arial" w:cs="Arial"/>
                <w:sz w:val="22"/>
              </w:rPr>
              <w:t xml:space="preserve"> gene bank collection in Australia.</w:t>
            </w:r>
          </w:p>
          <w:p w:rsidR="002B5A16" w:rsidRPr="008E59EA" w:rsidRDefault="002B5A16" w:rsidP="000D5A34">
            <w:pPr>
              <w:pStyle w:val="ListParagraph"/>
              <w:numPr>
                <w:ilvl w:val="0"/>
                <w:numId w:val="51"/>
              </w:numPr>
              <w:tabs>
                <w:tab w:val="left" w:pos="1620"/>
                <w:tab w:val="left" w:pos="10440"/>
              </w:tabs>
              <w:suppressAutoHyphens/>
              <w:ind w:left="365"/>
              <w:contextualSpacing w:val="0"/>
              <w:rPr>
                <w:rFonts w:ascii="Arial" w:hAnsi="Arial" w:cs="Arial"/>
                <w:sz w:val="22"/>
              </w:rPr>
            </w:pPr>
            <w:r w:rsidRPr="008E59EA">
              <w:rPr>
                <w:rFonts w:ascii="Arial" w:hAnsi="Arial" w:cs="Arial"/>
                <w:sz w:val="22"/>
              </w:rPr>
              <w:t xml:space="preserve">Evaluate and release new varieties suitable for Australia. </w:t>
            </w:r>
          </w:p>
        </w:tc>
      </w:tr>
      <w:tr w:rsidR="002B5A16" w:rsidRPr="00D04886" w:rsidTr="00AF6856">
        <w:trPr>
          <w:trHeight w:val="455"/>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7408A4">
              <w:rPr>
                <w:rFonts w:ascii="Arial" w:hAnsi="Arial" w:cs="Arial"/>
                <w:sz w:val="22"/>
              </w:rPr>
              <w:t>Project activities included germplasm acquisition, breeding, preliminary observation and selection, germplasm maintenance and increase, regional trials and virus indexing</w:t>
            </w:r>
            <w:r>
              <w:rPr>
                <w:rFonts w:ascii="Arial" w:hAnsi="Arial" w:cs="Arial"/>
                <w:sz w:val="22"/>
              </w:rPr>
              <w:t>.</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New varieties with different consumer characteristics were released. Only Northern Star captured market share (5%) while Beauregard, an existing variety maintained market dominance (90%).</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Releases included: </w:t>
            </w:r>
          </w:p>
          <w:p w:rsidR="002B5A16" w:rsidRDefault="002B5A16" w:rsidP="000D5A34">
            <w:pPr>
              <w:pStyle w:val="ListParagraph"/>
              <w:numPr>
                <w:ilvl w:val="0"/>
                <w:numId w:val="57"/>
              </w:numPr>
              <w:tabs>
                <w:tab w:val="left" w:pos="1620"/>
                <w:tab w:val="left" w:pos="10440"/>
              </w:tabs>
              <w:suppressAutoHyphens/>
              <w:contextualSpacing w:val="0"/>
              <w:rPr>
                <w:rFonts w:ascii="Arial" w:hAnsi="Arial" w:cs="Arial"/>
                <w:sz w:val="22"/>
              </w:rPr>
            </w:pPr>
            <w:r>
              <w:rPr>
                <w:rFonts w:ascii="Arial" w:hAnsi="Arial" w:cs="Arial"/>
                <w:sz w:val="22"/>
              </w:rPr>
              <w:t>‘Hernandez’ – bright orange flesh, high yielding and sweet.</w:t>
            </w:r>
          </w:p>
          <w:p w:rsidR="002B5A16" w:rsidRDefault="002B5A16" w:rsidP="000D5A34">
            <w:pPr>
              <w:pStyle w:val="ListParagraph"/>
              <w:numPr>
                <w:ilvl w:val="0"/>
                <w:numId w:val="57"/>
              </w:numPr>
              <w:tabs>
                <w:tab w:val="left" w:pos="1620"/>
                <w:tab w:val="left" w:pos="10440"/>
              </w:tabs>
              <w:suppressAutoHyphens/>
              <w:contextualSpacing w:val="0"/>
              <w:rPr>
                <w:rFonts w:ascii="Arial" w:hAnsi="Arial" w:cs="Arial"/>
                <w:sz w:val="22"/>
              </w:rPr>
            </w:pPr>
            <w:r>
              <w:rPr>
                <w:rFonts w:ascii="Arial" w:hAnsi="Arial" w:cs="Arial"/>
                <w:sz w:val="22"/>
              </w:rPr>
              <w:t>‘Northern Star’ – bright purple skin, white flesh and high yielding.</w:t>
            </w:r>
          </w:p>
          <w:p w:rsidR="002B5A16" w:rsidRDefault="002B5A16" w:rsidP="000D5A34">
            <w:pPr>
              <w:pStyle w:val="ListParagraph"/>
              <w:numPr>
                <w:ilvl w:val="0"/>
                <w:numId w:val="57"/>
              </w:numPr>
              <w:tabs>
                <w:tab w:val="left" w:pos="1620"/>
                <w:tab w:val="left" w:pos="10440"/>
              </w:tabs>
              <w:suppressAutoHyphens/>
              <w:contextualSpacing w:val="0"/>
              <w:rPr>
                <w:rFonts w:ascii="Arial" w:hAnsi="Arial" w:cs="Arial"/>
                <w:sz w:val="22"/>
              </w:rPr>
            </w:pPr>
            <w:r>
              <w:rPr>
                <w:rFonts w:ascii="Arial" w:hAnsi="Arial" w:cs="Arial"/>
                <w:sz w:val="22"/>
              </w:rPr>
              <w:t>‘WSPF’ – white skin, purple marble flesh.</w:t>
            </w:r>
          </w:p>
          <w:p w:rsidR="002B5A16" w:rsidRDefault="002B5A16" w:rsidP="000D5A34">
            <w:pPr>
              <w:pStyle w:val="ListParagraph"/>
              <w:numPr>
                <w:ilvl w:val="0"/>
                <w:numId w:val="57"/>
              </w:numPr>
              <w:tabs>
                <w:tab w:val="left" w:pos="1620"/>
                <w:tab w:val="left" w:pos="10440"/>
              </w:tabs>
              <w:suppressAutoHyphens/>
              <w:contextualSpacing w:val="0"/>
              <w:rPr>
                <w:rFonts w:ascii="Arial" w:hAnsi="Arial" w:cs="Arial"/>
                <w:sz w:val="22"/>
              </w:rPr>
            </w:pPr>
            <w:r>
              <w:rPr>
                <w:rFonts w:ascii="Arial" w:hAnsi="Arial" w:cs="Arial"/>
                <w:sz w:val="22"/>
              </w:rPr>
              <w:t>‘Hawaii’ white but slightly purple.</w:t>
            </w:r>
          </w:p>
          <w:p w:rsidR="002B5A16" w:rsidRDefault="002B5A16" w:rsidP="000D5A34">
            <w:pPr>
              <w:pStyle w:val="ListParagraph"/>
              <w:numPr>
                <w:ilvl w:val="0"/>
                <w:numId w:val="57"/>
              </w:numPr>
              <w:tabs>
                <w:tab w:val="left" w:pos="1620"/>
                <w:tab w:val="left" w:pos="10440"/>
              </w:tabs>
              <w:suppressAutoHyphens/>
              <w:contextualSpacing w:val="0"/>
              <w:rPr>
                <w:rFonts w:ascii="Arial" w:hAnsi="Arial" w:cs="Arial"/>
                <w:sz w:val="22"/>
              </w:rPr>
            </w:pPr>
            <w:r>
              <w:rPr>
                <w:rFonts w:ascii="Arial" w:hAnsi="Arial" w:cs="Arial"/>
                <w:sz w:val="22"/>
              </w:rPr>
              <w:t>‘Kestle’ true white flesh/skin, inconsistent shape and yield.</w:t>
            </w:r>
          </w:p>
          <w:p w:rsidR="002B5A16" w:rsidRDefault="002B5A16" w:rsidP="000D5A34">
            <w:pPr>
              <w:pStyle w:val="ListParagraph"/>
              <w:numPr>
                <w:ilvl w:val="0"/>
                <w:numId w:val="57"/>
              </w:numPr>
              <w:tabs>
                <w:tab w:val="left" w:pos="1620"/>
                <w:tab w:val="left" w:pos="10440"/>
              </w:tabs>
              <w:suppressAutoHyphens/>
              <w:contextualSpacing w:val="0"/>
              <w:rPr>
                <w:rFonts w:ascii="Arial" w:hAnsi="Arial" w:cs="Arial"/>
                <w:sz w:val="22"/>
              </w:rPr>
            </w:pPr>
            <w:r>
              <w:rPr>
                <w:rFonts w:ascii="Arial" w:hAnsi="Arial" w:cs="Arial"/>
                <w:sz w:val="22"/>
              </w:rPr>
              <w:t>2 new lines of Beauregard (L86-33Q7, L86-33Q9) with improved production attributes. Planting material made available that is virus free.</w:t>
            </w:r>
          </w:p>
          <w:p w:rsidR="002B5A16" w:rsidRPr="007408A4"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N</w:t>
            </w:r>
            <w:r w:rsidRPr="007408A4">
              <w:rPr>
                <w:rFonts w:ascii="Arial" w:hAnsi="Arial" w:cs="Arial"/>
                <w:sz w:val="22"/>
              </w:rPr>
              <w:t>ew variet</w:t>
            </w:r>
            <w:r>
              <w:rPr>
                <w:rFonts w:ascii="Arial" w:hAnsi="Arial" w:cs="Arial"/>
                <w:sz w:val="22"/>
              </w:rPr>
              <w:t>y</w:t>
            </w:r>
            <w:r w:rsidRPr="007408A4">
              <w:rPr>
                <w:rFonts w:ascii="Arial" w:hAnsi="Arial" w:cs="Arial"/>
                <w:sz w:val="22"/>
              </w:rPr>
              <w:t xml:space="preserve"> release </w:t>
            </w:r>
            <w:r>
              <w:rPr>
                <w:rFonts w:ascii="Arial" w:hAnsi="Arial" w:cs="Arial"/>
                <w:sz w:val="22"/>
              </w:rPr>
              <w:t>information was published in</w:t>
            </w:r>
            <w:r w:rsidRPr="007408A4">
              <w:rPr>
                <w:rFonts w:ascii="Arial" w:hAnsi="Arial" w:cs="Arial"/>
                <w:sz w:val="22"/>
              </w:rPr>
              <w:t xml:space="preserve"> the DAF Agri-Link </w:t>
            </w:r>
            <w:r>
              <w:rPr>
                <w:rFonts w:ascii="Arial" w:hAnsi="Arial" w:cs="Arial"/>
                <w:sz w:val="22"/>
              </w:rPr>
              <w:t>Sweetpotato</w:t>
            </w:r>
            <w:r w:rsidRPr="007408A4">
              <w:rPr>
                <w:rFonts w:ascii="Arial" w:hAnsi="Arial" w:cs="Arial"/>
                <w:sz w:val="22"/>
              </w:rPr>
              <w:t xml:space="preserve"> Manual.</w:t>
            </w:r>
          </w:p>
        </w:tc>
      </w:tr>
      <w:tr w:rsidR="002B5A16" w:rsidRPr="00D04886" w:rsidTr="00AF6856">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Varieties that help meet demand for staple (starchy) sweetpotatoes.</w:t>
            </w:r>
          </w:p>
          <w:p w:rsidR="002B5A16" w:rsidRPr="001727D2"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Virus free planting material for the market dominating ‘Beauregard’.</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Release of virus free lines with improved returns for growers.</w:t>
            </w:r>
          </w:p>
        </w:tc>
      </w:tr>
      <w:tr w:rsidR="002B5A16" w:rsidRPr="00D04886" w:rsidTr="00AF6856">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7839E6"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Additional sweetpotato yield (more productive lines of Beauregard)</w:t>
            </w:r>
            <w:r w:rsidRPr="002202C5">
              <w:rPr>
                <w:rFonts w:ascii="Arial" w:hAnsi="Arial" w:cs="Arial"/>
                <w:sz w:val="22"/>
              </w:rPr>
              <w:t>.</w:t>
            </w:r>
          </w:p>
          <w:p w:rsidR="002B5A16" w:rsidRPr="00D04693"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grower profitability via increased demand from new varieties.</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regional income in Australia (spillover).</w:t>
            </w:r>
          </w:p>
        </w:tc>
      </w:tr>
    </w:tbl>
    <w:p w:rsidR="002B5A16" w:rsidRDefault="002B5A16" w:rsidP="002B5A16"/>
    <w:p w:rsidR="002B5A16" w:rsidRPr="00AF6856" w:rsidRDefault="002B5A16" w:rsidP="00AF6856">
      <w:pPr>
        <w:spacing w:after="240"/>
        <w:jc w:val="center"/>
        <w:rPr>
          <w:rFonts w:ascii="Arial" w:hAnsi="Arial" w:cs="Arial"/>
          <w:color w:val="000000" w:themeColor="text1"/>
        </w:rPr>
      </w:pPr>
      <w:bookmarkStart w:id="461" w:name="_Toc487091277"/>
      <w:r w:rsidRPr="00AF6856">
        <w:rPr>
          <w:rFonts w:ascii="Arial" w:hAnsi="Arial" w:cs="Arial"/>
          <w:color w:val="000000" w:themeColor="text1"/>
        </w:rPr>
        <w:t xml:space="preserve">Table </w:t>
      </w:r>
      <w:r w:rsidR="00913E1D">
        <w:rPr>
          <w:rFonts w:ascii="Arial" w:hAnsi="Arial" w:cs="Arial"/>
          <w:color w:val="000000" w:themeColor="text1"/>
        </w:rPr>
        <w:t>3</w:t>
      </w:r>
      <w:r w:rsidRPr="00AF6856">
        <w:rPr>
          <w:rFonts w:ascii="Arial" w:hAnsi="Arial" w:cs="Arial"/>
          <w:color w:val="000000" w:themeColor="text1"/>
        </w:rPr>
        <w:t>: Logical Framework for VG1010</w:t>
      </w:r>
      <w:bookmarkEnd w:id="461"/>
    </w:p>
    <w:tbl>
      <w:tblPr>
        <w:tblStyle w:val="TableGrid"/>
        <w:tblW w:w="9478" w:type="dxa"/>
        <w:jc w:val="center"/>
        <w:tblLook w:val="04A0" w:firstRow="1" w:lastRow="0" w:firstColumn="1" w:lastColumn="0" w:noHBand="0" w:noVBand="1"/>
      </w:tblPr>
      <w:tblGrid>
        <w:gridCol w:w="1762"/>
        <w:gridCol w:w="7716"/>
      </w:tblGrid>
      <w:tr w:rsidR="002B5A16" w:rsidRPr="00D66323" w:rsidTr="00AF6856">
        <w:trPr>
          <w:trHeight w:val="367"/>
          <w:jc w:val="center"/>
        </w:trPr>
        <w:tc>
          <w:tcPr>
            <w:tcW w:w="9478" w:type="dxa"/>
            <w:gridSpan w:val="2"/>
            <w:shd w:val="clear" w:color="auto" w:fill="D9D9D9" w:themeFill="background1" w:themeFillShade="D9"/>
          </w:tcPr>
          <w:p w:rsidR="002B5A16" w:rsidRPr="00D66323" w:rsidRDefault="002B5A16" w:rsidP="002B5A16">
            <w:pPr>
              <w:tabs>
                <w:tab w:val="left" w:pos="1620"/>
                <w:tab w:val="left" w:pos="10440"/>
              </w:tabs>
              <w:ind w:left="5"/>
              <w:rPr>
                <w:rFonts w:ascii="Arial" w:hAnsi="Arial" w:cs="Arial"/>
                <w:sz w:val="22"/>
                <w:szCs w:val="18"/>
              </w:rPr>
            </w:pPr>
            <w:r w:rsidRPr="000E7199">
              <w:rPr>
                <w:rFonts w:ascii="Arial" w:hAnsi="Arial" w:cs="Arial"/>
                <w:sz w:val="22"/>
                <w:szCs w:val="18"/>
              </w:rPr>
              <w:t>VG</w:t>
            </w:r>
            <w:r>
              <w:rPr>
                <w:rFonts w:ascii="Arial" w:hAnsi="Arial" w:cs="Arial"/>
                <w:sz w:val="22"/>
                <w:szCs w:val="18"/>
              </w:rPr>
              <w:t>0</w:t>
            </w:r>
            <w:r w:rsidRPr="000E7199">
              <w:rPr>
                <w:rFonts w:ascii="Arial" w:hAnsi="Arial" w:cs="Arial"/>
                <w:sz w:val="22"/>
                <w:szCs w:val="18"/>
              </w:rPr>
              <w:t xml:space="preserve">1010: Improving </w:t>
            </w:r>
            <w:r>
              <w:rPr>
                <w:rFonts w:ascii="Arial" w:hAnsi="Arial" w:cs="Arial"/>
                <w:sz w:val="22"/>
                <w:szCs w:val="18"/>
              </w:rPr>
              <w:t>sweetpotato</w:t>
            </w:r>
            <w:r w:rsidRPr="000E7199">
              <w:rPr>
                <w:rFonts w:ascii="Arial" w:hAnsi="Arial" w:cs="Arial"/>
                <w:sz w:val="22"/>
                <w:szCs w:val="18"/>
              </w:rPr>
              <w:t xml:space="preserve"> agronomy to meet new market opportunities</w:t>
            </w:r>
          </w:p>
        </w:tc>
      </w:tr>
      <w:tr w:rsidR="002B5A16" w:rsidRPr="00D04886" w:rsidTr="00AF6856">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July 2001 to June 2005</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Stephen Harper</w:t>
            </w:r>
          </w:p>
        </w:tc>
      </w:tr>
      <w:tr w:rsidR="002B5A16" w:rsidRPr="00D04886" w:rsidTr="00AF6856">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821713" w:rsidRDefault="002B5A16" w:rsidP="002B5A16">
            <w:r>
              <w:rPr>
                <w:rFonts w:ascii="Arial" w:hAnsi="Arial" w:cs="Arial"/>
                <w:sz w:val="22"/>
              </w:rPr>
              <w:t xml:space="preserve">A previous DAF-HIA project VG97023 had produced and released a suite of new sweetpotato varieties. The project highlighted considerable geographic and seasonal variation </w:t>
            </w:r>
            <w:r w:rsidRPr="0080281A">
              <w:rPr>
                <w:rFonts w:ascii="Arial" w:hAnsi="Arial" w:cs="Arial"/>
                <w:sz w:val="22"/>
              </w:rPr>
              <w:t>in existing and new varieties suggesting each appeared to have specific cultural requirements in order to produce more roots of marketable size.</w:t>
            </w:r>
            <w:r w:rsidRPr="00D96D83">
              <w:rPr>
                <w:rFonts w:ascii="Arial" w:hAnsi="Arial" w:cs="Arial"/>
                <w:sz w:val="22"/>
              </w:rPr>
              <w:t xml:space="preserve"> Growers have had difficulty in achieving market specifications with some of the new varieties and there was a need to refine agronomic practices to improve marketable yield. </w:t>
            </w:r>
            <w:r>
              <w:rPr>
                <w:rFonts w:ascii="Arial" w:hAnsi="Arial" w:cs="Arial"/>
                <w:sz w:val="22"/>
              </w:rPr>
              <w:t>P</w:t>
            </w:r>
            <w:r w:rsidRPr="00D96D83">
              <w:rPr>
                <w:rFonts w:ascii="Arial" w:hAnsi="Arial" w:cs="Arial"/>
                <w:sz w:val="22"/>
              </w:rPr>
              <w:t xml:space="preserve">roblems included high percentages of over or under sized roots, cracking skin, skin and flesh colour, </w:t>
            </w:r>
            <w:r>
              <w:rPr>
                <w:rFonts w:ascii="Arial" w:hAnsi="Arial" w:cs="Arial"/>
                <w:sz w:val="22"/>
              </w:rPr>
              <w:t xml:space="preserve">and </w:t>
            </w:r>
            <w:r w:rsidRPr="00D96D83">
              <w:rPr>
                <w:rFonts w:ascii="Arial" w:hAnsi="Arial" w:cs="Arial"/>
                <w:sz w:val="22"/>
              </w:rPr>
              <w:t xml:space="preserve">shape and number of roots set. The variability in expression of these defects </w:t>
            </w:r>
            <w:r>
              <w:rPr>
                <w:rFonts w:ascii="Arial" w:hAnsi="Arial" w:cs="Arial"/>
                <w:sz w:val="22"/>
              </w:rPr>
              <w:t>was</w:t>
            </w:r>
            <w:r w:rsidRPr="00D96D83">
              <w:rPr>
                <w:rFonts w:ascii="Arial" w:hAnsi="Arial" w:cs="Arial"/>
                <w:sz w:val="22"/>
              </w:rPr>
              <w:t xml:space="preserve"> likely to be at least partly related to specific agronomic requirements.</w:t>
            </w:r>
            <w:r>
              <w:rPr>
                <w:rFonts w:ascii="Arial" w:hAnsi="Arial" w:cs="Arial"/>
                <w:sz w:val="22"/>
              </w:rPr>
              <w:t xml:space="preserve"> </w:t>
            </w:r>
            <w:r w:rsidRPr="00821713">
              <w:rPr>
                <w:rFonts w:ascii="Arial" w:hAnsi="Arial" w:cs="Arial"/>
                <w:sz w:val="22"/>
              </w:rPr>
              <w:t>Factors including presence of feathery mottle virus, timing and rate of fertiliser application, genetic drift in propagative material, varietal maturation and plant spacing</w:t>
            </w:r>
            <w:r>
              <w:rPr>
                <w:rFonts w:ascii="Arial" w:hAnsi="Arial" w:cs="Arial"/>
                <w:sz w:val="22"/>
              </w:rPr>
              <w:t>,</w:t>
            </w:r>
            <w:r w:rsidRPr="00821713">
              <w:rPr>
                <w:rFonts w:ascii="Arial" w:hAnsi="Arial" w:cs="Arial"/>
                <w:sz w:val="22"/>
              </w:rPr>
              <w:t xml:space="preserve"> all potentially impact</w:t>
            </w:r>
            <w:r>
              <w:rPr>
                <w:rFonts w:ascii="Arial" w:hAnsi="Arial" w:cs="Arial"/>
                <w:sz w:val="22"/>
              </w:rPr>
              <w:t>ing</w:t>
            </w:r>
            <w:r w:rsidRPr="00821713">
              <w:rPr>
                <w:rFonts w:ascii="Arial" w:hAnsi="Arial" w:cs="Arial"/>
                <w:sz w:val="22"/>
              </w:rPr>
              <w:t xml:space="preserve"> on yield and qualit</w:t>
            </w:r>
            <w:r>
              <w:rPr>
                <w:rFonts w:ascii="Arial" w:hAnsi="Arial" w:cs="Arial"/>
                <w:sz w:val="22"/>
              </w:rPr>
              <w:t>y traits. In Australia, little wa</w:t>
            </w:r>
            <w:r w:rsidRPr="00821713">
              <w:rPr>
                <w:rFonts w:ascii="Arial" w:hAnsi="Arial" w:cs="Arial"/>
                <w:sz w:val="22"/>
              </w:rPr>
              <w:t>s known about these agronomic issues particularly in relation to Beauregard</w:t>
            </w:r>
            <w:r>
              <w:rPr>
                <w:rFonts w:ascii="Arial" w:hAnsi="Arial" w:cs="Arial"/>
                <w:sz w:val="22"/>
              </w:rPr>
              <w:t xml:space="preserve"> (gold flesh)</w:t>
            </w:r>
            <w:r w:rsidRPr="00821713">
              <w:rPr>
                <w:rFonts w:ascii="Arial" w:hAnsi="Arial" w:cs="Arial"/>
                <w:sz w:val="22"/>
              </w:rPr>
              <w:t xml:space="preserve"> </w:t>
            </w:r>
            <w:r>
              <w:rPr>
                <w:rFonts w:ascii="Arial" w:hAnsi="Arial" w:cs="Arial"/>
                <w:sz w:val="22"/>
              </w:rPr>
              <w:t xml:space="preserve">and the </w:t>
            </w:r>
            <w:r w:rsidRPr="00821713">
              <w:rPr>
                <w:rFonts w:ascii="Arial" w:hAnsi="Arial" w:cs="Arial"/>
                <w:sz w:val="22"/>
              </w:rPr>
              <w:t>new variet</w:t>
            </w:r>
            <w:r>
              <w:rPr>
                <w:rFonts w:ascii="Arial" w:hAnsi="Arial" w:cs="Arial"/>
                <w:sz w:val="22"/>
              </w:rPr>
              <w:t xml:space="preserve">y </w:t>
            </w:r>
            <w:r w:rsidRPr="00821713">
              <w:rPr>
                <w:rFonts w:ascii="Arial" w:hAnsi="Arial" w:cs="Arial"/>
                <w:sz w:val="22"/>
              </w:rPr>
              <w:t>Northern Star</w:t>
            </w:r>
            <w:r>
              <w:rPr>
                <w:rFonts w:ascii="Arial" w:hAnsi="Arial" w:cs="Arial"/>
                <w:sz w:val="22"/>
              </w:rPr>
              <w:t xml:space="preserve"> (purple skin, white flesh)</w:t>
            </w:r>
            <w:r w:rsidRPr="00821713">
              <w:rPr>
                <w:rFonts w:ascii="Arial" w:hAnsi="Arial" w:cs="Arial"/>
                <w:sz w:val="22"/>
              </w:rPr>
              <w:t xml:space="preserve">. </w:t>
            </w:r>
          </w:p>
        </w:tc>
      </w:tr>
      <w:tr w:rsidR="002B5A16" w:rsidRPr="00D04886" w:rsidTr="00AF6856">
        <w:trPr>
          <w:trHeight w:val="650"/>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Default="002B5A16" w:rsidP="000D5A34">
            <w:pPr>
              <w:pStyle w:val="ListParagraph"/>
              <w:numPr>
                <w:ilvl w:val="0"/>
                <w:numId w:val="47"/>
              </w:numPr>
              <w:tabs>
                <w:tab w:val="left" w:pos="1620"/>
                <w:tab w:val="left" w:pos="10440"/>
              </w:tabs>
              <w:suppressAutoHyphens/>
              <w:contextualSpacing w:val="0"/>
              <w:rPr>
                <w:rFonts w:ascii="Arial" w:hAnsi="Arial" w:cs="Arial"/>
                <w:sz w:val="22"/>
              </w:rPr>
            </w:pPr>
            <w:r>
              <w:rPr>
                <w:rFonts w:ascii="Arial" w:hAnsi="Arial" w:cs="Arial"/>
                <w:sz w:val="22"/>
              </w:rPr>
              <w:t>Improve agronomic practices and increase marketable yield.</w:t>
            </w:r>
          </w:p>
          <w:p w:rsidR="002B5A16" w:rsidRDefault="002B5A16" w:rsidP="000D5A34">
            <w:pPr>
              <w:pStyle w:val="ListParagraph"/>
              <w:numPr>
                <w:ilvl w:val="0"/>
                <w:numId w:val="47"/>
              </w:numPr>
              <w:tabs>
                <w:tab w:val="left" w:pos="1620"/>
                <w:tab w:val="left" w:pos="10440"/>
              </w:tabs>
              <w:suppressAutoHyphens/>
              <w:contextualSpacing w:val="0"/>
              <w:rPr>
                <w:rFonts w:ascii="Arial" w:hAnsi="Arial" w:cs="Arial"/>
                <w:sz w:val="22"/>
              </w:rPr>
            </w:pPr>
            <w:r>
              <w:rPr>
                <w:rFonts w:ascii="Arial" w:hAnsi="Arial" w:cs="Arial"/>
                <w:sz w:val="22"/>
              </w:rPr>
              <w:t>Document and promote the benefits of Pathogen Tested (PT) planting material.</w:t>
            </w:r>
          </w:p>
          <w:p w:rsidR="002B5A16" w:rsidRDefault="002B5A16" w:rsidP="000D5A34">
            <w:pPr>
              <w:pStyle w:val="ListParagraph"/>
              <w:numPr>
                <w:ilvl w:val="0"/>
                <w:numId w:val="47"/>
              </w:numPr>
              <w:tabs>
                <w:tab w:val="left" w:pos="1620"/>
                <w:tab w:val="left" w:pos="10440"/>
              </w:tabs>
              <w:suppressAutoHyphens/>
              <w:contextualSpacing w:val="0"/>
              <w:rPr>
                <w:rFonts w:ascii="Arial" w:hAnsi="Arial" w:cs="Arial"/>
                <w:sz w:val="22"/>
              </w:rPr>
            </w:pPr>
            <w:r>
              <w:rPr>
                <w:rFonts w:ascii="Arial" w:hAnsi="Arial" w:cs="Arial"/>
                <w:sz w:val="22"/>
              </w:rPr>
              <w:t>Evaluate agronomic response to nutrition, density and maturation.</w:t>
            </w:r>
          </w:p>
          <w:p w:rsidR="002B5A16" w:rsidRDefault="002B5A16" w:rsidP="000D5A34">
            <w:pPr>
              <w:pStyle w:val="ListParagraph"/>
              <w:numPr>
                <w:ilvl w:val="0"/>
                <w:numId w:val="47"/>
              </w:numPr>
              <w:tabs>
                <w:tab w:val="left" w:pos="1620"/>
                <w:tab w:val="left" w:pos="10440"/>
              </w:tabs>
              <w:suppressAutoHyphens/>
              <w:contextualSpacing w:val="0"/>
              <w:rPr>
                <w:rFonts w:ascii="Arial" w:hAnsi="Arial" w:cs="Arial"/>
                <w:sz w:val="22"/>
              </w:rPr>
            </w:pPr>
            <w:r>
              <w:rPr>
                <w:rFonts w:ascii="Arial" w:hAnsi="Arial" w:cs="Arial"/>
                <w:sz w:val="22"/>
              </w:rPr>
              <w:t>Evaluate new cultivars.</w:t>
            </w:r>
          </w:p>
          <w:p w:rsidR="002B5A16" w:rsidRDefault="002B5A16" w:rsidP="000D5A34">
            <w:pPr>
              <w:pStyle w:val="ListParagraph"/>
              <w:numPr>
                <w:ilvl w:val="0"/>
                <w:numId w:val="47"/>
              </w:numPr>
              <w:tabs>
                <w:tab w:val="left" w:pos="1620"/>
                <w:tab w:val="left" w:pos="10440"/>
              </w:tabs>
              <w:suppressAutoHyphens/>
              <w:contextualSpacing w:val="0"/>
              <w:rPr>
                <w:rFonts w:ascii="Arial" w:hAnsi="Arial" w:cs="Arial"/>
                <w:sz w:val="22"/>
              </w:rPr>
            </w:pPr>
            <w:r>
              <w:rPr>
                <w:rFonts w:ascii="Arial" w:hAnsi="Arial" w:cs="Arial"/>
                <w:sz w:val="22"/>
              </w:rPr>
              <w:t>Select new accessions of Beauregard.</w:t>
            </w:r>
          </w:p>
          <w:p w:rsidR="002B5A16" w:rsidRPr="00821713" w:rsidRDefault="002B5A16" w:rsidP="000D5A34">
            <w:pPr>
              <w:pStyle w:val="ListParagraph"/>
              <w:numPr>
                <w:ilvl w:val="0"/>
                <w:numId w:val="47"/>
              </w:numPr>
              <w:tabs>
                <w:tab w:val="left" w:pos="1620"/>
                <w:tab w:val="left" w:pos="10440"/>
              </w:tabs>
              <w:suppressAutoHyphens/>
              <w:contextualSpacing w:val="0"/>
              <w:rPr>
                <w:rFonts w:ascii="Arial" w:hAnsi="Arial" w:cs="Arial"/>
                <w:sz w:val="22"/>
              </w:rPr>
            </w:pPr>
            <w:r>
              <w:rPr>
                <w:rFonts w:ascii="Arial" w:hAnsi="Arial" w:cs="Arial"/>
                <w:sz w:val="22"/>
              </w:rPr>
              <w:t>Conduct best management practice (BMP) option trials.</w:t>
            </w:r>
          </w:p>
        </w:tc>
      </w:tr>
      <w:tr w:rsidR="002B5A16" w:rsidRPr="00D04886" w:rsidTr="00AF6856">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Survey of retailers – 50% of supply does not meet requirements; consistency of size and shape was the main area for improvement.</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Survey of the performance of Beauregard used by growers and the PT tested virus free material.</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Evaluation of new varieties with the potential to replace Beauregard.</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862450">
              <w:rPr>
                <w:rFonts w:ascii="Arial" w:hAnsi="Arial" w:cs="Arial"/>
                <w:sz w:val="22"/>
              </w:rPr>
              <w:t>Planting trial tested row spac</w:t>
            </w:r>
            <w:r>
              <w:rPr>
                <w:rFonts w:ascii="Arial" w:hAnsi="Arial" w:cs="Arial"/>
                <w:sz w:val="22"/>
              </w:rPr>
              <w:t>ing</w:t>
            </w:r>
            <w:r w:rsidRPr="00862450">
              <w:rPr>
                <w:rFonts w:ascii="Arial" w:hAnsi="Arial" w:cs="Arial"/>
                <w:sz w:val="22"/>
              </w:rPr>
              <w:t xml:space="preserve"> and found </w:t>
            </w:r>
            <w:r>
              <w:rPr>
                <w:rFonts w:ascii="Arial" w:hAnsi="Arial" w:cs="Arial"/>
                <w:sz w:val="22"/>
              </w:rPr>
              <w:t xml:space="preserve">spacing </w:t>
            </w:r>
            <w:r w:rsidRPr="00862450">
              <w:rPr>
                <w:rFonts w:ascii="Arial" w:hAnsi="Arial" w:cs="Arial"/>
                <w:sz w:val="22"/>
              </w:rPr>
              <w:t>to be non-critical</w:t>
            </w:r>
            <w:r>
              <w:rPr>
                <w:rFonts w:ascii="Arial" w:hAnsi="Arial" w:cs="Arial"/>
                <w:sz w:val="22"/>
              </w:rPr>
              <w:t>.</w:t>
            </w:r>
            <w:r w:rsidRPr="00862450">
              <w:rPr>
                <w:rFonts w:ascii="Arial" w:hAnsi="Arial" w:cs="Arial"/>
                <w:sz w:val="22"/>
              </w:rPr>
              <w:t xml:space="preserve"> </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862450">
              <w:rPr>
                <w:rFonts w:ascii="Arial" w:hAnsi="Arial" w:cs="Arial"/>
                <w:sz w:val="22"/>
              </w:rPr>
              <w:t>Nitrogen and potassium application rates tested and current commercial rates can</w:t>
            </w:r>
            <w:r>
              <w:rPr>
                <w:rFonts w:ascii="Arial" w:hAnsi="Arial" w:cs="Arial"/>
                <w:sz w:val="22"/>
              </w:rPr>
              <w:t>,</w:t>
            </w:r>
            <w:r w:rsidRPr="00862450">
              <w:rPr>
                <w:rFonts w:ascii="Arial" w:hAnsi="Arial" w:cs="Arial"/>
                <w:sz w:val="22"/>
              </w:rPr>
              <w:t xml:space="preserve"> </w:t>
            </w:r>
            <w:r>
              <w:rPr>
                <w:rFonts w:ascii="Arial" w:hAnsi="Arial" w:cs="Arial"/>
                <w:sz w:val="22"/>
              </w:rPr>
              <w:t xml:space="preserve">in some instances, </w:t>
            </w:r>
            <w:r w:rsidRPr="00862450">
              <w:rPr>
                <w:rFonts w:ascii="Arial" w:hAnsi="Arial" w:cs="Arial"/>
                <w:sz w:val="22"/>
              </w:rPr>
              <w:t xml:space="preserve">be reduced without yield loss. </w:t>
            </w:r>
            <w:r>
              <w:rPr>
                <w:rFonts w:ascii="Arial" w:hAnsi="Arial" w:cs="Arial"/>
                <w:sz w:val="22"/>
              </w:rPr>
              <w:t>Excessive nitrogen application results in yield loss and root splitting (poor quality).</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862450">
              <w:rPr>
                <w:rFonts w:ascii="Arial" w:hAnsi="Arial" w:cs="Arial"/>
                <w:sz w:val="22"/>
              </w:rPr>
              <w:t xml:space="preserve">DAF BMP recommendations tested and found to </w:t>
            </w:r>
            <w:r>
              <w:rPr>
                <w:rFonts w:ascii="Arial" w:hAnsi="Arial" w:cs="Arial"/>
                <w:sz w:val="22"/>
              </w:rPr>
              <w:t xml:space="preserve">be </w:t>
            </w:r>
            <w:r w:rsidRPr="00862450">
              <w:rPr>
                <w:rFonts w:ascii="Arial" w:hAnsi="Arial" w:cs="Arial"/>
                <w:sz w:val="22"/>
              </w:rPr>
              <w:t xml:space="preserve">sound. </w:t>
            </w:r>
          </w:p>
          <w:p w:rsidR="002B5A16" w:rsidRPr="00862450"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862450">
              <w:rPr>
                <w:rFonts w:ascii="Arial" w:hAnsi="Arial" w:cs="Arial"/>
                <w:sz w:val="22"/>
              </w:rPr>
              <w:t xml:space="preserve">Extension included presentations to </w:t>
            </w:r>
            <w:r>
              <w:rPr>
                <w:rFonts w:ascii="Arial" w:hAnsi="Arial" w:cs="Arial"/>
                <w:sz w:val="22"/>
              </w:rPr>
              <w:t xml:space="preserve">Australian </w:t>
            </w:r>
            <w:r w:rsidRPr="00862450">
              <w:rPr>
                <w:rFonts w:ascii="Arial" w:hAnsi="Arial" w:cs="Arial"/>
                <w:sz w:val="22"/>
              </w:rPr>
              <w:t>growers by leading US researcher Dr Mike Canon</w:t>
            </w:r>
            <w:r>
              <w:rPr>
                <w:rFonts w:ascii="Arial" w:hAnsi="Arial" w:cs="Arial"/>
                <w:sz w:val="22"/>
              </w:rPr>
              <w:t>.</w:t>
            </w:r>
          </w:p>
        </w:tc>
      </w:tr>
      <w:tr w:rsidR="002B5A16" w:rsidRPr="00D04886" w:rsidTr="00AF6856">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Pr="00DA3EE4"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DA3EE4">
              <w:rPr>
                <w:rFonts w:ascii="Arial" w:hAnsi="Arial" w:cs="Arial"/>
                <w:sz w:val="22"/>
              </w:rPr>
              <w:t xml:space="preserve">80% yield improvement achieved for cv. Beauregard using PT planting material. More </w:t>
            </w:r>
            <w:r>
              <w:rPr>
                <w:rFonts w:ascii="Arial" w:hAnsi="Arial" w:cs="Arial"/>
                <w:sz w:val="22"/>
              </w:rPr>
              <w:t>sweetpotato</w:t>
            </w:r>
            <w:r w:rsidRPr="00DA3EE4">
              <w:rPr>
                <w:rFonts w:ascii="Arial" w:hAnsi="Arial" w:cs="Arial"/>
                <w:sz w:val="22"/>
              </w:rPr>
              <w:t>es of marketable size and quality also grown.</w:t>
            </w:r>
          </w:p>
          <w:p w:rsidR="002B5A16" w:rsidRPr="00DA3EE4"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4"/>
              </w:rPr>
            </w:pPr>
            <w:r w:rsidRPr="00DA3EE4">
              <w:rPr>
                <w:rFonts w:ascii="Arial" w:hAnsi="Arial" w:cs="Arial"/>
                <w:sz w:val="22"/>
              </w:rPr>
              <w:t xml:space="preserve">Beauregard selections made from grower lines did not give greater yield nor </w:t>
            </w:r>
            <w:r>
              <w:rPr>
                <w:rFonts w:ascii="Arial" w:hAnsi="Arial" w:cs="Arial"/>
                <w:sz w:val="22"/>
              </w:rPr>
              <w:t>con</w:t>
            </w:r>
            <w:r w:rsidRPr="00DA3EE4">
              <w:rPr>
                <w:rFonts w:ascii="Arial" w:hAnsi="Arial" w:cs="Arial"/>
                <w:sz w:val="22"/>
              </w:rPr>
              <w:t>fer improved disease resistance compared with DAF Beauregard. There has been limited genetic drift in the Beauregard variety.</w:t>
            </w:r>
          </w:p>
          <w:p w:rsidR="002B5A16" w:rsidRPr="00113F32"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sidRPr="00DA3EE4">
              <w:rPr>
                <w:rFonts w:ascii="Arial" w:hAnsi="Arial" w:cs="Arial"/>
                <w:sz w:val="22"/>
              </w:rPr>
              <w:t>Julie Stanton, DAF</w:t>
            </w:r>
            <w:r w:rsidRPr="00DA3EE4">
              <w:rPr>
                <w:rFonts w:ascii="Arial" w:hAnsi="Arial" w:cs="Arial"/>
                <w:sz w:val="22"/>
                <w:szCs w:val="22"/>
              </w:rPr>
              <w:t xml:space="preserve"> email Oct 2003: “No germplasm from VG01010 has been sold and no germplasm is likely to be sold.  Their comprehensive trials of germplasm material have yielded nothing that can supersede the cultivar, Beauregard”. </w:t>
            </w:r>
          </w:p>
          <w:p w:rsidR="002B5A16" w:rsidRPr="00DA3EE4"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sidRPr="00862450">
              <w:rPr>
                <w:rFonts w:ascii="Arial" w:hAnsi="Arial" w:cs="Arial"/>
                <w:sz w:val="22"/>
              </w:rPr>
              <w:t>Grower surveys</w:t>
            </w:r>
            <w:r>
              <w:rPr>
                <w:rFonts w:ascii="Arial" w:hAnsi="Arial" w:cs="Arial"/>
                <w:sz w:val="22"/>
              </w:rPr>
              <w:t xml:space="preserve"> completed at the end of the project showed universal awareness of the research and identification of the project’s greatest outcome being the opportunity to adopt PT planning material.</w:t>
            </w:r>
          </w:p>
        </w:tc>
      </w:tr>
      <w:tr w:rsidR="002B5A16" w:rsidRPr="00D04886" w:rsidTr="00AF6856">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DB5138"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DA3EE4">
              <w:rPr>
                <w:rFonts w:ascii="Arial" w:hAnsi="Arial" w:cs="Arial"/>
                <w:sz w:val="22"/>
              </w:rPr>
              <w:t xml:space="preserve">Increased average yield (through further adoption of PT with more </w:t>
            </w:r>
            <w:r>
              <w:rPr>
                <w:rFonts w:ascii="Arial" w:hAnsi="Arial" w:cs="Arial"/>
                <w:sz w:val="22"/>
              </w:rPr>
              <w:t>sweetpotato</w:t>
            </w:r>
            <w:r w:rsidRPr="00DA3EE4">
              <w:rPr>
                <w:rFonts w:ascii="Arial" w:hAnsi="Arial" w:cs="Arial"/>
                <w:sz w:val="22"/>
              </w:rPr>
              <w:t>es of marketable size).</w:t>
            </w:r>
          </w:p>
          <w:p w:rsidR="002B5A16" w:rsidRPr="00D04693"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grower profitability via reduced fertiliser rates.</w:t>
            </w:r>
          </w:p>
          <w:p w:rsidR="002B5A16" w:rsidRPr="00DA3EE4"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regional income in Australia (spillover).</w:t>
            </w:r>
          </w:p>
        </w:tc>
      </w:tr>
    </w:tbl>
    <w:p w:rsidR="002B5A16" w:rsidRDefault="002B5A16" w:rsidP="002B5A16"/>
    <w:p w:rsidR="002B5A16" w:rsidRPr="00AF6856" w:rsidRDefault="002B5A16" w:rsidP="00AF6856">
      <w:pPr>
        <w:spacing w:after="240"/>
        <w:jc w:val="center"/>
        <w:rPr>
          <w:rFonts w:ascii="Arial" w:hAnsi="Arial" w:cs="Arial"/>
          <w:color w:val="000000" w:themeColor="text1"/>
        </w:rPr>
      </w:pPr>
      <w:bookmarkStart w:id="462" w:name="_Toc487091278"/>
      <w:r w:rsidRPr="00AF6856">
        <w:rPr>
          <w:rFonts w:ascii="Arial" w:hAnsi="Arial" w:cs="Arial"/>
          <w:color w:val="000000" w:themeColor="text1"/>
        </w:rPr>
        <w:t xml:space="preserve">Table </w:t>
      </w:r>
      <w:r w:rsidR="00913E1D">
        <w:rPr>
          <w:rFonts w:ascii="Arial" w:hAnsi="Arial" w:cs="Arial"/>
          <w:color w:val="000000" w:themeColor="text1"/>
        </w:rPr>
        <w:t>4</w:t>
      </w:r>
      <w:r w:rsidRPr="00AF6856">
        <w:rPr>
          <w:rFonts w:ascii="Arial" w:hAnsi="Arial" w:cs="Arial"/>
          <w:color w:val="000000" w:themeColor="text1"/>
        </w:rPr>
        <w:t>: Logical Framework for VG02114</w:t>
      </w:r>
      <w:bookmarkEnd w:id="462"/>
    </w:p>
    <w:tbl>
      <w:tblPr>
        <w:tblStyle w:val="TableGrid"/>
        <w:tblW w:w="9478" w:type="dxa"/>
        <w:jc w:val="center"/>
        <w:tblLook w:val="04A0" w:firstRow="1" w:lastRow="0" w:firstColumn="1" w:lastColumn="0" w:noHBand="0" w:noVBand="1"/>
      </w:tblPr>
      <w:tblGrid>
        <w:gridCol w:w="1762"/>
        <w:gridCol w:w="7716"/>
      </w:tblGrid>
      <w:tr w:rsidR="002B5A16" w:rsidRPr="00972E5A" w:rsidTr="00AF6856">
        <w:trPr>
          <w:trHeight w:val="367"/>
          <w:jc w:val="center"/>
        </w:trPr>
        <w:tc>
          <w:tcPr>
            <w:tcW w:w="9478" w:type="dxa"/>
            <w:gridSpan w:val="2"/>
            <w:shd w:val="clear" w:color="auto" w:fill="D9D9D9" w:themeFill="background1" w:themeFillShade="D9"/>
          </w:tcPr>
          <w:p w:rsidR="002B5A16" w:rsidRPr="00FD13F9" w:rsidRDefault="002B5A16" w:rsidP="002B5A16">
            <w:pPr>
              <w:tabs>
                <w:tab w:val="left" w:pos="1620"/>
                <w:tab w:val="left" w:pos="10440"/>
              </w:tabs>
              <w:ind w:left="5"/>
              <w:rPr>
                <w:rFonts w:ascii="Arial" w:hAnsi="Arial" w:cs="Arial"/>
                <w:sz w:val="22"/>
                <w:szCs w:val="22"/>
              </w:rPr>
            </w:pPr>
            <w:r w:rsidRPr="00DE286F">
              <w:rPr>
                <w:rFonts w:ascii="Arial" w:hAnsi="Arial" w:cs="Arial"/>
                <w:sz w:val="22"/>
                <w:szCs w:val="18"/>
              </w:rPr>
              <w:t xml:space="preserve">VG02114: Development of smooth skinned easy peel </w:t>
            </w:r>
            <w:r>
              <w:rPr>
                <w:rFonts w:ascii="Arial" w:hAnsi="Arial" w:cs="Arial"/>
                <w:sz w:val="22"/>
                <w:szCs w:val="18"/>
              </w:rPr>
              <w:t>sweetpotato</w:t>
            </w:r>
            <w:r w:rsidRPr="00DE286F">
              <w:rPr>
                <w:rFonts w:ascii="Arial" w:hAnsi="Arial" w:cs="Arial"/>
                <w:sz w:val="22"/>
                <w:szCs w:val="18"/>
              </w:rPr>
              <w:t xml:space="preserve"> using smart state technology</w:t>
            </w:r>
          </w:p>
        </w:tc>
      </w:tr>
      <w:tr w:rsidR="002B5A16" w:rsidRPr="00D04886" w:rsidTr="00AF6856">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December 2002 to March 2006 </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Eric Coleman</w:t>
            </w:r>
          </w:p>
        </w:tc>
      </w:tr>
      <w:tr w:rsidR="002B5A16" w:rsidRPr="00D04886" w:rsidTr="00AF6856">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CE2869" w:rsidRDefault="002B5A16" w:rsidP="002B5A16">
            <w:pPr>
              <w:tabs>
                <w:tab w:val="left" w:pos="1620"/>
                <w:tab w:val="left" w:pos="10440"/>
              </w:tabs>
              <w:ind w:left="5"/>
              <w:rPr>
                <w:rFonts w:ascii="Arial" w:hAnsi="Arial" w:cs="Arial"/>
                <w:sz w:val="22"/>
              </w:rPr>
            </w:pPr>
            <w:r>
              <w:rPr>
                <w:rFonts w:ascii="Arial" w:hAnsi="Arial" w:cs="Arial"/>
                <w:sz w:val="22"/>
              </w:rPr>
              <w:t xml:space="preserve">Beauregard is known for the variability of its tubers and there is no market for roots that are not even in shape with easy to peel smooth bright skins. Prior to this project, it was hypothesised that pre-plant and transplant physiology played a role in determining the quality of sweetpotatoes but no research had been completed to understand the potential link. As a consequence, the project set out to explore the link between pre-plant and transplanting physiology to better understand how plant material, environment and management impact on resultant sweetpotato quality. </w:t>
            </w:r>
          </w:p>
        </w:tc>
      </w:tr>
      <w:tr w:rsidR="002B5A16" w:rsidRPr="00D04886" w:rsidTr="00AF6856">
        <w:trPr>
          <w:trHeight w:val="441"/>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Default="002B5A16" w:rsidP="000D5A34">
            <w:pPr>
              <w:pStyle w:val="ListParagraph"/>
              <w:numPr>
                <w:ilvl w:val="0"/>
                <w:numId w:val="48"/>
              </w:numPr>
              <w:tabs>
                <w:tab w:val="left" w:pos="1620"/>
                <w:tab w:val="left" w:pos="10440"/>
              </w:tabs>
              <w:suppressAutoHyphens/>
              <w:contextualSpacing w:val="0"/>
              <w:rPr>
                <w:rFonts w:ascii="Arial" w:hAnsi="Arial" w:cs="Arial"/>
                <w:sz w:val="22"/>
              </w:rPr>
            </w:pPr>
            <w:r>
              <w:rPr>
                <w:rFonts w:ascii="Arial" w:hAnsi="Arial" w:cs="Arial"/>
                <w:sz w:val="22"/>
              </w:rPr>
              <w:t>Determine whether improved planting techniques and plant establishment increase the yield of easy to peel sweetpotatoes cultivar Beauregard.</w:t>
            </w:r>
          </w:p>
          <w:p w:rsidR="002B5A16" w:rsidRPr="00096D6E" w:rsidRDefault="002B5A16" w:rsidP="000D5A34">
            <w:pPr>
              <w:pStyle w:val="ListParagraph"/>
              <w:numPr>
                <w:ilvl w:val="0"/>
                <w:numId w:val="48"/>
              </w:numPr>
              <w:tabs>
                <w:tab w:val="left" w:pos="1620"/>
                <w:tab w:val="left" w:pos="10440"/>
              </w:tabs>
              <w:suppressAutoHyphens/>
              <w:contextualSpacing w:val="0"/>
              <w:rPr>
                <w:rFonts w:ascii="Arial" w:hAnsi="Arial" w:cs="Arial"/>
                <w:sz w:val="22"/>
              </w:rPr>
            </w:pPr>
            <w:r>
              <w:rPr>
                <w:rFonts w:ascii="Arial" w:hAnsi="Arial" w:cs="Arial"/>
                <w:sz w:val="22"/>
              </w:rPr>
              <w:t>Develop new plant establishment protocols/techniques linked to climate and economic conditions that will allow growers to manipulate crop performance and generate higher marketable yields.</w:t>
            </w:r>
          </w:p>
        </w:tc>
      </w:tr>
      <w:tr w:rsidR="002B5A16" w:rsidRPr="00D04886" w:rsidTr="00AF6856">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Pr="00F1047A"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Review of literature and relevant planting technologies.</w:t>
            </w:r>
          </w:p>
          <w:p w:rsidR="002B5A16" w:rsidRPr="00CC7324"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Field experiments. Seven planting material experiments were completed that addressed: length and thickness of planting material, herbicide effects, planting orientation, planting method, number of nodes underground, seedling potential and irrigation. </w:t>
            </w:r>
          </w:p>
          <w:p w:rsidR="002B5A16" w:rsidRPr="00A633CD"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Factors important</w:t>
            </w:r>
            <w:r w:rsidRPr="00BC3100">
              <w:rPr>
                <w:rFonts w:ascii="Arial" w:hAnsi="Arial" w:cs="Arial"/>
                <w:sz w:val="22"/>
              </w:rPr>
              <w:t xml:space="preserve"> in early plant establishment </w:t>
            </w:r>
            <w:r>
              <w:rPr>
                <w:rFonts w:ascii="Arial" w:hAnsi="Arial" w:cs="Arial"/>
                <w:sz w:val="22"/>
              </w:rPr>
              <w:t xml:space="preserve">were </w:t>
            </w:r>
            <w:r w:rsidRPr="00BC3100">
              <w:rPr>
                <w:rFonts w:ascii="Arial" w:hAnsi="Arial" w:cs="Arial"/>
                <w:sz w:val="22"/>
              </w:rPr>
              <w:t xml:space="preserve">shown to be linked to </w:t>
            </w:r>
            <w:r>
              <w:rPr>
                <w:rFonts w:ascii="Arial" w:hAnsi="Arial" w:cs="Arial"/>
                <w:sz w:val="22"/>
              </w:rPr>
              <w:t xml:space="preserve">planting material </w:t>
            </w:r>
            <w:r w:rsidRPr="00BC3100">
              <w:rPr>
                <w:rFonts w:ascii="Arial" w:hAnsi="Arial" w:cs="Arial"/>
                <w:sz w:val="22"/>
              </w:rPr>
              <w:t xml:space="preserve">type, </w:t>
            </w:r>
            <w:r>
              <w:rPr>
                <w:rFonts w:ascii="Arial" w:hAnsi="Arial" w:cs="Arial"/>
                <w:sz w:val="22"/>
              </w:rPr>
              <w:t>planting material</w:t>
            </w:r>
            <w:r w:rsidRPr="00BC3100">
              <w:rPr>
                <w:rFonts w:ascii="Arial" w:hAnsi="Arial" w:cs="Arial"/>
                <w:sz w:val="22"/>
              </w:rPr>
              <w:t xml:space="preserve"> length, planting method, temperature, moisture and leaf area at or just after planting.</w:t>
            </w:r>
          </w:p>
          <w:p w:rsidR="002B5A16" w:rsidRPr="005D0C36"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Important factors in early establishment were incorporated into management protocols and introduced to growers through established extension channels.</w:t>
            </w:r>
          </w:p>
          <w:p w:rsidR="002B5A16" w:rsidRPr="00F42562"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The project showed that there is a strong linkage between early plant physiology and final root quality.</w:t>
            </w:r>
          </w:p>
        </w:tc>
      </w:tr>
      <w:tr w:rsidR="002B5A16" w:rsidRPr="00D04886" w:rsidTr="00AF6856">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Pr="00716546"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sidRPr="00F90641">
              <w:rPr>
                <w:rFonts w:ascii="Arial" w:hAnsi="Arial" w:cs="Arial"/>
                <w:sz w:val="22"/>
              </w:rPr>
              <w:t>Before this project</w:t>
            </w:r>
            <w:r>
              <w:rPr>
                <w:rFonts w:ascii="Arial" w:hAnsi="Arial" w:cs="Arial"/>
                <w:sz w:val="22"/>
              </w:rPr>
              <w:t>,</w:t>
            </w:r>
            <w:r w:rsidRPr="00F90641">
              <w:rPr>
                <w:rFonts w:ascii="Arial" w:hAnsi="Arial" w:cs="Arial"/>
                <w:sz w:val="22"/>
              </w:rPr>
              <w:t xml:space="preserve"> the majority of Australian </w:t>
            </w:r>
            <w:r>
              <w:rPr>
                <w:rFonts w:ascii="Arial" w:hAnsi="Arial" w:cs="Arial"/>
                <w:sz w:val="22"/>
              </w:rPr>
              <w:t xml:space="preserve">growers </w:t>
            </w:r>
            <w:r w:rsidRPr="00F90641">
              <w:rPr>
                <w:rFonts w:ascii="Arial" w:hAnsi="Arial" w:cs="Arial"/>
                <w:sz w:val="22"/>
              </w:rPr>
              <w:t xml:space="preserve">used a stick to push the </w:t>
            </w:r>
            <w:r>
              <w:rPr>
                <w:rFonts w:ascii="Arial" w:hAnsi="Arial" w:cs="Arial"/>
                <w:sz w:val="22"/>
              </w:rPr>
              <w:t>sweetpotato</w:t>
            </w:r>
            <w:r w:rsidRPr="00F90641">
              <w:rPr>
                <w:rFonts w:ascii="Arial" w:hAnsi="Arial" w:cs="Arial"/>
                <w:sz w:val="22"/>
              </w:rPr>
              <w:t xml:space="preserve"> </w:t>
            </w:r>
            <w:r>
              <w:rPr>
                <w:rFonts w:ascii="Arial" w:hAnsi="Arial" w:cs="Arial"/>
                <w:sz w:val="22"/>
              </w:rPr>
              <w:t xml:space="preserve">planting material </w:t>
            </w:r>
            <w:r w:rsidRPr="00F90641">
              <w:rPr>
                <w:rFonts w:ascii="Arial" w:hAnsi="Arial" w:cs="Arial"/>
                <w:sz w:val="22"/>
              </w:rPr>
              <w:t xml:space="preserve">into the soil resulting in a V shape plant. Crops would be irrigated initially and </w:t>
            </w:r>
            <w:r>
              <w:rPr>
                <w:rFonts w:ascii="Arial" w:hAnsi="Arial" w:cs="Arial"/>
                <w:sz w:val="22"/>
              </w:rPr>
              <w:t xml:space="preserve">then </w:t>
            </w:r>
            <w:r w:rsidRPr="00F90641">
              <w:rPr>
                <w:rFonts w:ascii="Arial" w:hAnsi="Arial" w:cs="Arial"/>
                <w:sz w:val="22"/>
              </w:rPr>
              <w:t xml:space="preserve">not </w:t>
            </w:r>
            <w:r>
              <w:rPr>
                <w:rFonts w:ascii="Arial" w:hAnsi="Arial" w:cs="Arial"/>
                <w:sz w:val="22"/>
              </w:rPr>
              <w:t xml:space="preserve">attended to </w:t>
            </w:r>
            <w:r w:rsidRPr="00F90641">
              <w:rPr>
                <w:rFonts w:ascii="Arial" w:hAnsi="Arial" w:cs="Arial"/>
                <w:sz w:val="22"/>
              </w:rPr>
              <w:t xml:space="preserve">until six weeks after planting. </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F90641">
              <w:rPr>
                <w:rFonts w:ascii="Arial" w:hAnsi="Arial" w:cs="Arial"/>
                <w:sz w:val="22"/>
              </w:rPr>
              <w:t xml:space="preserve">It is now estimated that 80% of the Australian industry has adopted </w:t>
            </w:r>
            <w:r>
              <w:rPr>
                <w:rFonts w:ascii="Arial" w:hAnsi="Arial" w:cs="Arial"/>
                <w:sz w:val="22"/>
              </w:rPr>
              <w:t xml:space="preserve">the </w:t>
            </w:r>
            <w:r w:rsidRPr="00F90641">
              <w:rPr>
                <w:rFonts w:ascii="Arial" w:hAnsi="Arial" w:cs="Arial"/>
                <w:sz w:val="22"/>
              </w:rPr>
              <w:t>flat planting technique and frequent early irrigation</w:t>
            </w:r>
            <w:r>
              <w:rPr>
                <w:rFonts w:ascii="Arial" w:hAnsi="Arial" w:cs="Arial"/>
                <w:sz w:val="22"/>
              </w:rPr>
              <w:t xml:space="preserve"> recommended by this project</w:t>
            </w:r>
            <w:r w:rsidRPr="00F90641">
              <w:rPr>
                <w:rFonts w:ascii="Arial" w:hAnsi="Arial" w:cs="Arial"/>
                <w:sz w:val="22"/>
              </w:rPr>
              <w:t xml:space="preserve">. </w:t>
            </w:r>
          </w:p>
          <w:p w:rsidR="002B5A16" w:rsidRPr="005102A2"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F90641">
              <w:rPr>
                <w:rFonts w:ascii="Arial" w:hAnsi="Arial" w:cs="Arial"/>
                <w:sz w:val="22"/>
              </w:rPr>
              <w:t>Many growers now use mechanical</w:t>
            </w:r>
            <w:r w:rsidRPr="005102A2">
              <w:rPr>
                <w:rFonts w:ascii="Arial" w:hAnsi="Arial" w:cs="Arial"/>
                <w:sz w:val="22"/>
              </w:rPr>
              <w:t xml:space="preserve"> planters for flat planting and have adopted trickle irrigation</w:t>
            </w:r>
            <w:r>
              <w:rPr>
                <w:rFonts w:ascii="Arial" w:hAnsi="Arial" w:cs="Arial"/>
                <w:sz w:val="22"/>
              </w:rPr>
              <w:t>.</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5102A2">
              <w:rPr>
                <w:rFonts w:ascii="Arial" w:hAnsi="Arial" w:cs="Arial"/>
                <w:sz w:val="22"/>
              </w:rPr>
              <w:t>As a result</w:t>
            </w:r>
            <w:r>
              <w:rPr>
                <w:rFonts w:ascii="Arial" w:hAnsi="Arial" w:cs="Arial"/>
                <w:sz w:val="22"/>
              </w:rPr>
              <w:t xml:space="preserve"> of the change in planting technique and plant establishment care, a reduction in time to maturity and an improvement in final root shape have been achieved.</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In addition, </w:t>
            </w:r>
            <w:r w:rsidRPr="005102A2">
              <w:rPr>
                <w:rFonts w:ascii="Arial" w:hAnsi="Arial" w:cs="Arial"/>
                <w:sz w:val="22"/>
              </w:rPr>
              <w:t>new experi</w:t>
            </w:r>
            <w:r>
              <w:rPr>
                <w:rFonts w:ascii="Arial" w:hAnsi="Arial" w:cs="Arial"/>
                <w:sz w:val="22"/>
              </w:rPr>
              <w:t>mental techniques were pioneered</w:t>
            </w:r>
            <w:r w:rsidRPr="002202C5">
              <w:rPr>
                <w:rFonts w:ascii="Arial" w:hAnsi="Arial" w:cs="Arial"/>
                <w:sz w:val="22"/>
              </w:rPr>
              <w:t xml:space="preserve"> </w:t>
            </w:r>
            <w:r>
              <w:rPr>
                <w:rFonts w:ascii="Arial" w:hAnsi="Arial" w:cs="Arial"/>
                <w:sz w:val="22"/>
              </w:rPr>
              <w:t>through this project to reduce plant to plant variability and measure changes in root development.</w:t>
            </w:r>
          </w:p>
        </w:tc>
      </w:tr>
      <w:tr w:rsidR="002B5A16" w:rsidRPr="00D04886" w:rsidTr="00AF6856">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DA3EE4"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Increased average yield – a 50% improvement in premium grade, sweetpotato yield </w:t>
            </w:r>
            <w:r w:rsidRPr="00DA3EE4">
              <w:rPr>
                <w:rFonts w:ascii="Arial" w:hAnsi="Arial" w:cs="Arial"/>
                <w:sz w:val="22"/>
              </w:rPr>
              <w:t xml:space="preserve">(more </w:t>
            </w:r>
            <w:r>
              <w:rPr>
                <w:rFonts w:ascii="Arial" w:hAnsi="Arial" w:cs="Arial"/>
                <w:sz w:val="22"/>
              </w:rPr>
              <w:t>sweetpotato</w:t>
            </w:r>
            <w:r w:rsidRPr="00DA3EE4">
              <w:rPr>
                <w:rFonts w:ascii="Arial" w:hAnsi="Arial" w:cs="Arial"/>
                <w:sz w:val="22"/>
              </w:rPr>
              <w:t>es of marketable size).</w:t>
            </w:r>
          </w:p>
          <w:p w:rsidR="002B5A16" w:rsidRPr="00096D6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Cost reduction and increased profitability (fertiliser savings in some growing areas).</w:t>
            </w:r>
          </w:p>
          <w:p w:rsidR="002B5A16" w:rsidRPr="00D04693"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research capacity (agronomic research techniques)</w:t>
            </w:r>
            <w:r w:rsidRPr="002202C5">
              <w:rPr>
                <w:rFonts w:ascii="Arial" w:hAnsi="Arial" w:cs="Arial"/>
                <w:sz w:val="22"/>
              </w:rPr>
              <w:t>.</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regional income in Australia (spillover).</w:t>
            </w:r>
          </w:p>
        </w:tc>
      </w:tr>
    </w:tbl>
    <w:p w:rsidR="002B5A16" w:rsidRDefault="002B5A16" w:rsidP="002B5A16"/>
    <w:p w:rsidR="002B5A16" w:rsidRPr="00AF6856" w:rsidRDefault="002B5A16" w:rsidP="00AF6856">
      <w:pPr>
        <w:spacing w:after="240"/>
        <w:jc w:val="center"/>
        <w:rPr>
          <w:rFonts w:ascii="Arial" w:hAnsi="Arial" w:cs="Arial"/>
          <w:color w:val="000000" w:themeColor="text1"/>
        </w:rPr>
      </w:pPr>
      <w:bookmarkStart w:id="463" w:name="_Toc487091279"/>
      <w:r w:rsidRPr="00AF6856">
        <w:rPr>
          <w:rFonts w:ascii="Arial" w:hAnsi="Arial" w:cs="Arial"/>
          <w:color w:val="000000" w:themeColor="text1"/>
        </w:rPr>
        <w:t xml:space="preserve">Table </w:t>
      </w:r>
      <w:r w:rsidR="00913E1D">
        <w:rPr>
          <w:rFonts w:ascii="Arial" w:hAnsi="Arial" w:cs="Arial"/>
          <w:color w:val="000000" w:themeColor="text1"/>
        </w:rPr>
        <w:t>5</w:t>
      </w:r>
      <w:r w:rsidRPr="00AF6856">
        <w:rPr>
          <w:rFonts w:ascii="Arial" w:hAnsi="Arial" w:cs="Arial"/>
          <w:color w:val="000000" w:themeColor="text1"/>
        </w:rPr>
        <w:t>: Logical Framework for VG05037</w:t>
      </w:r>
      <w:bookmarkEnd w:id="463"/>
    </w:p>
    <w:tbl>
      <w:tblPr>
        <w:tblStyle w:val="TableGrid"/>
        <w:tblW w:w="9478" w:type="dxa"/>
        <w:jc w:val="center"/>
        <w:tblLook w:val="04A0" w:firstRow="1" w:lastRow="0" w:firstColumn="1" w:lastColumn="0" w:noHBand="0" w:noVBand="1"/>
      </w:tblPr>
      <w:tblGrid>
        <w:gridCol w:w="1762"/>
        <w:gridCol w:w="7716"/>
      </w:tblGrid>
      <w:tr w:rsidR="002B5A16" w:rsidRPr="00972E5A" w:rsidTr="00AF6856">
        <w:trPr>
          <w:trHeight w:val="367"/>
          <w:jc w:val="center"/>
        </w:trPr>
        <w:tc>
          <w:tcPr>
            <w:tcW w:w="9478" w:type="dxa"/>
            <w:gridSpan w:val="2"/>
            <w:shd w:val="clear" w:color="auto" w:fill="D9D9D9" w:themeFill="background1" w:themeFillShade="D9"/>
          </w:tcPr>
          <w:p w:rsidR="002B5A16" w:rsidRPr="00A0106B" w:rsidRDefault="002B5A16" w:rsidP="002B5A16">
            <w:pPr>
              <w:tabs>
                <w:tab w:val="left" w:pos="1620"/>
                <w:tab w:val="left" w:pos="10440"/>
              </w:tabs>
              <w:ind w:left="5"/>
              <w:rPr>
                <w:rFonts w:ascii="Arial" w:hAnsi="Arial" w:cs="Arial"/>
                <w:sz w:val="22"/>
                <w:szCs w:val="22"/>
              </w:rPr>
            </w:pPr>
            <w:r w:rsidRPr="00A0106B">
              <w:rPr>
                <w:rFonts w:ascii="Arial" w:hAnsi="Arial" w:cs="Arial"/>
                <w:sz w:val="22"/>
                <w:szCs w:val="18"/>
              </w:rPr>
              <w:t xml:space="preserve">VG05037: Improving the management of </w:t>
            </w:r>
            <w:r>
              <w:rPr>
                <w:rFonts w:ascii="Arial" w:hAnsi="Arial" w:cs="Arial"/>
                <w:sz w:val="22"/>
                <w:szCs w:val="18"/>
              </w:rPr>
              <w:t>sweetpotato</w:t>
            </w:r>
            <w:r w:rsidRPr="00A0106B">
              <w:rPr>
                <w:rFonts w:ascii="Arial" w:hAnsi="Arial" w:cs="Arial"/>
                <w:sz w:val="22"/>
                <w:szCs w:val="18"/>
              </w:rPr>
              <w:t xml:space="preserve"> soil insect pests</w:t>
            </w:r>
          </w:p>
        </w:tc>
      </w:tr>
      <w:tr w:rsidR="002B5A16" w:rsidRPr="00D04886" w:rsidTr="00AF6856">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July 2005 to November 2009 (extended to 31 May 2010)</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Russell McCrystal</w:t>
            </w:r>
          </w:p>
        </w:tc>
      </w:tr>
      <w:tr w:rsidR="002B5A16" w:rsidRPr="00D04886" w:rsidTr="00AF6856">
        <w:trPr>
          <w:trHeight w:val="546"/>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9A55BF" w:rsidRDefault="002B5A16" w:rsidP="002B5A16">
            <w:pPr>
              <w:tabs>
                <w:tab w:val="left" w:pos="1620"/>
                <w:tab w:val="left" w:pos="10440"/>
              </w:tabs>
              <w:ind w:left="5"/>
              <w:rPr>
                <w:rFonts w:ascii="Arial" w:hAnsi="Arial" w:cs="Arial"/>
                <w:sz w:val="22"/>
                <w:szCs w:val="22"/>
              </w:rPr>
            </w:pPr>
            <w:r w:rsidRPr="009A55BF">
              <w:rPr>
                <w:rFonts w:ascii="Arial" w:hAnsi="Arial" w:cs="Arial"/>
                <w:sz w:val="22"/>
                <w:szCs w:val="22"/>
              </w:rPr>
              <w:t xml:space="preserve">The Australian </w:t>
            </w:r>
            <w:r>
              <w:rPr>
                <w:rFonts w:ascii="Arial" w:hAnsi="Arial" w:cs="Arial"/>
                <w:sz w:val="22"/>
                <w:szCs w:val="22"/>
              </w:rPr>
              <w:t>Sweetpotato</w:t>
            </w:r>
            <w:r w:rsidRPr="009A55BF">
              <w:rPr>
                <w:rFonts w:ascii="Arial" w:hAnsi="Arial" w:cs="Arial"/>
                <w:sz w:val="22"/>
                <w:szCs w:val="22"/>
              </w:rPr>
              <w:t xml:space="preserve"> Growers (AS</w:t>
            </w:r>
            <w:r>
              <w:rPr>
                <w:rFonts w:ascii="Arial" w:hAnsi="Arial" w:cs="Arial"/>
                <w:sz w:val="22"/>
                <w:szCs w:val="22"/>
              </w:rPr>
              <w:t>P</w:t>
            </w:r>
            <w:r w:rsidRPr="009A55BF">
              <w:rPr>
                <w:rFonts w:ascii="Arial" w:hAnsi="Arial" w:cs="Arial"/>
                <w:sz w:val="22"/>
                <w:szCs w:val="22"/>
              </w:rPr>
              <w:t>G) group identified soil insect pest management as the industry’s number one research priority.</w:t>
            </w:r>
            <w:r>
              <w:rPr>
                <w:rFonts w:ascii="Arial" w:hAnsi="Arial" w:cs="Arial"/>
                <w:sz w:val="22"/>
                <w:szCs w:val="22"/>
              </w:rPr>
              <w:t xml:space="preserve"> Growers are continually reporting increased incidence of major soil insect damage. At the start of this project the only means of controlling these pests was through the application of multiple broad spectrum insecticides incorporated in the soil prior to planting and foliar applied during crop development. Insecticides were often applied as ‘insurance cover’ when possibly the wrong insecticide was being used or it was not needed at all.</w:t>
            </w:r>
          </w:p>
        </w:tc>
      </w:tr>
      <w:tr w:rsidR="002B5A16" w:rsidRPr="00D04886" w:rsidTr="00AF6856">
        <w:trPr>
          <w:trHeight w:val="650"/>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Pr="009A55BF" w:rsidRDefault="002B5A16" w:rsidP="002B5A16">
            <w:pPr>
              <w:autoSpaceDE w:val="0"/>
              <w:autoSpaceDN w:val="0"/>
              <w:adjustRightInd w:val="0"/>
              <w:rPr>
                <w:rFonts w:ascii="Arial" w:hAnsi="Arial" w:cs="Arial"/>
                <w:sz w:val="22"/>
                <w:szCs w:val="22"/>
              </w:rPr>
            </w:pPr>
            <w:r w:rsidRPr="009A55BF">
              <w:rPr>
                <w:rFonts w:ascii="Arial" w:hAnsi="Arial" w:cs="Arial"/>
                <w:sz w:val="22"/>
                <w:szCs w:val="22"/>
              </w:rPr>
              <w:t xml:space="preserve">Develop management strategies for </w:t>
            </w:r>
            <w:r>
              <w:rPr>
                <w:rFonts w:ascii="Arial" w:hAnsi="Arial" w:cs="Arial"/>
                <w:sz w:val="22"/>
                <w:szCs w:val="22"/>
              </w:rPr>
              <w:t>sweetpotato</w:t>
            </w:r>
            <w:r w:rsidRPr="009A55BF">
              <w:rPr>
                <w:rFonts w:ascii="Arial" w:hAnsi="Arial" w:cs="Arial"/>
                <w:sz w:val="22"/>
                <w:szCs w:val="22"/>
              </w:rPr>
              <w:t xml:space="preserve"> pests including </w:t>
            </w:r>
            <w:r>
              <w:rPr>
                <w:rFonts w:ascii="Arial" w:hAnsi="Arial" w:cs="Arial"/>
                <w:sz w:val="22"/>
                <w:szCs w:val="22"/>
              </w:rPr>
              <w:t>sweetpotato</w:t>
            </w:r>
            <w:r w:rsidRPr="009A55BF">
              <w:rPr>
                <w:rFonts w:ascii="Arial" w:hAnsi="Arial" w:cs="Arial"/>
                <w:sz w:val="22"/>
                <w:szCs w:val="22"/>
              </w:rPr>
              <w:t xml:space="preserve"> weevil (</w:t>
            </w:r>
            <w:r w:rsidRPr="009A55BF">
              <w:rPr>
                <w:rFonts w:ascii="Arial" w:hAnsi="Arial" w:cs="Arial"/>
                <w:i/>
                <w:iCs/>
                <w:sz w:val="22"/>
                <w:szCs w:val="22"/>
              </w:rPr>
              <w:t>Cylas formicarius</w:t>
            </w:r>
            <w:r w:rsidRPr="009A55BF">
              <w:rPr>
                <w:rFonts w:ascii="Arial" w:hAnsi="Arial" w:cs="Arial"/>
                <w:sz w:val="22"/>
                <w:szCs w:val="22"/>
              </w:rPr>
              <w:t>), root-knot nematode (</w:t>
            </w:r>
            <w:r w:rsidRPr="009A55BF">
              <w:rPr>
                <w:rFonts w:ascii="Arial" w:hAnsi="Arial" w:cs="Arial"/>
                <w:i/>
                <w:iCs/>
                <w:sz w:val="22"/>
                <w:szCs w:val="22"/>
              </w:rPr>
              <w:t xml:space="preserve">Meloidogyne </w:t>
            </w:r>
            <w:r w:rsidRPr="009A55BF">
              <w:rPr>
                <w:rFonts w:ascii="Arial" w:hAnsi="Arial" w:cs="Arial"/>
                <w:sz w:val="22"/>
                <w:szCs w:val="22"/>
              </w:rPr>
              <w:t>spp.) and both true and false wireworm (Elateridae and Tenebrionidae families).</w:t>
            </w:r>
          </w:p>
        </w:tc>
      </w:tr>
      <w:tr w:rsidR="002B5A16" w:rsidRPr="00D04886" w:rsidTr="00AF6856">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Review of the scientific literature.</w:t>
            </w:r>
          </w:p>
          <w:p w:rsidR="002B5A16" w:rsidRPr="009A55BF"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9A55BF">
              <w:rPr>
                <w:rFonts w:ascii="Arial" w:hAnsi="Arial" w:cs="Arial"/>
                <w:sz w:val="22"/>
                <w:szCs w:val="22"/>
              </w:rPr>
              <w:t xml:space="preserve">Assessment of the efficacy of insecticides for the control of </w:t>
            </w:r>
            <w:r>
              <w:rPr>
                <w:rFonts w:ascii="Arial" w:hAnsi="Arial" w:cs="Arial"/>
                <w:sz w:val="22"/>
                <w:szCs w:val="22"/>
              </w:rPr>
              <w:t>sweetpotato</w:t>
            </w:r>
            <w:r w:rsidRPr="009A55BF">
              <w:rPr>
                <w:rFonts w:ascii="Arial" w:hAnsi="Arial" w:cs="Arial"/>
                <w:sz w:val="22"/>
                <w:szCs w:val="22"/>
              </w:rPr>
              <w:t xml:space="preserve"> weevil</w:t>
            </w:r>
            <w:r>
              <w:rPr>
                <w:rFonts w:ascii="Arial" w:hAnsi="Arial" w:cs="Arial"/>
                <w:sz w:val="22"/>
                <w:szCs w:val="22"/>
              </w:rPr>
              <w:t xml:space="preserve"> (1 insecticide)</w:t>
            </w:r>
            <w:r w:rsidRPr="009A55BF">
              <w:rPr>
                <w:rFonts w:ascii="Arial" w:hAnsi="Arial" w:cs="Arial"/>
                <w:sz w:val="22"/>
                <w:szCs w:val="22"/>
              </w:rPr>
              <w:t xml:space="preserve">, root-knot nematode </w:t>
            </w:r>
            <w:r>
              <w:rPr>
                <w:rFonts w:ascii="Arial" w:hAnsi="Arial" w:cs="Arial"/>
                <w:sz w:val="22"/>
                <w:szCs w:val="22"/>
              </w:rPr>
              <w:t xml:space="preserve">(1 nematicide) </w:t>
            </w:r>
            <w:r w:rsidRPr="009A55BF">
              <w:rPr>
                <w:rFonts w:ascii="Arial" w:hAnsi="Arial" w:cs="Arial"/>
                <w:sz w:val="22"/>
                <w:szCs w:val="22"/>
              </w:rPr>
              <w:t xml:space="preserve">and wireworm </w:t>
            </w:r>
            <w:r>
              <w:rPr>
                <w:rFonts w:ascii="Arial" w:hAnsi="Arial" w:cs="Arial"/>
                <w:sz w:val="22"/>
                <w:szCs w:val="22"/>
              </w:rPr>
              <w:t xml:space="preserve">(5 insecticides) </w:t>
            </w:r>
            <w:r w:rsidRPr="009A55BF">
              <w:rPr>
                <w:rFonts w:ascii="Arial" w:hAnsi="Arial" w:cs="Arial"/>
                <w:sz w:val="22"/>
                <w:szCs w:val="22"/>
              </w:rPr>
              <w:t xml:space="preserve">in the </w:t>
            </w:r>
            <w:r>
              <w:rPr>
                <w:rFonts w:ascii="Arial" w:hAnsi="Arial" w:cs="Arial"/>
                <w:sz w:val="22"/>
                <w:szCs w:val="22"/>
              </w:rPr>
              <w:t>Australian sweetpotato</w:t>
            </w:r>
            <w:r w:rsidRPr="009A55BF">
              <w:rPr>
                <w:rFonts w:ascii="Arial" w:hAnsi="Arial" w:cs="Arial"/>
                <w:sz w:val="22"/>
                <w:szCs w:val="22"/>
              </w:rPr>
              <w:t xml:space="preserve"> cropping system.</w:t>
            </w:r>
          </w:p>
          <w:p w:rsidR="002B5A16" w:rsidRPr="009A55BF"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9A55BF">
              <w:rPr>
                <w:rFonts w:ascii="Arial" w:hAnsi="Arial" w:cs="Arial"/>
                <w:sz w:val="22"/>
                <w:szCs w:val="22"/>
              </w:rPr>
              <w:t xml:space="preserve">Identify new ‘soft options’ which have the potential to contribute to </w:t>
            </w:r>
            <w:r>
              <w:rPr>
                <w:rFonts w:ascii="Arial" w:hAnsi="Arial" w:cs="Arial"/>
                <w:sz w:val="22"/>
                <w:szCs w:val="22"/>
              </w:rPr>
              <w:t>sweetpotato</w:t>
            </w:r>
            <w:r w:rsidRPr="009A55BF">
              <w:rPr>
                <w:rFonts w:ascii="Arial" w:hAnsi="Arial" w:cs="Arial"/>
                <w:sz w:val="22"/>
                <w:szCs w:val="22"/>
              </w:rPr>
              <w:t xml:space="preserve"> </w:t>
            </w:r>
            <w:r>
              <w:rPr>
                <w:rFonts w:ascii="Arial" w:hAnsi="Arial" w:cs="Arial"/>
                <w:sz w:val="22"/>
                <w:szCs w:val="22"/>
              </w:rPr>
              <w:t>Integrated Pest Management (</w:t>
            </w:r>
            <w:r w:rsidRPr="009A55BF">
              <w:rPr>
                <w:rFonts w:ascii="Arial" w:hAnsi="Arial" w:cs="Arial"/>
                <w:sz w:val="22"/>
                <w:szCs w:val="22"/>
              </w:rPr>
              <w:t>IPM</w:t>
            </w:r>
            <w:r>
              <w:rPr>
                <w:rFonts w:ascii="Arial" w:hAnsi="Arial" w:cs="Arial"/>
                <w:sz w:val="22"/>
                <w:szCs w:val="22"/>
              </w:rPr>
              <w:t>)</w:t>
            </w:r>
            <w:r w:rsidRPr="009A55BF">
              <w:rPr>
                <w:rFonts w:ascii="Arial" w:hAnsi="Arial" w:cs="Arial"/>
                <w:sz w:val="22"/>
                <w:szCs w:val="22"/>
              </w:rPr>
              <w:t xml:space="preserve"> systems.</w:t>
            </w:r>
          </w:p>
          <w:p w:rsidR="002B5A16" w:rsidRPr="009A55BF"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9A55BF">
              <w:rPr>
                <w:rFonts w:ascii="Arial" w:hAnsi="Arial" w:cs="Arial"/>
                <w:sz w:val="22"/>
                <w:szCs w:val="22"/>
              </w:rPr>
              <w:t xml:space="preserve">Conduct an insect pest and control practices survey of the </w:t>
            </w:r>
            <w:r>
              <w:rPr>
                <w:rFonts w:ascii="Arial" w:hAnsi="Arial" w:cs="Arial"/>
                <w:sz w:val="22"/>
                <w:szCs w:val="22"/>
              </w:rPr>
              <w:t>sweetpotato</w:t>
            </w:r>
            <w:r w:rsidRPr="009A55BF">
              <w:rPr>
                <w:rFonts w:ascii="Arial" w:hAnsi="Arial" w:cs="Arial"/>
                <w:sz w:val="22"/>
                <w:szCs w:val="22"/>
              </w:rPr>
              <w:t xml:space="preserve"> industry.</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9A55BF">
              <w:rPr>
                <w:rFonts w:ascii="Arial" w:hAnsi="Arial" w:cs="Arial"/>
                <w:sz w:val="22"/>
                <w:szCs w:val="22"/>
              </w:rPr>
              <w:t>Develop and test improved IPM strategies, which included pheromone technology.</w:t>
            </w:r>
          </w:p>
          <w:p w:rsidR="002B5A16" w:rsidRPr="009A55BF"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Extension of project results through facilitated sessions in Bundaberg and Cudgen.</w:t>
            </w:r>
          </w:p>
        </w:tc>
      </w:tr>
      <w:tr w:rsidR="002B5A16" w:rsidRPr="00D04886" w:rsidTr="00AF6856">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Pr="00042967"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042967">
              <w:rPr>
                <w:rFonts w:ascii="Arial" w:hAnsi="Arial" w:cs="Arial"/>
                <w:sz w:val="22"/>
                <w:szCs w:val="22"/>
              </w:rPr>
              <w:t>Two minor use chemical permits renewed for wireworm – bifenthrin and chlorpyrifos.</w:t>
            </w:r>
          </w:p>
          <w:p w:rsidR="002B5A16" w:rsidRPr="00266C00"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266C00">
              <w:rPr>
                <w:rFonts w:ascii="Arial" w:hAnsi="Arial" w:cs="Arial"/>
                <w:sz w:val="22"/>
                <w:szCs w:val="22"/>
              </w:rPr>
              <w:t xml:space="preserve">A more effective means of delivering smaller amounts of fipronil through drip irrigation against wireworm was demonstrated. </w:t>
            </w:r>
          </w:p>
          <w:p w:rsidR="002B5A16" w:rsidRPr="00266C00"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266C00">
              <w:rPr>
                <w:rFonts w:ascii="Arial" w:hAnsi="Arial" w:cs="Arial"/>
                <w:sz w:val="22"/>
                <w:szCs w:val="22"/>
              </w:rPr>
              <w:t>Oxamyl was shown to be an effective alternative to fenamiphos against root-knot nematode.</w:t>
            </w:r>
          </w:p>
          <w:p w:rsidR="002B5A16" w:rsidRPr="00266C00"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266C00">
              <w:rPr>
                <w:rFonts w:ascii="Arial" w:hAnsi="Arial" w:cs="Arial"/>
                <w:sz w:val="22"/>
                <w:szCs w:val="22"/>
              </w:rPr>
              <w:t xml:space="preserve">Thiamethoxam applied to the soil prior to planting was shown to be effective for the control of </w:t>
            </w:r>
            <w:r>
              <w:rPr>
                <w:rFonts w:ascii="Arial" w:hAnsi="Arial" w:cs="Arial"/>
                <w:sz w:val="22"/>
                <w:szCs w:val="22"/>
              </w:rPr>
              <w:t>sweetpotato</w:t>
            </w:r>
            <w:r w:rsidRPr="00266C00">
              <w:rPr>
                <w:rFonts w:ascii="Arial" w:hAnsi="Arial" w:cs="Arial"/>
                <w:sz w:val="22"/>
                <w:szCs w:val="22"/>
              </w:rPr>
              <w:t xml:space="preserve"> weevil. This new insecticide has a low impact on beneficial arthropods and potentially is a good ‘IPM fit’.</w:t>
            </w:r>
          </w:p>
          <w:p w:rsidR="002B5A16" w:rsidRPr="00042967"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266C00">
              <w:rPr>
                <w:rFonts w:ascii="Arial" w:hAnsi="Arial" w:cs="Arial"/>
                <w:sz w:val="22"/>
                <w:szCs w:val="22"/>
              </w:rPr>
              <w:t>Use</w:t>
            </w:r>
            <w:r w:rsidRPr="00042967">
              <w:rPr>
                <w:rFonts w:ascii="Arial" w:hAnsi="Arial" w:cs="Arial"/>
                <w:sz w:val="22"/>
                <w:szCs w:val="22"/>
              </w:rPr>
              <w:t xml:space="preserve"> of pheromones for control of </w:t>
            </w:r>
            <w:r>
              <w:rPr>
                <w:rFonts w:ascii="Arial" w:hAnsi="Arial" w:cs="Arial"/>
                <w:sz w:val="22"/>
                <w:szCs w:val="22"/>
              </w:rPr>
              <w:t>sweetpotato</w:t>
            </w:r>
            <w:r w:rsidRPr="00042967">
              <w:rPr>
                <w:rFonts w:ascii="Arial" w:hAnsi="Arial" w:cs="Arial"/>
                <w:sz w:val="22"/>
                <w:szCs w:val="22"/>
              </w:rPr>
              <w:t xml:space="preserve"> weevil was successfully demonstrated on a grower’s property. </w:t>
            </w:r>
            <w:r>
              <w:rPr>
                <w:rFonts w:ascii="Arial" w:hAnsi="Arial" w:cs="Arial"/>
                <w:sz w:val="22"/>
                <w:szCs w:val="22"/>
              </w:rPr>
              <w:t xml:space="preserve">A </w:t>
            </w:r>
            <w:r w:rsidRPr="00042967">
              <w:rPr>
                <w:rFonts w:ascii="Arial" w:hAnsi="Arial" w:cs="Arial"/>
                <w:sz w:val="22"/>
                <w:szCs w:val="22"/>
              </w:rPr>
              <w:t>subsequent survey showed that use of pheromones by growers in Bundaberg increased from 6% in 2006 to 80% in 2010.</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042967">
              <w:rPr>
                <w:rFonts w:ascii="Arial" w:hAnsi="Arial" w:cs="Arial"/>
                <w:sz w:val="22"/>
                <w:szCs w:val="22"/>
              </w:rPr>
              <w:t xml:space="preserve">The same survey showed that </w:t>
            </w:r>
            <w:r>
              <w:rPr>
                <w:rFonts w:ascii="Arial" w:hAnsi="Arial" w:cs="Arial"/>
                <w:sz w:val="22"/>
                <w:szCs w:val="22"/>
              </w:rPr>
              <w:t xml:space="preserve">30% of </w:t>
            </w:r>
            <w:r w:rsidRPr="00042967">
              <w:rPr>
                <w:rFonts w:ascii="Arial" w:hAnsi="Arial" w:cs="Arial"/>
                <w:sz w:val="22"/>
                <w:szCs w:val="22"/>
              </w:rPr>
              <w:t>Bundaberg growers</w:t>
            </w:r>
            <w:r>
              <w:rPr>
                <w:rFonts w:ascii="Arial" w:hAnsi="Arial" w:cs="Arial"/>
                <w:sz w:val="22"/>
                <w:szCs w:val="22"/>
              </w:rPr>
              <w:t xml:space="preserve"> now have nematode surveys done before planting. Previously there was no surveying (i.e. the work has resulted in a practical application of IPM principles).</w:t>
            </w:r>
          </w:p>
          <w:p w:rsidR="002B5A16" w:rsidRPr="00042967"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 xml:space="preserve">The grower survey also showed a significant decrease in routine use of insecticides prior to sweetpotato planting. </w:t>
            </w:r>
            <w:r w:rsidRPr="00F63F6F">
              <w:rPr>
                <w:rFonts w:ascii="Arial" w:hAnsi="Arial" w:cs="Arial"/>
                <w:sz w:val="22"/>
                <w:szCs w:val="22"/>
              </w:rPr>
              <w:t>The reduction in insecticide use has been mostly from the group</w:t>
            </w:r>
            <w:r>
              <w:rPr>
                <w:rFonts w:ascii="Arial" w:hAnsi="Arial" w:cs="Arial"/>
                <w:sz w:val="22"/>
                <w:szCs w:val="22"/>
              </w:rPr>
              <w:t xml:space="preserve"> </w:t>
            </w:r>
            <w:r w:rsidRPr="00F63F6F">
              <w:rPr>
                <w:rFonts w:ascii="Arial" w:hAnsi="Arial" w:cs="Arial"/>
                <w:sz w:val="22"/>
                <w:szCs w:val="22"/>
              </w:rPr>
              <w:t>‘organophosphates’.</w:t>
            </w:r>
          </w:p>
        </w:tc>
      </w:tr>
      <w:tr w:rsidR="002B5A16" w:rsidRPr="00D04886" w:rsidTr="00AF6856">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3610DC"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9A55BF">
              <w:rPr>
                <w:rFonts w:ascii="Arial" w:hAnsi="Arial" w:cs="Arial"/>
                <w:sz w:val="22"/>
                <w:szCs w:val="22"/>
              </w:rPr>
              <w:t xml:space="preserve">Increased </w:t>
            </w:r>
            <w:r>
              <w:rPr>
                <w:rFonts w:ascii="Arial" w:hAnsi="Arial" w:cs="Arial"/>
                <w:sz w:val="22"/>
                <w:szCs w:val="22"/>
              </w:rPr>
              <w:t xml:space="preserve">average </w:t>
            </w:r>
            <w:r w:rsidRPr="009A55BF">
              <w:rPr>
                <w:rFonts w:ascii="Arial" w:hAnsi="Arial" w:cs="Arial"/>
                <w:sz w:val="22"/>
                <w:szCs w:val="22"/>
              </w:rPr>
              <w:t>yield</w:t>
            </w:r>
            <w:r>
              <w:rPr>
                <w:rFonts w:ascii="Arial" w:hAnsi="Arial" w:cs="Arial"/>
                <w:sz w:val="22"/>
                <w:szCs w:val="22"/>
              </w:rPr>
              <w:t xml:space="preserve"> (wireworm, weevil and nematode control)</w:t>
            </w:r>
            <w:r w:rsidRPr="009A55BF">
              <w:rPr>
                <w:rFonts w:ascii="Arial" w:hAnsi="Arial" w:cs="Arial"/>
                <w:sz w:val="22"/>
                <w:szCs w:val="22"/>
              </w:rPr>
              <w:t>.</w:t>
            </w:r>
          </w:p>
          <w:p w:rsidR="002B5A16" w:rsidRPr="003610DC"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Increased profitability (chemical purchase savings i.e. more monitoring with less calendar sprays).</w:t>
            </w:r>
          </w:p>
          <w:p w:rsidR="002B5A16" w:rsidRPr="0074356A"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Fewer chemicals in the farm and district environment increasing biodiversity and water quality.</w:t>
            </w:r>
          </w:p>
          <w:p w:rsidR="002B5A16" w:rsidRPr="009A55BF"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rPr>
              <w:t>Increased regional income in Australia (spillover).</w:t>
            </w:r>
          </w:p>
        </w:tc>
      </w:tr>
    </w:tbl>
    <w:p w:rsidR="002B5A16" w:rsidRDefault="002B5A16" w:rsidP="002B5A16"/>
    <w:p w:rsidR="00EB01F3" w:rsidRDefault="00EB01F3" w:rsidP="002B5A16"/>
    <w:p w:rsidR="00EB01F3" w:rsidRDefault="00EB01F3" w:rsidP="002B5A16"/>
    <w:p w:rsidR="00EB01F3" w:rsidRDefault="00EB01F3" w:rsidP="002B5A16"/>
    <w:p w:rsidR="002B5A16" w:rsidRPr="00AF6856" w:rsidRDefault="002B5A16" w:rsidP="00AF6856">
      <w:pPr>
        <w:spacing w:after="240"/>
        <w:jc w:val="center"/>
        <w:rPr>
          <w:rFonts w:ascii="Arial" w:hAnsi="Arial" w:cs="Arial"/>
          <w:color w:val="000000" w:themeColor="text1"/>
        </w:rPr>
      </w:pPr>
      <w:bookmarkStart w:id="464" w:name="_Toc487091280"/>
      <w:r w:rsidRPr="00AF6856">
        <w:rPr>
          <w:rFonts w:ascii="Arial" w:hAnsi="Arial" w:cs="Arial"/>
          <w:color w:val="000000" w:themeColor="text1"/>
        </w:rPr>
        <w:t xml:space="preserve">Table </w:t>
      </w:r>
      <w:r w:rsidR="00913E1D">
        <w:rPr>
          <w:rFonts w:ascii="Arial" w:hAnsi="Arial" w:cs="Arial"/>
          <w:color w:val="000000" w:themeColor="text1"/>
        </w:rPr>
        <w:t>6</w:t>
      </w:r>
      <w:r w:rsidRPr="00AF6856">
        <w:rPr>
          <w:rFonts w:ascii="Arial" w:hAnsi="Arial" w:cs="Arial"/>
          <w:color w:val="000000" w:themeColor="text1"/>
        </w:rPr>
        <w:t>: Logical Framework for CP2004-071</w:t>
      </w:r>
      <w:bookmarkEnd w:id="464"/>
    </w:p>
    <w:tbl>
      <w:tblPr>
        <w:tblStyle w:val="TableGrid"/>
        <w:tblW w:w="9918" w:type="dxa"/>
        <w:jc w:val="center"/>
        <w:tblLook w:val="04A0" w:firstRow="1" w:lastRow="0" w:firstColumn="1" w:lastColumn="0" w:noHBand="0" w:noVBand="1"/>
      </w:tblPr>
      <w:tblGrid>
        <w:gridCol w:w="1762"/>
        <w:gridCol w:w="8156"/>
      </w:tblGrid>
      <w:tr w:rsidR="002B5A16" w:rsidRPr="00972E5A" w:rsidTr="00EB01F3">
        <w:trPr>
          <w:trHeight w:val="367"/>
          <w:jc w:val="center"/>
        </w:trPr>
        <w:tc>
          <w:tcPr>
            <w:tcW w:w="9918" w:type="dxa"/>
            <w:gridSpan w:val="2"/>
            <w:shd w:val="clear" w:color="auto" w:fill="D9D9D9" w:themeFill="background1" w:themeFillShade="D9"/>
          </w:tcPr>
          <w:p w:rsidR="002B5A16" w:rsidRPr="005906F0" w:rsidRDefault="002B5A16" w:rsidP="002B5A16">
            <w:pPr>
              <w:tabs>
                <w:tab w:val="left" w:pos="1620"/>
                <w:tab w:val="left" w:pos="10440"/>
              </w:tabs>
              <w:ind w:left="5"/>
              <w:rPr>
                <w:rFonts w:ascii="Arial" w:hAnsi="Arial" w:cs="Arial"/>
                <w:sz w:val="22"/>
                <w:szCs w:val="22"/>
              </w:rPr>
            </w:pPr>
            <w:r w:rsidRPr="005906F0">
              <w:rPr>
                <w:rFonts w:ascii="Arial" w:hAnsi="Arial" w:cs="Arial"/>
                <w:sz w:val="22"/>
                <w:szCs w:val="22"/>
              </w:rPr>
              <w:t xml:space="preserve">CP2004-071: Reducing pest and disease related yield decline in selected PNG </w:t>
            </w:r>
            <w:r>
              <w:rPr>
                <w:rFonts w:ascii="Arial" w:hAnsi="Arial" w:cs="Arial"/>
                <w:sz w:val="22"/>
                <w:szCs w:val="22"/>
              </w:rPr>
              <w:t>sweetpotato</w:t>
            </w:r>
            <w:r w:rsidRPr="005906F0">
              <w:rPr>
                <w:rFonts w:ascii="Arial" w:hAnsi="Arial" w:cs="Arial"/>
                <w:sz w:val="22"/>
                <w:szCs w:val="22"/>
              </w:rPr>
              <w:t xml:space="preserve"> production systems</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815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April 2006 to March 2010 (with extension to September 2010)</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Eric Coleman (later Michael Hughes)</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8156" w:type="dxa"/>
          </w:tcPr>
          <w:p w:rsidR="002B5A16" w:rsidRPr="00FB75D6" w:rsidRDefault="002B5A16" w:rsidP="002B5A16">
            <w:pPr>
              <w:tabs>
                <w:tab w:val="left" w:pos="1620"/>
                <w:tab w:val="left" w:pos="10440"/>
              </w:tabs>
              <w:ind w:left="5"/>
              <w:rPr>
                <w:rFonts w:ascii="Arial" w:hAnsi="Arial" w:cs="Arial"/>
                <w:sz w:val="22"/>
              </w:rPr>
            </w:pPr>
            <w:r>
              <w:rPr>
                <w:rFonts w:ascii="Arial" w:hAnsi="Arial" w:cs="Arial"/>
                <w:sz w:val="22"/>
              </w:rPr>
              <w:t>Sweetpotato provides 64</w:t>
            </w:r>
            <w:r w:rsidRPr="00FB75D6">
              <w:rPr>
                <w:rFonts w:ascii="Arial" w:hAnsi="Arial" w:cs="Arial"/>
                <w:sz w:val="22"/>
              </w:rPr>
              <w:t xml:space="preserve">% of the </w:t>
            </w:r>
            <w:r>
              <w:rPr>
                <w:rFonts w:ascii="Arial" w:hAnsi="Arial" w:cs="Arial"/>
                <w:sz w:val="22"/>
              </w:rPr>
              <w:t xml:space="preserve">food base </w:t>
            </w:r>
            <w:r w:rsidRPr="00FB75D6">
              <w:rPr>
                <w:rFonts w:ascii="Arial" w:hAnsi="Arial" w:cs="Arial"/>
                <w:sz w:val="22"/>
              </w:rPr>
              <w:t xml:space="preserve">of the PNG population. Yield and tuber quality has been declining over time. </w:t>
            </w:r>
            <w:r>
              <w:rPr>
                <w:rFonts w:ascii="Arial" w:hAnsi="Arial" w:cs="Arial"/>
                <w:sz w:val="22"/>
              </w:rPr>
              <w:t xml:space="preserve">Virus complexes were the suspected cause of yield decline. Consequently, a research project was required to investigate the cause of yield decline and develop solutions based around IPM and PT planting material. </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8156" w:type="dxa"/>
          </w:tcPr>
          <w:p w:rsidR="002B5A16" w:rsidRDefault="002B5A16" w:rsidP="000D5A34">
            <w:pPr>
              <w:pStyle w:val="ListParagraph"/>
              <w:numPr>
                <w:ilvl w:val="0"/>
                <w:numId w:val="41"/>
              </w:numPr>
              <w:tabs>
                <w:tab w:val="left" w:pos="1620"/>
                <w:tab w:val="left" w:pos="10440"/>
              </w:tabs>
              <w:suppressAutoHyphens/>
              <w:ind w:left="365"/>
              <w:contextualSpacing w:val="0"/>
              <w:rPr>
                <w:rFonts w:ascii="Arial" w:hAnsi="Arial" w:cs="Arial"/>
                <w:sz w:val="22"/>
              </w:rPr>
            </w:pPr>
            <w:r w:rsidRPr="00A17E7F">
              <w:rPr>
                <w:rFonts w:ascii="Arial" w:hAnsi="Arial" w:cs="Arial"/>
                <w:sz w:val="22"/>
              </w:rPr>
              <w:t xml:space="preserve">To understand the causes of PNG </w:t>
            </w:r>
            <w:r>
              <w:rPr>
                <w:rFonts w:ascii="Arial" w:hAnsi="Arial" w:cs="Arial"/>
                <w:sz w:val="22"/>
              </w:rPr>
              <w:t>sweetpotato</w:t>
            </w:r>
            <w:r w:rsidRPr="00A17E7F">
              <w:rPr>
                <w:rFonts w:ascii="Arial" w:hAnsi="Arial" w:cs="Arial"/>
                <w:sz w:val="22"/>
              </w:rPr>
              <w:t xml:space="preserve"> yield loss</w:t>
            </w:r>
            <w:r>
              <w:rPr>
                <w:rFonts w:ascii="Arial" w:hAnsi="Arial" w:cs="Arial"/>
                <w:sz w:val="22"/>
              </w:rPr>
              <w:t>.</w:t>
            </w:r>
          </w:p>
          <w:p w:rsidR="002B5A16" w:rsidRDefault="002B5A16" w:rsidP="000D5A34">
            <w:pPr>
              <w:pStyle w:val="ListParagraph"/>
              <w:numPr>
                <w:ilvl w:val="0"/>
                <w:numId w:val="41"/>
              </w:numPr>
              <w:tabs>
                <w:tab w:val="left" w:pos="1620"/>
                <w:tab w:val="left" w:pos="10440"/>
              </w:tabs>
              <w:suppressAutoHyphens/>
              <w:ind w:left="365"/>
              <w:contextualSpacing w:val="0"/>
              <w:rPr>
                <w:rFonts w:ascii="Arial" w:hAnsi="Arial" w:cs="Arial"/>
                <w:sz w:val="22"/>
              </w:rPr>
            </w:pPr>
            <w:r>
              <w:rPr>
                <w:rFonts w:ascii="Arial" w:hAnsi="Arial" w:cs="Arial"/>
                <w:sz w:val="22"/>
              </w:rPr>
              <w:t>To develop and test pest and disease control strategies.</w:t>
            </w:r>
          </w:p>
          <w:p w:rsidR="002B5A16" w:rsidRDefault="002B5A16" w:rsidP="000D5A34">
            <w:pPr>
              <w:pStyle w:val="ListParagraph"/>
              <w:numPr>
                <w:ilvl w:val="0"/>
                <w:numId w:val="41"/>
              </w:numPr>
              <w:tabs>
                <w:tab w:val="left" w:pos="1620"/>
                <w:tab w:val="left" w:pos="10440"/>
              </w:tabs>
              <w:suppressAutoHyphens/>
              <w:ind w:left="365"/>
              <w:contextualSpacing w:val="0"/>
              <w:rPr>
                <w:rFonts w:ascii="Arial" w:hAnsi="Arial" w:cs="Arial"/>
                <w:sz w:val="22"/>
              </w:rPr>
            </w:pPr>
            <w:r>
              <w:rPr>
                <w:rFonts w:ascii="Arial" w:hAnsi="Arial" w:cs="Arial"/>
                <w:sz w:val="22"/>
              </w:rPr>
              <w:t>To encourage adoption of PT planting material as part of an IPM strategy in both PNG and Australia.</w:t>
            </w:r>
          </w:p>
          <w:p w:rsidR="002B5A16" w:rsidRPr="00A17E7F" w:rsidRDefault="002B5A16" w:rsidP="000D5A34">
            <w:pPr>
              <w:pStyle w:val="ListParagraph"/>
              <w:numPr>
                <w:ilvl w:val="0"/>
                <w:numId w:val="41"/>
              </w:numPr>
              <w:tabs>
                <w:tab w:val="left" w:pos="1620"/>
                <w:tab w:val="left" w:pos="10440"/>
              </w:tabs>
              <w:suppressAutoHyphens/>
              <w:ind w:left="365"/>
              <w:contextualSpacing w:val="0"/>
              <w:rPr>
                <w:rFonts w:ascii="Arial" w:hAnsi="Arial" w:cs="Arial"/>
                <w:sz w:val="22"/>
              </w:rPr>
            </w:pPr>
            <w:r>
              <w:rPr>
                <w:rFonts w:ascii="Arial" w:hAnsi="Arial" w:cs="Arial"/>
                <w:sz w:val="22"/>
              </w:rPr>
              <w:t>To apply lessons learned, especially in relation to IPM, to the Australian sweetpotato industry.</w:t>
            </w:r>
          </w:p>
        </w:tc>
      </w:tr>
      <w:tr w:rsidR="002B5A16" w:rsidRPr="00D04886" w:rsidTr="00EB01F3">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8156" w:type="dxa"/>
          </w:tcPr>
          <w:p w:rsidR="002B5A16" w:rsidRPr="0046637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Literature review – pest and disease status in PNG</w:t>
            </w:r>
            <w:r>
              <w:rPr>
                <w:rFonts w:ascii="Arial" w:hAnsi="Arial" w:cs="Arial"/>
                <w:sz w:val="22"/>
                <w:szCs w:val="22"/>
              </w:rPr>
              <w:t>.</w:t>
            </w:r>
          </w:p>
          <w:p w:rsidR="002B5A16" w:rsidRPr="0046637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 xml:space="preserve">Assembly of </w:t>
            </w:r>
            <w:r w:rsidRPr="00466370">
              <w:rPr>
                <w:rFonts w:ascii="Arial" w:hAnsi="Arial" w:cs="Arial"/>
                <w:sz w:val="22"/>
                <w:szCs w:val="22"/>
              </w:rPr>
              <w:t xml:space="preserve">PNG </w:t>
            </w:r>
            <w:r>
              <w:rPr>
                <w:rFonts w:ascii="Arial" w:hAnsi="Arial" w:cs="Arial"/>
                <w:sz w:val="22"/>
                <w:szCs w:val="22"/>
              </w:rPr>
              <w:t>sweetpotato</w:t>
            </w:r>
            <w:r w:rsidRPr="00466370">
              <w:rPr>
                <w:rFonts w:ascii="Arial" w:hAnsi="Arial" w:cs="Arial"/>
                <w:sz w:val="22"/>
                <w:szCs w:val="22"/>
              </w:rPr>
              <w:t xml:space="preserve"> germplasm for virus testing</w:t>
            </w:r>
            <w:r>
              <w:rPr>
                <w:rFonts w:ascii="Arial" w:hAnsi="Arial" w:cs="Arial"/>
                <w:sz w:val="22"/>
                <w:szCs w:val="22"/>
              </w:rPr>
              <w:t>.</w:t>
            </w:r>
          </w:p>
          <w:p w:rsidR="002B5A16" w:rsidRPr="00345531"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Virus identification and testing in PNG and Australia</w:t>
            </w:r>
            <w:r>
              <w:rPr>
                <w:rFonts w:ascii="Arial" w:hAnsi="Arial" w:cs="Arial"/>
                <w:sz w:val="22"/>
                <w:szCs w:val="22"/>
              </w:rPr>
              <w:t xml:space="preserve">. </w:t>
            </w:r>
          </w:p>
          <w:p w:rsidR="002B5A16" w:rsidRPr="0046637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 xml:space="preserve">PNG and Australian </w:t>
            </w:r>
            <w:r>
              <w:rPr>
                <w:rFonts w:ascii="Arial" w:hAnsi="Arial" w:cs="Arial"/>
                <w:sz w:val="22"/>
                <w:szCs w:val="22"/>
              </w:rPr>
              <w:t xml:space="preserve">officers </w:t>
            </w:r>
            <w:r w:rsidRPr="00466370">
              <w:rPr>
                <w:rFonts w:ascii="Arial" w:hAnsi="Arial" w:cs="Arial"/>
                <w:sz w:val="22"/>
                <w:szCs w:val="22"/>
              </w:rPr>
              <w:t>trained in virus indexing</w:t>
            </w:r>
            <w:r>
              <w:rPr>
                <w:rFonts w:ascii="Arial" w:hAnsi="Arial" w:cs="Arial"/>
                <w:sz w:val="22"/>
                <w:szCs w:val="22"/>
              </w:rPr>
              <w:t>.</w:t>
            </w:r>
          </w:p>
          <w:p w:rsidR="002B5A16" w:rsidRPr="001A704F"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Knowledge of virus status</w:t>
            </w:r>
            <w:r>
              <w:rPr>
                <w:rFonts w:ascii="Arial" w:hAnsi="Arial" w:cs="Arial"/>
                <w:sz w:val="22"/>
                <w:szCs w:val="22"/>
              </w:rPr>
              <w:t xml:space="preserve"> and the </w:t>
            </w:r>
            <w:r w:rsidRPr="00466370">
              <w:rPr>
                <w:rFonts w:ascii="Arial" w:hAnsi="Arial" w:cs="Arial"/>
                <w:sz w:val="22"/>
                <w:szCs w:val="22"/>
              </w:rPr>
              <w:t xml:space="preserve">link </w:t>
            </w:r>
            <w:r>
              <w:rPr>
                <w:rFonts w:ascii="Arial" w:hAnsi="Arial" w:cs="Arial"/>
                <w:sz w:val="22"/>
                <w:szCs w:val="22"/>
              </w:rPr>
              <w:t xml:space="preserve">established </w:t>
            </w:r>
            <w:r w:rsidRPr="00466370">
              <w:rPr>
                <w:rFonts w:ascii="Arial" w:hAnsi="Arial" w:cs="Arial"/>
                <w:sz w:val="22"/>
                <w:szCs w:val="22"/>
              </w:rPr>
              <w:t xml:space="preserve">between PNG </w:t>
            </w:r>
            <w:r>
              <w:rPr>
                <w:rFonts w:ascii="Arial" w:hAnsi="Arial" w:cs="Arial"/>
                <w:sz w:val="22"/>
                <w:szCs w:val="22"/>
              </w:rPr>
              <w:t>sweetpotato</w:t>
            </w:r>
            <w:r w:rsidRPr="00466370">
              <w:rPr>
                <w:rFonts w:ascii="Arial" w:hAnsi="Arial" w:cs="Arial"/>
                <w:sz w:val="22"/>
                <w:szCs w:val="22"/>
              </w:rPr>
              <w:t xml:space="preserve"> yield decline</w:t>
            </w:r>
            <w:r>
              <w:rPr>
                <w:rFonts w:ascii="Arial" w:hAnsi="Arial" w:cs="Arial"/>
                <w:sz w:val="22"/>
                <w:szCs w:val="22"/>
              </w:rPr>
              <w:t xml:space="preserve">, </w:t>
            </w:r>
            <w:r w:rsidRPr="00466370">
              <w:rPr>
                <w:rFonts w:ascii="Arial" w:hAnsi="Arial" w:cs="Arial"/>
                <w:sz w:val="22"/>
                <w:szCs w:val="22"/>
              </w:rPr>
              <w:t>viruses</w:t>
            </w:r>
            <w:r>
              <w:rPr>
                <w:rFonts w:ascii="Arial" w:hAnsi="Arial" w:cs="Arial"/>
                <w:sz w:val="22"/>
                <w:szCs w:val="22"/>
              </w:rPr>
              <w:t xml:space="preserve"> and virus complexes.</w:t>
            </w:r>
          </w:p>
          <w:p w:rsidR="002B5A16" w:rsidRPr="0046637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Introduction</w:t>
            </w:r>
            <w:r>
              <w:rPr>
                <w:rFonts w:ascii="Arial" w:hAnsi="Arial" w:cs="Arial"/>
                <w:sz w:val="22"/>
                <w:szCs w:val="22"/>
              </w:rPr>
              <w:t>,</w:t>
            </w:r>
            <w:r w:rsidRPr="00466370">
              <w:rPr>
                <w:rFonts w:ascii="Arial" w:hAnsi="Arial" w:cs="Arial"/>
                <w:sz w:val="22"/>
                <w:szCs w:val="22"/>
              </w:rPr>
              <w:t xml:space="preserve"> trialling </w:t>
            </w:r>
            <w:r>
              <w:rPr>
                <w:rFonts w:ascii="Arial" w:hAnsi="Arial" w:cs="Arial"/>
                <w:sz w:val="22"/>
                <w:szCs w:val="22"/>
              </w:rPr>
              <w:t xml:space="preserve">and successful use </w:t>
            </w:r>
            <w:r w:rsidRPr="00466370">
              <w:rPr>
                <w:rFonts w:ascii="Arial" w:hAnsi="Arial" w:cs="Arial"/>
                <w:sz w:val="22"/>
                <w:szCs w:val="22"/>
              </w:rPr>
              <w:t xml:space="preserve">of PT planting material </w:t>
            </w:r>
            <w:r>
              <w:rPr>
                <w:rFonts w:ascii="Arial" w:hAnsi="Arial" w:cs="Arial"/>
                <w:sz w:val="22"/>
                <w:szCs w:val="22"/>
              </w:rPr>
              <w:t>in</w:t>
            </w:r>
            <w:r w:rsidRPr="00466370">
              <w:rPr>
                <w:rFonts w:ascii="Arial" w:hAnsi="Arial" w:cs="Arial"/>
                <w:sz w:val="22"/>
                <w:szCs w:val="22"/>
              </w:rPr>
              <w:t xml:space="preserve"> PNG and Bundaberg</w:t>
            </w:r>
            <w:r>
              <w:rPr>
                <w:rFonts w:ascii="Arial" w:hAnsi="Arial" w:cs="Arial"/>
                <w:sz w:val="22"/>
                <w:szCs w:val="22"/>
              </w:rPr>
              <w:t>, Australia.</w:t>
            </w:r>
          </w:p>
          <w:p w:rsidR="002B5A16" w:rsidRPr="0046637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Testing for the presence and damage caused by weevils</w:t>
            </w:r>
            <w:r>
              <w:rPr>
                <w:rFonts w:ascii="Arial" w:hAnsi="Arial" w:cs="Arial"/>
                <w:sz w:val="22"/>
                <w:szCs w:val="22"/>
              </w:rPr>
              <w:t xml:space="preserve"> in PNG.</w:t>
            </w:r>
          </w:p>
          <w:p w:rsidR="002B5A16" w:rsidRPr="0046637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Trialling of weevil pheromone as a management tool in Australia</w:t>
            </w:r>
            <w:r>
              <w:rPr>
                <w:rFonts w:ascii="Arial" w:hAnsi="Arial" w:cs="Arial"/>
                <w:sz w:val="22"/>
                <w:szCs w:val="22"/>
              </w:rPr>
              <w:t>.</w:t>
            </w:r>
          </w:p>
          <w:p w:rsidR="002B5A16" w:rsidRPr="00345531"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 xml:space="preserve">Investigation of </w:t>
            </w:r>
            <w:r w:rsidRPr="00466370">
              <w:rPr>
                <w:rFonts w:ascii="Arial" w:hAnsi="Arial" w:cs="Arial"/>
                <w:sz w:val="22"/>
                <w:szCs w:val="22"/>
              </w:rPr>
              <w:t xml:space="preserve">biological controls for </w:t>
            </w:r>
            <w:r>
              <w:rPr>
                <w:rFonts w:ascii="Arial" w:hAnsi="Arial" w:cs="Arial"/>
                <w:sz w:val="22"/>
                <w:szCs w:val="22"/>
              </w:rPr>
              <w:t>sweetpotato</w:t>
            </w:r>
            <w:r w:rsidRPr="00466370">
              <w:rPr>
                <w:rFonts w:ascii="Arial" w:hAnsi="Arial" w:cs="Arial"/>
                <w:sz w:val="22"/>
                <w:szCs w:val="22"/>
              </w:rPr>
              <w:t xml:space="preserve"> weevil in PNG including a fungus and a predatory ant</w:t>
            </w:r>
            <w:r>
              <w:rPr>
                <w:rFonts w:ascii="Arial" w:hAnsi="Arial" w:cs="Arial"/>
                <w:sz w:val="22"/>
                <w:szCs w:val="22"/>
              </w:rPr>
              <w:t xml:space="preserve">. </w:t>
            </w:r>
          </w:p>
          <w:p w:rsidR="002B5A16" w:rsidRPr="0046637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 xml:space="preserve">IPM based control developed for </w:t>
            </w:r>
            <w:r>
              <w:rPr>
                <w:rFonts w:ascii="Arial" w:hAnsi="Arial" w:cs="Arial"/>
                <w:sz w:val="22"/>
                <w:szCs w:val="22"/>
              </w:rPr>
              <w:t>sweetpotato</w:t>
            </w:r>
            <w:r w:rsidRPr="00466370">
              <w:rPr>
                <w:rFonts w:ascii="Arial" w:hAnsi="Arial" w:cs="Arial"/>
                <w:sz w:val="22"/>
                <w:szCs w:val="22"/>
              </w:rPr>
              <w:t xml:space="preserve"> weevil in Australia</w:t>
            </w:r>
            <w:r>
              <w:rPr>
                <w:rFonts w:ascii="Arial" w:hAnsi="Arial" w:cs="Arial"/>
                <w:sz w:val="22"/>
                <w:szCs w:val="22"/>
              </w:rPr>
              <w:t xml:space="preserve">. </w:t>
            </w:r>
          </w:p>
          <w:p w:rsidR="002B5A16" w:rsidRPr="0046637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466370">
              <w:rPr>
                <w:rFonts w:ascii="Arial" w:hAnsi="Arial" w:cs="Arial"/>
                <w:sz w:val="22"/>
                <w:szCs w:val="22"/>
              </w:rPr>
              <w:t>Development of extension networks including the online information sharing tool ‘kaukaunet’</w:t>
            </w:r>
            <w:r>
              <w:rPr>
                <w:rFonts w:ascii="Arial" w:hAnsi="Arial" w:cs="Arial"/>
                <w:sz w:val="22"/>
                <w:szCs w:val="22"/>
              </w:rPr>
              <w:t xml:space="preserve"> in Australia and the south west Pacific.</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Assessment of sixteen</w:t>
            </w:r>
            <w:r w:rsidRPr="00466370">
              <w:rPr>
                <w:rFonts w:ascii="Arial" w:hAnsi="Arial" w:cs="Arial"/>
                <w:sz w:val="22"/>
                <w:szCs w:val="22"/>
              </w:rPr>
              <w:t xml:space="preserve"> </w:t>
            </w:r>
            <w:r>
              <w:rPr>
                <w:rFonts w:ascii="Arial" w:hAnsi="Arial" w:cs="Arial"/>
                <w:sz w:val="22"/>
                <w:szCs w:val="22"/>
              </w:rPr>
              <w:t xml:space="preserve">sweetpotato </w:t>
            </w:r>
            <w:r w:rsidRPr="00466370">
              <w:rPr>
                <w:rFonts w:ascii="Arial" w:hAnsi="Arial" w:cs="Arial"/>
                <w:sz w:val="22"/>
                <w:szCs w:val="22"/>
              </w:rPr>
              <w:t xml:space="preserve">varieties on the basis of taste, yield and shorter growing period with two preferred varieties selected by PNG farmers. </w:t>
            </w:r>
          </w:p>
          <w:p w:rsidR="002B5A16" w:rsidRPr="001A704F"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466370">
              <w:rPr>
                <w:rFonts w:ascii="Arial" w:hAnsi="Arial" w:cs="Arial"/>
                <w:sz w:val="22"/>
                <w:szCs w:val="22"/>
              </w:rPr>
              <w:t xml:space="preserve">Cuttings </w:t>
            </w:r>
            <w:r>
              <w:rPr>
                <w:rFonts w:ascii="Arial" w:hAnsi="Arial" w:cs="Arial"/>
                <w:sz w:val="22"/>
                <w:szCs w:val="22"/>
              </w:rPr>
              <w:t xml:space="preserve">from preferred varieties </w:t>
            </w:r>
            <w:r w:rsidRPr="00466370">
              <w:rPr>
                <w:rFonts w:ascii="Arial" w:hAnsi="Arial" w:cs="Arial"/>
                <w:sz w:val="22"/>
                <w:szCs w:val="22"/>
              </w:rPr>
              <w:t>taken by more than 200 farmers.</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815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Systems to mitigate the impact of viruses on sweetpotato yield.</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IPM controls for sweetpotato weevil resulting in saved production costs and less chemical in the farm environment.</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Preferred varieties selected by farmers for PNG.</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New sweetpotato germplasm available in Australia.</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Research capacity increased in PNG and Australia e.g. virus testing.</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815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Increased average yield </w:t>
            </w:r>
            <w:r w:rsidRPr="007C1BA2">
              <w:rPr>
                <w:rFonts w:ascii="Arial" w:hAnsi="Arial" w:cs="Arial"/>
                <w:sz w:val="22"/>
              </w:rPr>
              <w:t xml:space="preserve">PNG </w:t>
            </w:r>
            <w:r>
              <w:rPr>
                <w:rFonts w:ascii="Arial" w:hAnsi="Arial" w:cs="Arial"/>
                <w:sz w:val="22"/>
              </w:rPr>
              <w:t>and Australia (from improved virus and weevil control).</w:t>
            </w:r>
          </w:p>
          <w:p w:rsidR="002B5A16" w:rsidRPr="0074356A"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Increased profitability through decreased chemical use in PNG and Australia (use of IPM rather than calendar spraying).</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7C1BA2">
              <w:rPr>
                <w:rFonts w:ascii="Arial" w:hAnsi="Arial" w:cs="Arial"/>
                <w:sz w:val="22"/>
              </w:rPr>
              <w:t>Increased</w:t>
            </w:r>
            <w:r>
              <w:rPr>
                <w:rFonts w:ascii="Arial" w:hAnsi="Arial" w:cs="Arial"/>
                <w:sz w:val="22"/>
              </w:rPr>
              <w:t xml:space="preserve"> research capacity in PNG and Australia (virus control PNG and Australia, weevil pheromone use Australia).</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Reduced environmental impact – less broadspectrum chemical use in PNG and Australia.</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Improved food security and human health in PNG (linked to increased average yields).</w:t>
            </w:r>
          </w:p>
          <w:p w:rsidR="002B5A16" w:rsidRPr="004266A3"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Increased regional income in PNG and Australia.</w:t>
            </w:r>
          </w:p>
        </w:tc>
      </w:tr>
    </w:tbl>
    <w:p w:rsidR="002B5A16" w:rsidRPr="00AF6856" w:rsidRDefault="002B5A16" w:rsidP="00AF6856">
      <w:pPr>
        <w:spacing w:after="240"/>
        <w:jc w:val="center"/>
        <w:rPr>
          <w:rFonts w:ascii="Arial" w:hAnsi="Arial" w:cs="Arial"/>
          <w:color w:val="000000" w:themeColor="text1"/>
        </w:rPr>
      </w:pPr>
      <w:bookmarkStart w:id="465" w:name="_Toc487091281"/>
      <w:r w:rsidRPr="00AF6856">
        <w:rPr>
          <w:rFonts w:ascii="Arial" w:hAnsi="Arial" w:cs="Arial"/>
          <w:color w:val="000000" w:themeColor="text1"/>
        </w:rPr>
        <w:t xml:space="preserve">Table </w:t>
      </w:r>
      <w:r w:rsidR="00913E1D">
        <w:rPr>
          <w:rFonts w:ascii="Arial" w:hAnsi="Arial" w:cs="Arial"/>
          <w:color w:val="000000" w:themeColor="text1"/>
        </w:rPr>
        <w:t>7</w:t>
      </w:r>
      <w:r w:rsidRPr="00AF6856">
        <w:rPr>
          <w:rFonts w:ascii="Arial" w:hAnsi="Arial" w:cs="Arial"/>
          <w:color w:val="000000" w:themeColor="text1"/>
        </w:rPr>
        <w:t>: Logical Framework for CP2005-134</w:t>
      </w:r>
      <w:bookmarkEnd w:id="465"/>
    </w:p>
    <w:tbl>
      <w:tblPr>
        <w:tblStyle w:val="TableGrid"/>
        <w:tblW w:w="9478" w:type="dxa"/>
        <w:jc w:val="center"/>
        <w:tblLook w:val="04A0" w:firstRow="1" w:lastRow="0" w:firstColumn="1" w:lastColumn="0" w:noHBand="0" w:noVBand="1"/>
      </w:tblPr>
      <w:tblGrid>
        <w:gridCol w:w="1762"/>
        <w:gridCol w:w="7716"/>
      </w:tblGrid>
      <w:tr w:rsidR="002B5A16" w:rsidRPr="00972E5A" w:rsidTr="00EB01F3">
        <w:trPr>
          <w:trHeight w:val="367"/>
          <w:jc w:val="center"/>
        </w:trPr>
        <w:tc>
          <w:tcPr>
            <w:tcW w:w="9478" w:type="dxa"/>
            <w:gridSpan w:val="2"/>
            <w:shd w:val="clear" w:color="auto" w:fill="D9D9D9" w:themeFill="background1" w:themeFillShade="D9"/>
          </w:tcPr>
          <w:p w:rsidR="002B5A16" w:rsidRPr="00972E5A" w:rsidRDefault="002B5A16" w:rsidP="002B5A16">
            <w:pPr>
              <w:tabs>
                <w:tab w:val="left" w:pos="1620"/>
                <w:tab w:val="left" w:pos="10440"/>
              </w:tabs>
              <w:ind w:left="5"/>
              <w:rPr>
                <w:rFonts w:ascii="Arial" w:hAnsi="Arial" w:cs="Arial"/>
                <w:sz w:val="22"/>
                <w:szCs w:val="22"/>
              </w:rPr>
            </w:pPr>
            <w:r w:rsidRPr="00D66323">
              <w:rPr>
                <w:rFonts w:ascii="Arial" w:hAnsi="Arial" w:cs="Arial"/>
                <w:sz w:val="22"/>
                <w:szCs w:val="22"/>
              </w:rPr>
              <w:t xml:space="preserve">CP2005-134: The use of pathogen tested planting materials to improve sustainable </w:t>
            </w:r>
            <w:r>
              <w:rPr>
                <w:rFonts w:ascii="Arial" w:hAnsi="Arial" w:cs="Arial"/>
                <w:sz w:val="22"/>
                <w:szCs w:val="22"/>
              </w:rPr>
              <w:t>sweetpotato</w:t>
            </w:r>
            <w:r w:rsidRPr="00D66323">
              <w:rPr>
                <w:rFonts w:ascii="Arial" w:hAnsi="Arial" w:cs="Arial"/>
                <w:sz w:val="22"/>
                <w:szCs w:val="22"/>
              </w:rPr>
              <w:t xml:space="preserve"> production in Solomon Islands and PNG</w:t>
            </w:r>
            <w:r>
              <w:rPr>
                <w:rFonts w:ascii="Arial" w:hAnsi="Arial" w:cs="Arial"/>
                <w:sz w:val="22"/>
                <w:szCs w:val="22"/>
              </w:rPr>
              <w:t>.</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International Potato Centre (CIP).</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September 2006 to August 2010.</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Fernando Ezeta (CIP) and Eric Coleman (DAF).</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330A17" w:rsidRDefault="002B5A16" w:rsidP="002B5A16">
            <w:pPr>
              <w:tabs>
                <w:tab w:val="left" w:pos="1620"/>
                <w:tab w:val="left" w:pos="10440"/>
              </w:tabs>
              <w:ind w:left="5"/>
              <w:rPr>
                <w:rFonts w:ascii="Arial" w:hAnsi="Arial" w:cs="Arial"/>
                <w:sz w:val="22"/>
                <w:szCs w:val="22"/>
              </w:rPr>
            </w:pPr>
            <w:r>
              <w:rPr>
                <w:rFonts w:ascii="Arial" w:hAnsi="Arial" w:cs="Arial"/>
                <w:sz w:val="22"/>
                <w:szCs w:val="22"/>
              </w:rPr>
              <w:t xml:space="preserve">Sweetpotato yield has declined over time in both the Solomon Islands and PNG. Yield decline has been caused by virus affected planting material and poor cultural practices. There was a need to introduce new varieties and planting material that is PT and virus free. The </w:t>
            </w:r>
            <w:r w:rsidRPr="00330A17">
              <w:rPr>
                <w:rFonts w:ascii="Arial" w:hAnsi="Arial" w:cs="Arial"/>
                <w:sz w:val="22"/>
                <w:szCs w:val="22"/>
              </w:rPr>
              <w:t xml:space="preserve">overall aim </w:t>
            </w:r>
            <w:r>
              <w:rPr>
                <w:rFonts w:ascii="Arial" w:hAnsi="Arial" w:cs="Arial"/>
                <w:sz w:val="22"/>
                <w:szCs w:val="22"/>
              </w:rPr>
              <w:t>of the project wa</w:t>
            </w:r>
            <w:r w:rsidRPr="00330A17">
              <w:rPr>
                <w:rFonts w:ascii="Arial" w:hAnsi="Arial" w:cs="Arial"/>
                <w:sz w:val="22"/>
                <w:szCs w:val="22"/>
              </w:rPr>
              <w:t xml:space="preserve">s to improve food security in </w:t>
            </w:r>
            <w:r>
              <w:rPr>
                <w:rFonts w:ascii="Arial" w:hAnsi="Arial" w:cs="Arial"/>
                <w:sz w:val="22"/>
                <w:szCs w:val="22"/>
              </w:rPr>
              <w:t xml:space="preserve">the </w:t>
            </w:r>
            <w:r w:rsidRPr="00330A17">
              <w:rPr>
                <w:rFonts w:ascii="Arial" w:hAnsi="Arial" w:cs="Arial"/>
                <w:sz w:val="22"/>
                <w:szCs w:val="22"/>
              </w:rPr>
              <w:t xml:space="preserve">Solomon Islands and PNG by introducing and adapting technologies that produce consistently high yielding and nutritious crops of </w:t>
            </w:r>
            <w:r>
              <w:rPr>
                <w:rFonts w:ascii="Arial" w:hAnsi="Arial" w:cs="Arial"/>
                <w:sz w:val="22"/>
                <w:szCs w:val="22"/>
              </w:rPr>
              <w:t>sweetpotato</w:t>
            </w:r>
            <w:r w:rsidRPr="00330A17">
              <w:rPr>
                <w:rFonts w:ascii="Arial" w:hAnsi="Arial" w:cs="Arial"/>
                <w:sz w:val="22"/>
                <w:szCs w:val="22"/>
              </w:rPr>
              <w:t>, satisfying household consumption</w:t>
            </w:r>
            <w:r>
              <w:rPr>
                <w:rFonts w:ascii="Arial" w:hAnsi="Arial" w:cs="Arial"/>
                <w:sz w:val="22"/>
                <w:szCs w:val="22"/>
              </w:rPr>
              <w:t xml:space="preserve"> and</w:t>
            </w:r>
            <w:r w:rsidRPr="00330A17">
              <w:rPr>
                <w:rFonts w:ascii="Arial" w:hAnsi="Arial" w:cs="Arial"/>
                <w:sz w:val="22"/>
                <w:szCs w:val="22"/>
              </w:rPr>
              <w:t xml:space="preserve"> human nutrition</w:t>
            </w:r>
            <w:r>
              <w:rPr>
                <w:rFonts w:ascii="Arial" w:hAnsi="Arial" w:cs="Arial"/>
                <w:sz w:val="22"/>
                <w:szCs w:val="22"/>
              </w:rPr>
              <w:t>.</w:t>
            </w:r>
          </w:p>
        </w:tc>
      </w:tr>
      <w:tr w:rsidR="002B5A16" w:rsidRPr="00D04886" w:rsidTr="00EB01F3">
        <w:trPr>
          <w:trHeight w:val="558"/>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Default="002B5A16" w:rsidP="000D5A34">
            <w:pPr>
              <w:pStyle w:val="ListParagraph"/>
              <w:numPr>
                <w:ilvl w:val="0"/>
                <w:numId w:val="45"/>
              </w:numPr>
              <w:tabs>
                <w:tab w:val="left" w:pos="1620"/>
                <w:tab w:val="left" w:pos="10440"/>
              </w:tabs>
              <w:suppressAutoHyphens/>
              <w:ind w:left="365"/>
              <w:contextualSpacing w:val="0"/>
              <w:rPr>
                <w:rFonts w:ascii="Arial" w:hAnsi="Arial" w:cs="Arial"/>
                <w:sz w:val="22"/>
                <w:szCs w:val="22"/>
              </w:rPr>
            </w:pPr>
            <w:r w:rsidRPr="00330A17">
              <w:rPr>
                <w:rFonts w:ascii="Arial" w:hAnsi="Arial" w:cs="Arial"/>
                <w:sz w:val="22"/>
                <w:szCs w:val="22"/>
              </w:rPr>
              <w:t xml:space="preserve">To </w:t>
            </w:r>
            <w:r>
              <w:rPr>
                <w:rFonts w:ascii="Arial" w:hAnsi="Arial" w:cs="Arial"/>
                <w:sz w:val="22"/>
                <w:szCs w:val="22"/>
              </w:rPr>
              <w:t>describe and evaluate sweetpotato planting material supply systems.</w:t>
            </w:r>
          </w:p>
          <w:p w:rsidR="002B5A16" w:rsidRDefault="002B5A16" w:rsidP="000D5A34">
            <w:pPr>
              <w:pStyle w:val="ListParagraph"/>
              <w:numPr>
                <w:ilvl w:val="0"/>
                <w:numId w:val="45"/>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To introduce and evaluate improved sweetpotato varieties.</w:t>
            </w:r>
          </w:p>
          <w:p w:rsidR="002B5A16" w:rsidRPr="00330A17" w:rsidRDefault="002B5A16" w:rsidP="000D5A34">
            <w:pPr>
              <w:pStyle w:val="ListParagraph"/>
              <w:numPr>
                <w:ilvl w:val="0"/>
                <w:numId w:val="45"/>
              </w:numPr>
              <w:tabs>
                <w:tab w:val="left" w:pos="1620"/>
                <w:tab w:val="left" w:pos="10440"/>
              </w:tabs>
              <w:suppressAutoHyphens/>
              <w:ind w:left="365"/>
              <w:contextualSpacing w:val="0"/>
              <w:rPr>
                <w:rFonts w:ascii="Arial" w:hAnsi="Arial" w:cs="Arial"/>
                <w:sz w:val="22"/>
                <w:szCs w:val="22"/>
              </w:rPr>
            </w:pPr>
            <w:r w:rsidRPr="00330A17">
              <w:rPr>
                <w:rFonts w:ascii="Arial" w:hAnsi="Arial" w:cs="Arial"/>
                <w:bCs/>
                <w:sz w:val="22"/>
              </w:rPr>
              <w:t xml:space="preserve">To introduce, refine and disseminate technologies for improved </w:t>
            </w:r>
            <w:r>
              <w:rPr>
                <w:rFonts w:ascii="Arial" w:hAnsi="Arial" w:cs="Arial"/>
                <w:bCs/>
                <w:sz w:val="22"/>
              </w:rPr>
              <w:t>sweetpotato</w:t>
            </w:r>
            <w:r w:rsidRPr="00330A17">
              <w:rPr>
                <w:rFonts w:ascii="Arial" w:hAnsi="Arial" w:cs="Arial"/>
                <w:bCs/>
                <w:sz w:val="22"/>
              </w:rPr>
              <w:t xml:space="preserve"> </w:t>
            </w:r>
            <w:r>
              <w:rPr>
                <w:rFonts w:ascii="Arial" w:hAnsi="Arial" w:cs="Arial"/>
                <w:bCs/>
                <w:sz w:val="22"/>
              </w:rPr>
              <w:t xml:space="preserve">planting material </w:t>
            </w:r>
            <w:r w:rsidRPr="00330A17">
              <w:rPr>
                <w:rFonts w:ascii="Arial" w:hAnsi="Arial" w:cs="Arial"/>
                <w:bCs/>
                <w:sz w:val="22"/>
              </w:rPr>
              <w:t>supply systems for small holders practising low-input agriculture</w:t>
            </w:r>
            <w:r>
              <w:rPr>
                <w:rFonts w:ascii="Arial" w:hAnsi="Arial" w:cs="Arial"/>
                <w:bCs/>
                <w:sz w:val="22"/>
              </w:rPr>
              <w:t>.</w:t>
            </w:r>
          </w:p>
        </w:tc>
      </w:tr>
      <w:tr w:rsidR="002B5A16" w:rsidRPr="00D04886" w:rsidTr="00EB01F3">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Default="002B5A16" w:rsidP="002B5A16">
            <w:pPr>
              <w:tabs>
                <w:tab w:val="left" w:pos="1620"/>
                <w:tab w:val="left" w:pos="10440"/>
              </w:tabs>
              <w:rPr>
                <w:rFonts w:ascii="Arial" w:hAnsi="Arial" w:cs="Arial"/>
                <w:sz w:val="22"/>
                <w:szCs w:val="22"/>
              </w:rPr>
            </w:pPr>
            <w:r w:rsidRPr="00781A71">
              <w:rPr>
                <w:rFonts w:ascii="Arial" w:hAnsi="Arial" w:cs="Arial"/>
                <w:sz w:val="22"/>
                <w:szCs w:val="22"/>
              </w:rPr>
              <w:t xml:space="preserve">Activities focussed on </w:t>
            </w:r>
            <w:r>
              <w:rPr>
                <w:rFonts w:ascii="Arial" w:hAnsi="Arial" w:cs="Arial"/>
                <w:sz w:val="22"/>
                <w:szCs w:val="22"/>
              </w:rPr>
              <w:t xml:space="preserve">areas under production stress - </w:t>
            </w:r>
            <w:r w:rsidRPr="00781A71">
              <w:rPr>
                <w:rFonts w:ascii="Arial" w:hAnsi="Arial" w:cs="Arial"/>
                <w:sz w:val="22"/>
                <w:szCs w:val="22"/>
              </w:rPr>
              <w:t xml:space="preserve">the Solomon Islands </w:t>
            </w:r>
            <w:r>
              <w:rPr>
                <w:rFonts w:ascii="Arial" w:hAnsi="Arial" w:cs="Arial"/>
                <w:sz w:val="22"/>
                <w:szCs w:val="22"/>
              </w:rPr>
              <w:t xml:space="preserve">(SI) </w:t>
            </w:r>
            <w:r w:rsidRPr="00781A71">
              <w:rPr>
                <w:rFonts w:ascii="Arial" w:hAnsi="Arial" w:cs="Arial"/>
                <w:sz w:val="22"/>
                <w:szCs w:val="22"/>
              </w:rPr>
              <w:t xml:space="preserve">where rapid population </w:t>
            </w:r>
            <w:r>
              <w:rPr>
                <w:rFonts w:ascii="Arial" w:hAnsi="Arial" w:cs="Arial"/>
                <w:sz w:val="22"/>
                <w:szCs w:val="22"/>
              </w:rPr>
              <w:t xml:space="preserve">growth is combining with </w:t>
            </w:r>
            <w:r w:rsidRPr="00781A71">
              <w:rPr>
                <w:rFonts w:ascii="Arial" w:hAnsi="Arial" w:cs="Arial"/>
                <w:sz w:val="22"/>
                <w:szCs w:val="22"/>
              </w:rPr>
              <w:t>yield decline</w:t>
            </w:r>
            <w:r>
              <w:rPr>
                <w:rFonts w:ascii="Arial" w:hAnsi="Arial" w:cs="Arial"/>
                <w:sz w:val="22"/>
                <w:szCs w:val="22"/>
              </w:rPr>
              <w:t xml:space="preserve"> and the PNG Lowlands (a previous project has addressed yield loss in the Highlands)</w:t>
            </w:r>
            <w:r w:rsidRPr="00781A71">
              <w:rPr>
                <w:rFonts w:ascii="Arial" w:hAnsi="Arial" w:cs="Arial"/>
                <w:sz w:val="22"/>
                <w:szCs w:val="22"/>
              </w:rPr>
              <w:t>.</w:t>
            </w:r>
            <w:r>
              <w:rPr>
                <w:rFonts w:ascii="Arial" w:hAnsi="Arial" w:cs="Arial"/>
                <w:sz w:val="22"/>
                <w:szCs w:val="22"/>
              </w:rPr>
              <w:t xml:space="preserve"> SI assessed as the area of greatest need and 70% of project resources were expended in that country. </w:t>
            </w:r>
          </w:p>
          <w:p w:rsidR="002B5A16" w:rsidRPr="00130B76"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Farmer surveys to understand how planting material is retained and how new varieties are introduced to the system following yield loss.</w:t>
            </w:r>
          </w:p>
          <w:p w:rsidR="002B5A16" w:rsidRPr="00FB64CB"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Introduction of new planting material from varieties currently held at the Regional Germplasm Centre of the Secretariat of the Pacific Community.</w:t>
            </w:r>
          </w:p>
          <w:p w:rsidR="002B5A16" w:rsidRPr="00FB64CB"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FB64CB">
              <w:rPr>
                <w:rFonts w:ascii="Arial" w:hAnsi="Arial" w:cs="Arial"/>
                <w:sz w:val="22"/>
                <w:szCs w:val="22"/>
              </w:rPr>
              <w:t>Extension</w:t>
            </w:r>
            <w:r>
              <w:rPr>
                <w:rFonts w:ascii="Arial" w:hAnsi="Arial" w:cs="Arial"/>
                <w:sz w:val="22"/>
                <w:szCs w:val="22"/>
              </w:rPr>
              <w:t xml:space="preserve"> to achieve new variety uptake using NGOs, Community Based Organisations, Department of Agriculture and Livestock (DAL) staff and lead farmers. Extension activities included identification of project coordinators, train the trainer activities, and work through Farmers’ Field Schools and selected DAL extension officers.</w:t>
            </w:r>
          </w:p>
          <w:p w:rsidR="002B5A16" w:rsidRPr="00B20424"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Complete experiments with Farmers’ Field Schools to determine the performance of old and new varieties introduced through the project.</w:t>
            </w:r>
          </w:p>
          <w:p w:rsidR="002B5A16" w:rsidRPr="00FB64CB"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Complete virus indexing and production of PT material.</w:t>
            </w:r>
          </w:p>
          <w:p w:rsidR="002B5A16" w:rsidRPr="00B20424"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Introduction of PT material through extension systems developed to introduce new varieties.</w:t>
            </w:r>
          </w:p>
          <w:p w:rsidR="002B5A16" w:rsidRPr="00041940"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Completion of field days, farmer-to-farmer training and farmer visits to secure ongoing adoption of new varieties produced with PT virus free planting material.</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Knowledge of SI and PNG sweetpotato production practices.</w:t>
            </w:r>
          </w:p>
          <w:p w:rsidR="002B5A16" w:rsidRPr="00041940"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Pr>
                <w:rFonts w:ascii="Arial" w:hAnsi="Arial" w:cs="Arial"/>
                <w:sz w:val="22"/>
                <w:szCs w:val="22"/>
              </w:rPr>
              <w:t>New sweetpotato varieties and PT planting material.</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Pr="006C1B34"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330A17">
              <w:rPr>
                <w:rFonts w:ascii="Arial" w:hAnsi="Arial" w:cs="Arial"/>
                <w:sz w:val="22"/>
                <w:szCs w:val="22"/>
              </w:rPr>
              <w:t>A</w:t>
            </w:r>
            <w:r>
              <w:rPr>
                <w:rFonts w:ascii="Arial" w:hAnsi="Arial" w:cs="Arial"/>
                <w:sz w:val="22"/>
                <w:szCs w:val="22"/>
              </w:rPr>
              <w:t xml:space="preserve">doption of new varieties in SI with a focus on </w:t>
            </w:r>
            <w:r w:rsidRPr="006C1B34">
              <w:rPr>
                <w:rFonts w:ascii="Arial" w:hAnsi="Arial" w:cs="Arial"/>
                <w:sz w:val="22"/>
                <w:szCs w:val="22"/>
              </w:rPr>
              <w:t>Guadalcanal, Isabel</w:t>
            </w:r>
            <w:r>
              <w:rPr>
                <w:rFonts w:ascii="Arial" w:hAnsi="Arial" w:cs="Arial"/>
                <w:sz w:val="22"/>
                <w:szCs w:val="22"/>
              </w:rPr>
              <w:t>,</w:t>
            </w:r>
            <w:r w:rsidRPr="006C1B34">
              <w:rPr>
                <w:rFonts w:ascii="Arial" w:hAnsi="Arial" w:cs="Arial"/>
                <w:sz w:val="22"/>
                <w:szCs w:val="22"/>
              </w:rPr>
              <w:t xml:space="preserve"> Makira, and Malaita.</w:t>
            </w:r>
          </w:p>
          <w:p w:rsidR="002B5A16" w:rsidRPr="006C1B34"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szCs w:val="22"/>
              </w:rPr>
            </w:pPr>
            <w:r w:rsidRPr="006C1B34">
              <w:rPr>
                <w:rFonts w:ascii="Arial" w:hAnsi="Arial" w:cs="Arial"/>
                <w:sz w:val="22"/>
                <w:szCs w:val="22"/>
              </w:rPr>
              <w:t>Adoption of new varieties in the PNG Lowlands</w:t>
            </w:r>
            <w:r>
              <w:rPr>
                <w:rFonts w:ascii="Arial" w:hAnsi="Arial" w:cs="Arial"/>
                <w:sz w:val="22"/>
                <w:szCs w:val="22"/>
              </w:rPr>
              <w:t>.</w:t>
            </w:r>
          </w:p>
          <w:p w:rsidR="002B5A16" w:rsidRPr="00330A17"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Introduction and adoption of PT planting material in both PNG and SI</w:t>
            </w:r>
            <w:r w:rsidRPr="00330A17">
              <w:rPr>
                <w:rFonts w:ascii="Arial" w:hAnsi="Arial" w:cs="Arial"/>
                <w:sz w:val="22"/>
                <w:szCs w:val="22"/>
              </w:rPr>
              <w:t xml:space="preserve">. </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average yield in both SI and PNG (new varieties)</w:t>
            </w:r>
            <w:r w:rsidRPr="002202C5">
              <w:rPr>
                <w:rFonts w:ascii="Arial" w:hAnsi="Arial" w:cs="Arial"/>
                <w:sz w:val="22"/>
              </w:rPr>
              <w:t>.</w:t>
            </w:r>
          </w:p>
          <w:p w:rsidR="002B5A16" w:rsidRPr="004E448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Improved food security in the SI and PNG from higher yielding new varieties (social).</w:t>
            </w:r>
          </w:p>
          <w:p w:rsidR="002B5A16" w:rsidRPr="00544D27"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Improved health – displacing poor quality varieties with nutritious new varieties to improve vitamin intake, antioxidants and dietary fibre.</w:t>
            </w:r>
          </w:p>
          <w:p w:rsidR="002B5A16" w:rsidRPr="00A86B7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research, extension capacity in SI and PNG – extension officers trained in techniques to encourage uptake of PT material and new varieties.</w:t>
            </w:r>
          </w:p>
          <w:p w:rsidR="002B5A16" w:rsidRPr="00330A17"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rPr>
              <w:t xml:space="preserve">Increased regional income as a result of improved sweetpotato grower returns – SI and PNG (spillover benefit). </w:t>
            </w:r>
          </w:p>
        </w:tc>
      </w:tr>
    </w:tbl>
    <w:p w:rsidR="002B5A16" w:rsidRDefault="002B5A16" w:rsidP="002B5A16">
      <w:pPr>
        <w:jc w:val="center"/>
        <w:rPr>
          <w:rFonts w:ascii="Arial" w:hAnsi="Arial" w:cs="Arial"/>
        </w:rPr>
      </w:pPr>
    </w:p>
    <w:p w:rsidR="002B5A16" w:rsidRPr="00AF6856" w:rsidRDefault="002B5A16" w:rsidP="00AF6856">
      <w:pPr>
        <w:pStyle w:val="Caption"/>
        <w:spacing w:after="240"/>
        <w:jc w:val="center"/>
        <w:rPr>
          <w:rFonts w:ascii="Arial" w:hAnsi="Arial"/>
          <w:b w:val="0"/>
          <w:i/>
          <w:color w:val="000000" w:themeColor="text1"/>
          <w:sz w:val="22"/>
          <w:szCs w:val="22"/>
        </w:rPr>
      </w:pPr>
      <w:bookmarkStart w:id="466" w:name="_Toc487091282"/>
      <w:r w:rsidRPr="00AF6856">
        <w:rPr>
          <w:rFonts w:ascii="Arial" w:hAnsi="Arial"/>
          <w:b w:val="0"/>
          <w:sz w:val="22"/>
          <w:szCs w:val="22"/>
        </w:rPr>
        <w:t xml:space="preserve">Table </w:t>
      </w:r>
      <w:r w:rsidR="00913E1D">
        <w:rPr>
          <w:rFonts w:ascii="Arial" w:hAnsi="Arial"/>
          <w:b w:val="0"/>
          <w:i/>
          <w:sz w:val="22"/>
          <w:szCs w:val="22"/>
        </w:rPr>
        <w:t>8</w:t>
      </w:r>
      <w:r w:rsidRPr="00AF6856">
        <w:rPr>
          <w:rFonts w:ascii="Arial" w:hAnsi="Arial"/>
          <w:b w:val="0"/>
          <w:sz w:val="22"/>
          <w:szCs w:val="22"/>
        </w:rPr>
        <w:t xml:space="preserve">: </w:t>
      </w:r>
      <w:r w:rsidRPr="00AF6856">
        <w:rPr>
          <w:rFonts w:ascii="Arial" w:hAnsi="Arial"/>
          <w:b w:val="0"/>
          <w:color w:val="000000" w:themeColor="text1"/>
          <w:sz w:val="22"/>
          <w:szCs w:val="22"/>
        </w:rPr>
        <w:t>Logical Framework for 08-14329</w:t>
      </w:r>
      <w:bookmarkEnd w:id="466"/>
    </w:p>
    <w:tbl>
      <w:tblPr>
        <w:tblStyle w:val="TableGrid"/>
        <w:tblW w:w="9478" w:type="dxa"/>
        <w:jc w:val="center"/>
        <w:tblLook w:val="04A0" w:firstRow="1" w:lastRow="0" w:firstColumn="1" w:lastColumn="0" w:noHBand="0" w:noVBand="1"/>
      </w:tblPr>
      <w:tblGrid>
        <w:gridCol w:w="1762"/>
        <w:gridCol w:w="7716"/>
      </w:tblGrid>
      <w:tr w:rsidR="002B5A16" w:rsidRPr="00972E5A" w:rsidTr="00EB01F3">
        <w:trPr>
          <w:trHeight w:val="367"/>
          <w:jc w:val="center"/>
        </w:trPr>
        <w:tc>
          <w:tcPr>
            <w:tcW w:w="9478" w:type="dxa"/>
            <w:gridSpan w:val="2"/>
            <w:shd w:val="clear" w:color="auto" w:fill="D9D9D9" w:themeFill="background1" w:themeFillShade="D9"/>
          </w:tcPr>
          <w:p w:rsidR="002B5A16" w:rsidRPr="00972E5A" w:rsidRDefault="002B5A16" w:rsidP="002B5A16">
            <w:pPr>
              <w:tabs>
                <w:tab w:val="left" w:pos="1620"/>
                <w:tab w:val="left" w:pos="10440"/>
              </w:tabs>
              <w:ind w:left="5"/>
              <w:rPr>
                <w:rFonts w:ascii="Arial" w:hAnsi="Arial" w:cs="Arial"/>
                <w:sz w:val="22"/>
                <w:szCs w:val="22"/>
              </w:rPr>
            </w:pPr>
            <w:r w:rsidRPr="00972E5A">
              <w:rPr>
                <w:rFonts w:ascii="Arial" w:hAnsi="Arial" w:cs="Arial"/>
                <w:sz w:val="22"/>
                <w:szCs w:val="22"/>
              </w:rPr>
              <w:t xml:space="preserve">08-14329: Efficacy of </w:t>
            </w:r>
            <w:r>
              <w:rPr>
                <w:rFonts w:ascii="Arial" w:hAnsi="Arial" w:cs="Arial"/>
                <w:sz w:val="22"/>
                <w:szCs w:val="22"/>
              </w:rPr>
              <w:t>o</w:t>
            </w:r>
            <w:r w:rsidRPr="00972E5A">
              <w:rPr>
                <w:rFonts w:ascii="Arial" w:hAnsi="Arial" w:cs="Arial"/>
                <w:sz w:val="22"/>
                <w:szCs w:val="22"/>
              </w:rPr>
              <w:t xml:space="preserve">xamyl for control root knot nematode in </w:t>
            </w:r>
            <w:r>
              <w:rPr>
                <w:rFonts w:ascii="Arial" w:hAnsi="Arial" w:cs="Arial"/>
                <w:sz w:val="22"/>
                <w:szCs w:val="22"/>
              </w:rPr>
              <w:t>sweetpotato.</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DuPont</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September 2008 to February 2009</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Peter Morris</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254E8F" w:rsidRDefault="002B5A16" w:rsidP="002B5A16">
            <w:pPr>
              <w:tabs>
                <w:tab w:val="left" w:pos="1620"/>
                <w:tab w:val="left" w:pos="10440"/>
              </w:tabs>
              <w:ind w:left="5"/>
              <w:rPr>
                <w:rFonts w:ascii="Arial" w:hAnsi="Arial" w:cs="Arial"/>
                <w:sz w:val="22"/>
              </w:rPr>
            </w:pPr>
            <w:r>
              <w:rPr>
                <w:rFonts w:ascii="Arial" w:hAnsi="Arial" w:cs="Arial"/>
                <w:sz w:val="22"/>
              </w:rPr>
              <w:t xml:space="preserve">Root knot </w:t>
            </w:r>
            <w:r w:rsidRPr="00254E8F">
              <w:rPr>
                <w:rFonts w:ascii="Arial" w:hAnsi="Arial" w:cs="Arial"/>
                <w:sz w:val="22"/>
              </w:rPr>
              <w:t xml:space="preserve">nematodes adversely affect </w:t>
            </w:r>
            <w:r>
              <w:rPr>
                <w:rFonts w:ascii="Arial" w:hAnsi="Arial" w:cs="Arial"/>
                <w:sz w:val="22"/>
              </w:rPr>
              <w:t>sweetpotato</w:t>
            </w:r>
            <w:r w:rsidRPr="00254E8F">
              <w:rPr>
                <w:rFonts w:ascii="Arial" w:hAnsi="Arial" w:cs="Arial"/>
                <w:sz w:val="22"/>
              </w:rPr>
              <w:t xml:space="preserve"> production</w:t>
            </w:r>
            <w:r>
              <w:rPr>
                <w:rFonts w:ascii="Arial" w:hAnsi="Arial" w:cs="Arial"/>
                <w:sz w:val="22"/>
              </w:rPr>
              <w:t>. Research was required to determine whether the chemical oxamyl (brand name ‘Vydate’) was effective in their control.</w:t>
            </w:r>
          </w:p>
        </w:tc>
      </w:tr>
      <w:tr w:rsidR="002B5A16" w:rsidRPr="00D04886" w:rsidTr="00EB01F3">
        <w:trPr>
          <w:trHeight w:val="450"/>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Pr="00254E8F" w:rsidRDefault="002B5A16" w:rsidP="002B5A16">
            <w:pPr>
              <w:tabs>
                <w:tab w:val="left" w:pos="1620"/>
                <w:tab w:val="left" w:pos="10440"/>
              </w:tabs>
              <w:ind w:left="5"/>
              <w:rPr>
                <w:rFonts w:ascii="Arial" w:hAnsi="Arial" w:cs="Arial"/>
                <w:sz w:val="22"/>
              </w:rPr>
            </w:pPr>
            <w:r w:rsidRPr="00254E8F">
              <w:rPr>
                <w:rFonts w:ascii="Arial" w:hAnsi="Arial" w:cs="Arial"/>
                <w:sz w:val="22"/>
              </w:rPr>
              <w:t xml:space="preserve">To investigate the efficacy and active life of the nematicide, ‘Vydate’ on root knot nematode in </w:t>
            </w:r>
            <w:r>
              <w:rPr>
                <w:rFonts w:ascii="Arial" w:hAnsi="Arial" w:cs="Arial"/>
                <w:sz w:val="22"/>
              </w:rPr>
              <w:t>sweetpotato.</w:t>
            </w:r>
          </w:p>
        </w:tc>
      </w:tr>
      <w:tr w:rsidR="002B5A16" w:rsidRPr="00D04886" w:rsidTr="00EB01F3">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Pr="00254E8F"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A trial was required to determine the efficacy of ‘Vydate’ on root knot in sweetpotato production systems. The trial also provided insight into the duration of time protection was afforded.</w:t>
            </w:r>
          </w:p>
          <w:p w:rsidR="002B5A16" w:rsidRPr="00F42562"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Two 1.25 ha trial sites were established at each of Bundaberg QLD and Cudgen NSW. The trial consisted of a control and five treatments with varied nematicide application rates.</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Trial results submitted to APVMA for consideration and the existing registration and label approval for oxamyl was varied to include use on sweetpotatoes for root knot nematode control. </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Increased average yield – additional nematode control option (fenamiphos already available).</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szCs w:val="22"/>
              </w:rPr>
              <w:t>Increased profitability – oxamyl is a lower cost option for sweetpotato growers.</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Environmental – possible negative impacts from use of a soil sterilising chemical that reduces populations of beneficial insects (this impact offset by further reductions in organophosphates associated with VG05037).</w:t>
            </w:r>
          </w:p>
          <w:p w:rsidR="002B5A16" w:rsidRPr="004956DD"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Increased regional income in Australia (spillover).</w:t>
            </w:r>
          </w:p>
        </w:tc>
      </w:tr>
    </w:tbl>
    <w:p w:rsidR="002B5A16" w:rsidRDefault="002B5A16"/>
    <w:p w:rsidR="002B5A16" w:rsidRPr="00AF6856" w:rsidRDefault="002B5A16" w:rsidP="00AF6856">
      <w:pPr>
        <w:pStyle w:val="Caption"/>
        <w:spacing w:after="240"/>
        <w:jc w:val="center"/>
        <w:rPr>
          <w:rFonts w:ascii="Arial" w:hAnsi="Arial"/>
          <w:b w:val="0"/>
          <w:sz w:val="22"/>
          <w:szCs w:val="22"/>
        </w:rPr>
      </w:pPr>
      <w:bookmarkStart w:id="467" w:name="_Toc487091283"/>
      <w:r w:rsidRPr="00AF6856">
        <w:rPr>
          <w:rFonts w:ascii="Arial" w:hAnsi="Arial"/>
          <w:b w:val="0"/>
          <w:sz w:val="22"/>
          <w:szCs w:val="22"/>
        </w:rPr>
        <w:t xml:space="preserve">Table </w:t>
      </w:r>
      <w:r w:rsidR="00913E1D">
        <w:rPr>
          <w:rFonts w:ascii="Arial" w:hAnsi="Arial"/>
          <w:b w:val="0"/>
          <w:sz w:val="22"/>
          <w:szCs w:val="22"/>
        </w:rPr>
        <w:t>9</w:t>
      </w:r>
      <w:r w:rsidRPr="00AF6856">
        <w:rPr>
          <w:rFonts w:ascii="Arial" w:hAnsi="Arial"/>
          <w:b w:val="0"/>
          <w:sz w:val="22"/>
          <w:szCs w:val="22"/>
        </w:rPr>
        <w:t>: Logical Framework for VG09009</w:t>
      </w:r>
      <w:bookmarkEnd w:id="467"/>
    </w:p>
    <w:tbl>
      <w:tblPr>
        <w:tblStyle w:val="TableGrid"/>
        <w:tblW w:w="9478" w:type="dxa"/>
        <w:jc w:val="center"/>
        <w:tblLook w:val="04A0" w:firstRow="1" w:lastRow="0" w:firstColumn="1" w:lastColumn="0" w:noHBand="0" w:noVBand="1"/>
      </w:tblPr>
      <w:tblGrid>
        <w:gridCol w:w="1762"/>
        <w:gridCol w:w="7716"/>
      </w:tblGrid>
      <w:tr w:rsidR="002B5A16" w:rsidRPr="00972E5A" w:rsidTr="00EB01F3">
        <w:trPr>
          <w:trHeight w:val="367"/>
          <w:jc w:val="center"/>
        </w:trPr>
        <w:tc>
          <w:tcPr>
            <w:tcW w:w="9478" w:type="dxa"/>
            <w:gridSpan w:val="2"/>
            <w:shd w:val="clear" w:color="auto" w:fill="D9D9D9" w:themeFill="background1" w:themeFillShade="D9"/>
          </w:tcPr>
          <w:p w:rsidR="002B5A16" w:rsidRPr="00DF68D7" w:rsidRDefault="002B5A16" w:rsidP="002B5A16">
            <w:pPr>
              <w:tabs>
                <w:tab w:val="left" w:pos="1620"/>
                <w:tab w:val="left" w:pos="10440"/>
              </w:tabs>
              <w:ind w:left="5"/>
              <w:rPr>
                <w:rFonts w:ascii="Arial" w:hAnsi="Arial" w:cs="Arial"/>
                <w:sz w:val="22"/>
                <w:szCs w:val="22"/>
              </w:rPr>
            </w:pPr>
            <w:r w:rsidRPr="00D94460">
              <w:rPr>
                <w:rFonts w:ascii="Arial" w:hAnsi="Arial" w:cs="Arial"/>
                <w:sz w:val="22"/>
                <w:szCs w:val="18"/>
              </w:rPr>
              <w:t xml:space="preserve">VG09009: Evaluating </w:t>
            </w:r>
            <w:r>
              <w:rPr>
                <w:rFonts w:ascii="Arial" w:hAnsi="Arial" w:cs="Arial"/>
                <w:sz w:val="22"/>
                <w:szCs w:val="18"/>
              </w:rPr>
              <w:t>sweetpotato</w:t>
            </w:r>
            <w:r w:rsidRPr="00D94460">
              <w:rPr>
                <w:rFonts w:ascii="Arial" w:hAnsi="Arial" w:cs="Arial"/>
                <w:sz w:val="22"/>
                <w:szCs w:val="18"/>
              </w:rPr>
              <w:t xml:space="preserve"> varieties to meet market needs</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January 2010 to December 2013</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Sandra Dennien</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722BC0" w:rsidRDefault="002B5A16" w:rsidP="002B5A16">
            <w:pPr>
              <w:tabs>
                <w:tab w:val="left" w:pos="1620"/>
                <w:tab w:val="left" w:pos="10440"/>
              </w:tabs>
              <w:ind w:left="5"/>
              <w:rPr>
                <w:rFonts w:ascii="Arial" w:hAnsi="Arial" w:cs="Arial"/>
                <w:sz w:val="22"/>
              </w:rPr>
            </w:pPr>
            <w:r>
              <w:rPr>
                <w:rFonts w:ascii="Arial" w:hAnsi="Arial" w:cs="Arial"/>
                <w:sz w:val="22"/>
              </w:rPr>
              <w:t xml:space="preserve">Sweetpotato sales growth in Australia has been based on a single variety – gold fleshed Beauregard. If there is a change to Australian growing conditions, e.g. pest or disease incursion, the sweetpotato growing industry is at risk of production collapse. Furthermore, market research indicates that there are opportunities for additional sales from sweetpotato varieties that produce white, red and purple flesh. Existing white, red and purple flesh varieties are unreliable, producing variable yield and tuber quality. This project identified additional commercial varieties and provided a foundation for growing both the Australian sweetpotato market and export sales. </w:t>
            </w:r>
          </w:p>
        </w:tc>
      </w:tr>
      <w:tr w:rsidR="002B5A16" w:rsidRPr="00D04886" w:rsidTr="00EB01F3">
        <w:trPr>
          <w:trHeight w:val="439"/>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Default="002B5A16" w:rsidP="000D5A34">
            <w:pPr>
              <w:pStyle w:val="ListParagraph"/>
              <w:numPr>
                <w:ilvl w:val="0"/>
                <w:numId w:val="43"/>
              </w:numPr>
              <w:tabs>
                <w:tab w:val="left" w:pos="1620"/>
                <w:tab w:val="left" w:pos="10440"/>
              </w:tabs>
              <w:suppressAutoHyphens/>
              <w:contextualSpacing w:val="0"/>
              <w:rPr>
                <w:rFonts w:ascii="Arial" w:hAnsi="Arial" w:cs="Arial"/>
                <w:sz w:val="22"/>
              </w:rPr>
            </w:pPr>
            <w:r>
              <w:rPr>
                <w:rFonts w:ascii="Arial" w:hAnsi="Arial" w:cs="Arial"/>
                <w:sz w:val="22"/>
              </w:rPr>
              <w:t>Identify new commercial sweetpotato varieties.</w:t>
            </w:r>
          </w:p>
          <w:p w:rsidR="002B5A16" w:rsidRPr="00722BC0" w:rsidRDefault="002B5A16" w:rsidP="000D5A34">
            <w:pPr>
              <w:pStyle w:val="ListParagraph"/>
              <w:numPr>
                <w:ilvl w:val="0"/>
                <w:numId w:val="43"/>
              </w:numPr>
              <w:tabs>
                <w:tab w:val="left" w:pos="1620"/>
                <w:tab w:val="left" w:pos="10440"/>
              </w:tabs>
              <w:suppressAutoHyphens/>
              <w:contextualSpacing w:val="0"/>
              <w:rPr>
                <w:rFonts w:ascii="Arial" w:hAnsi="Arial" w:cs="Arial"/>
                <w:sz w:val="22"/>
              </w:rPr>
            </w:pPr>
            <w:r>
              <w:rPr>
                <w:rFonts w:ascii="Arial" w:hAnsi="Arial" w:cs="Arial"/>
                <w:sz w:val="22"/>
              </w:rPr>
              <w:t>Grow both the Australian domestic and export sweetpotato markets.</w:t>
            </w:r>
          </w:p>
        </w:tc>
      </w:tr>
      <w:tr w:rsidR="002B5A16" w:rsidRPr="00D04886" w:rsidTr="00EB01F3">
        <w:trPr>
          <w:trHeight w:val="274"/>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Default="002B5A16" w:rsidP="002B5A16">
            <w:pPr>
              <w:tabs>
                <w:tab w:val="left" w:pos="1620"/>
                <w:tab w:val="left" w:pos="10440"/>
              </w:tabs>
              <w:ind w:left="5"/>
              <w:rPr>
                <w:rFonts w:ascii="Arial" w:hAnsi="Arial" w:cs="Arial"/>
                <w:sz w:val="22"/>
              </w:rPr>
            </w:pPr>
            <w:r w:rsidRPr="00C06136">
              <w:rPr>
                <w:rFonts w:ascii="Arial" w:hAnsi="Arial" w:cs="Arial"/>
                <w:sz w:val="22"/>
              </w:rPr>
              <w:t>The</w:t>
            </w:r>
            <w:r>
              <w:rPr>
                <w:rFonts w:ascii="Arial" w:hAnsi="Arial" w:cs="Arial"/>
                <w:sz w:val="22"/>
              </w:rPr>
              <w:t xml:space="preserve"> project builds on VG97023 which identified current commercial varieties and some further variety development work completed as part of VG1010. VG1010 collected a large number of local varieties that had not been productivity or disease/pest tolerance tested.</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2C3756">
              <w:rPr>
                <w:rFonts w:ascii="Arial" w:hAnsi="Arial" w:cs="Arial"/>
                <w:sz w:val="22"/>
              </w:rPr>
              <w:t>Market research</w:t>
            </w:r>
            <w:r>
              <w:rPr>
                <w:rFonts w:ascii="Arial" w:hAnsi="Arial" w:cs="Arial"/>
                <w:sz w:val="22"/>
              </w:rPr>
              <w:t xml:space="preserve"> – wholesalers and retailer priorities for the category.</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Grower survey – to identify production concerns with the existing variety.</w:t>
            </w:r>
          </w:p>
          <w:p w:rsidR="002B5A16" w:rsidRPr="002C375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Genetic resource survey – including the major sweetpotato germplasm repository in the US.</w:t>
            </w:r>
          </w:p>
          <w:p w:rsidR="002B5A16" w:rsidRPr="002C375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2C3756">
              <w:rPr>
                <w:rFonts w:ascii="Arial" w:hAnsi="Arial" w:cs="Arial"/>
                <w:sz w:val="22"/>
              </w:rPr>
              <w:t xml:space="preserve">Testing </w:t>
            </w:r>
            <w:r>
              <w:rPr>
                <w:rFonts w:ascii="Arial" w:hAnsi="Arial" w:cs="Arial"/>
                <w:sz w:val="22"/>
              </w:rPr>
              <w:t>of possible varieties for viruses and other pathogens.</w:t>
            </w:r>
          </w:p>
          <w:p w:rsidR="002B5A16" w:rsidRPr="00D845D3"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sidRPr="002C3756">
              <w:rPr>
                <w:rFonts w:ascii="Arial" w:hAnsi="Arial" w:cs="Arial"/>
                <w:sz w:val="22"/>
              </w:rPr>
              <w:t xml:space="preserve">Initial screening trials </w:t>
            </w:r>
            <w:r>
              <w:rPr>
                <w:rFonts w:ascii="Arial" w:hAnsi="Arial" w:cs="Arial"/>
                <w:sz w:val="22"/>
              </w:rPr>
              <w:t xml:space="preserve">included </w:t>
            </w:r>
            <w:r w:rsidRPr="002C3756">
              <w:rPr>
                <w:rFonts w:ascii="Arial" w:hAnsi="Arial" w:cs="Arial"/>
                <w:sz w:val="22"/>
              </w:rPr>
              <w:t>propagat</w:t>
            </w:r>
            <w:r>
              <w:rPr>
                <w:rFonts w:ascii="Arial" w:hAnsi="Arial" w:cs="Arial"/>
                <w:sz w:val="22"/>
              </w:rPr>
              <w:t>ion of</w:t>
            </w:r>
            <w:r w:rsidRPr="002C3756">
              <w:rPr>
                <w:rFonts w:ascii="Arial" w:hAnsi="Arial" w:cs="Arial"/>
                <w:sz w:val="22"/>
              </w:rPr>
              <w:t xml:space="preserve"> planting materials</w:t>
            </w:r>
            <w:r>
              <w:rPr>
                <w:rFonts w:ascii="Arial" w:hAnsi="Arial" w:cs="Arial"/>
                <w:sz w:val="22"/>
              </w:rPr>
              <w:t xml:space="preserve"> and testing screened varieties at multiple growing sites</w:t>
            </w:r>
            <w:r w:rsidRPr="002C3756">
              <w:rPr>
                <w:rFonts w:ascii="Arial" w:hAnsi="Arial" w:cs="Arial"/>
                <w:sz w:val="22"/>
              </w:rPr>
              <w:t xml:space="preserve">. </w:t>
            </w:r>
          </w:p>
          <w:p w:rsidR="002B5A16" w:rsidRPr="00D845D3"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Completion of detailed variety evaluation using replicated fully randomised split plots. Leading marketers asked to test varieties under evaluation.</w:t>
            </w:r>
          </w:p>
          <w:p w:rsidR="002B5A16" w:rsidRPr="004860A9"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Review of potential commercial varieties for their suitability in both Korean and Japanese export markets.</w:t>
            </w:r>
          </w:p>
          <w:p w:rsidR="002B5A16" w:rsidRPr="00F42562"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Communication of trial results to growers through field days relevant to Bundaberg QLD and Cudgen NSW, distribution of the project final report via the industry’s mailing list and communication of results through the national sweetpotato foundation seed scheme that was managed by a member of the project team.</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A sounder gold sweetpotato supply chain – reduced risk of relying on a single variety that may become susceptible to a pest/disease incursion or changed growing conditions.</w:t>
            </w:r>
          </w:p>
          <w:p w:rsidR="002B5A16" w:rsidRPr="00185CB4"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Market growth based on new categories - white, red and purple flesh sweetpotatoes of appropriate quality that meet wholesaler, retailer and consumer demand.</w:t>
            </w:r>
          </w:p>
          <w:p w:rsidR="002B5A16" w:rsidRPr="00185CB4"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Reduced risk of a pest/disease incursion causing a collapse in Australian sweetpotato production.</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Possible health outcomes for consumers from additional sweetpotato consumption – antioxidants, vitamins, important dietary fibres and a low glycaemic index all assist with fighting obesity and type 2 diabetes.</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E1770F"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preparedness for new viruses from overseas.</w:t>
            </w:r>
          </w:p>
          <w:p w:rsidR="002B5A16" w:rsidRPr="00B93496"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Increased profitability from potential latent demand for red and white/purple varieties. </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regional income in Australia (spillover).</w:t>
            </w:r>
          </w:p>
        </w:tc>
      </w:tr>
    </w:tbl>
    <w:p w:rsidR="002B5A16" w:rsidRDefault="002B5A16"/>
    <w:p w:rsidR="002B5A16" w:rsidRPr="00AF6856" w:rsidRDefault="002B5A16" w:rsidP="00AF6856">
      <w:pPr>
        <w:pStyle w:val="Caption"/>
        <w:spacing w:after="240"/>
        <w:jc w:val="center"/>
        <w:rPr>
          <w:rFonts w:ascii="Arial" w:hAnsi="Arial"/>
          <w:b w:val="0"/>
          <w:sz w:val="22"/>
          <w:szCs w:val="22"/>
        </w:rPr>
      </w:pPr>
      <w:bookmarkStart w:id="468" w:name="_Toc487091284"/>
      <w:r w:rsidRPr="00AF6856">
        <w:rPr>
          <w:rFonts w:ascii="Arial" w:hAnsi="Arial"/>
          <w:b w:val="0"/>
          <w:sz w:val="22"/>
          <w:szCs w:val="22"/>
        </w:rPr>
        <w:t xml:space="preserve">Table </w:t>
      </w:r>
      <w:r w:rsidR="00913E1D">
        <w:rPr>
          <w:rFonts w:ascii="Arial" w:hAnsi="Arial"/>
          <w:b w:val="0"/>
          <w:sz w:val="22"/>
          <w:szCs w:val="22"/>
        </w:rPr>
        <w:t>10</w:t>
      </w:r>
      <w:r w:rsidRPr="00AF6856">
        <w:rPr>
          <w:rFonts w:ascii="Arial" w:hAnsi="Arial"/>
          <w:b w:val="0"/>
          <w:sz w:val="22"/>
          <w:szCs w:val="22"/>
        </w:rPr>
        <w:t>: Logical Framework for VG09052</w:t>
      </w:r>
      <w:bookmarkEnd w:id="468"/>
    </w:p>
    <w:tbl>
      <w:tblPr>
        <w:tblStyle w:val="TableGrid"/>
        <w:tblW w:w="9478" w:type="dxa"/>
        <w:jc w:val="center"/>
        <w:tblLook w:val="04A0" w:firstRow="1" w:lastRow="0" w:firstColumn="1" w:lastColumn="0" w:noHBand="0" w:noVBand="1"/>
      </w:tblPr>
      <w:tblGrid>
        <w:gridCol w:w="1762"/>
        <w:gridCol w:w="7716"/>
      </w:tblGrid>
      <w:tr w:rsidR="002B5A16" w:rsidRPr="00972E5A" w:rsidTr="00EB01F3">
        <w:trPr>
          <w:trHeight w:val="367"/>
          <w:jc w:val="center"/>
        </w:trPr>
        <w:tc>
          <w:tcPr>
            <w:tcW w:w="9478" w:type="dxa"/>
            <w:gridSpan w:val="2"/>
            <w:shd w:val="clear" w:color="auto" w:fill="D9D9D9" w:themeFill="background1" w:themeFillShade="D9"/>
          </w:tcPr>
          <w:p w:rsidR="002B5A16" w:rsidRPr="00FD13F9" w:rsidRDefault="002B5A16" w:rsidP="002B5A16">
            <w:pPr>
              <w:tabs>
                <w:tab w:val="left" w:pos="1620"/>
                <w:tab w:val="left" w:pos="10440"/>
              </w:tabs>
              <w:ind w:left="5"/>
              <w:rPr>
                <w:rFonts w:ascii="Arial" w:hAnsi="Arial" w:cs="Arial"/>
                <w:sz w:val="22"/>
                <w:szCs w:val="22"/>
              </w:rPr>
            </w:pPr>
            <w:r w:rsidRPr="002A6283">
              <w:rPr>
                <w:rFonts w:ascii="Arial" w:hAnsi="Arial" w:cs="Arial"/>
                <w:sz w:val="22"/>
                <w:szCs w:val="18"/>
              </w:rPr>
              <w:t xml:space="preserve">VG09052: Integration of crop and soil insect management in </w:t>
            </w:r>
            <w:r>
              <w:rPr>
                <w:rFonts w:ascii="Arial" w:hAnsi="Arial" w:cs="Arial"/>
                <w:sz w:val="22"/>
                <w:szCs w:val="18"/>
              </w:rPr>
              <w:t>sweetpotato</w:t>
            </w:r>
            <w:r w:rsidRPr="002A6283">
              <w:rPr>
                <w:rFonts w:ascii="Arial" w:hAnsi="Arial" w:cs="Arial"/>
                <w:sz w:val="22"/>
                <w:szCs w:val="18"/>
              </w:rPr>
              <w:t>es.</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July 2010 to January 2014 (extended to May 2014)</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Eric Coleman</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CE2869" w:rsidRDefault="002B5A16" w:rsidP="002B5A16">
            <w:pPr>
              <w:tabs>
                <w:tab w:val="left" w:pos="1620"/>
                <w:tab w:val="left" w:pos="10440"/>
              </w:tabs>
              <w:ind w:left="5"/>
              <w:rPr>
                <w:rFonts w:ascii="Arial" w:hAnsi="Arial" w:cs="Arial"/>
                <w:sz w:val="22"/>
              </w:rPr>
            </w:pPr>
            <w:r w:rsidRPr="00CE2869">
              <w:rPr>
                <w:rFonts w:ascii="Arial" w:hAnsi="Arial" w:cs="Arial"/>
                <w:sz w:val="22"/>
              </w:rPr>
              <w:t>V</w:t>
            </w:r>
            <w:r>
              <w:rPr>
                <w:rFonts w:ascii="Arial" w:hAnsi="Arial" w:cs="Arial"/>
                <w:sz w:val="22"/>
              </w:rPr>
              <w:t xml:space="preserve">G05037 made significant advances in managing soil borne </w:t>
            </w:r>
            <w:r w:rsidRPr="00CE2869">
              <w:rPr>
                <w:rFonts w:ascii="Arial" w:hAnsi="Arial" w:cs="Arial"/>
                <w:sz w:val="22"/>
              </w:rPr>
              <w:t>i</w:t>
            </w:r>
            <w:r>
              <w:rPr>
                <w:rFonts w:ascii="Arial" w:hAnsi="Arial" w:cs="Arial"/>
                <w:sz w:val="22"/>
              </w:rPr>
              <w:t>nsects. The challenge then was to integrate these findings into the whole farm system. As a consequence of reducing the number of broad spectrum insecticides used for control of soil borne insects, growers must rethink their approaches to foliar pests that were being controlled by the past approach. As a consequence, approaches adopted in VG05037 were expanded through this project to include foliar chewing and sap sucking pests like tortoise shell beetle, flee beetle and hawk moth.</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Pr="008D20C4" w:rsidRDefault="002B5A16" w:rsidP="000D5A34">
            <w:pPr>
              <w:pStyle w:val="ListParagraph"/>
              <w:numPr>
                <w:ilvl w:val="0"/>
                <w:numId w:val="49"/>
              </w:numPr>
              <w:tabs>
                <w:tab w:val="left" w:pos="1620"/>
                <w:tab w:val="left" w:pos="10440"/>
              </w:tabs>
              <w:suppressAutoHyphens/>
              <w:ind w:left="365"/>
              <w:contextualSpacing w:val="0"/>
              <w:rPr>
                <w:rFonts w:ascii="Arial" w:hAnsi="Arial" w:cs="Arial"/>
                <w:sz w:val="22"/>
              </w:rPr>
            </w:pPr>
            <w:r w:rsidRPr="008D20C4">
              <w:rPr>
                <w:rFonts w:ascii="Arial" w:hAnsi="Arial" w:cs="Arial"/>
                <w:sz w:val="22"/>
              </w:rPr>
              <w:t>Integrate VG05</w:t>
            </w:r>
            <w:r>
              <w:rPr>
                <w:rFonts w:ascii="Arial" w:hAnsi="Arial" w:cs="Arial"/>
                <w:sz w:val="22"/>
              </w:rPr>
              <w:t xml:space="preserve">037 </w:t>
            </w:r>
            <w:r w:rsidRPr="008D20C4">
              <w:rPr>
                <w:rFonts w:ascii="Arial" w:hAnsi="Arial" w:cs="Arial"/>
                <w:sz w:val="22"/>
              </w:rPr>
              <w:t xml:space="preserve">findings on soil borne pests into </w:t>
            </w:r>
            <w:r>
              <w:rPr>
                <w:rFonts w:ascii="Arial" w:hAnsi="Arial" w:cs="Arial"/>
                <w:sz w:val="22"/>
              </w:rPr>
              <w:t xml:space="preserve">the </w:t>
            </w:r>
            <w:r w:rsidRPr="008D20C4">
              <w:rPr>
                <w:rFonts w:ascii="Arial" w:hAnsi="Arial" w:cs="Arial"/>
                <w:sz w:val="22"/>
              </w:rPr>
              <w:t>whole farm system</w:t>
            </w:r>
            <w:r>
              <w:rPr>
                <w:rFonts w:ascii="Arial" w:hAnsi="Arial" w:cs="Arial"/>
                <w:sz w:val="22"/>
              </w:rPr>
              <w:t>.</w:t>
            </w:r>
          </w:p>
          <w:p w:rsidR="002B5A16" w:rsidRPr="00972E5A" w:rsidRDefault="002B5A16" w:rsidP="000D5A34">
            <w:pPr>
              <w:pStyle w:val="ListParagraph"/>
              <w:numPr>
                <w:ilvl w:val="0"/>
                <w:numId w:val="49"/>
              </w:numPr>
              <w:tabs>
                <w:tab w:val="left" w:pos="1620"/>
                <w:tab w:val="left" w:pos="10440"/>
              </w:tabs>
              <w:suppressAutoHyphens/>
              <w:ind w:left="365"/>
              <w:contextualSpacing w:val="0"/>
              <w:rPr>
                <w:rFonts w:ascii="Arial" w:hAnsi="Arial" w:cs="Arial"/>
              </w:rPr>
            </w:pPr>
            <w:r w:rsidRPr="008D20C4">
              <w:rPr>
                <w:rFonts w:ascii="Arial" w:hAnsi="Arial" w:cs="Arial"/>
                <w:sz w:val="22"/>
              </w:rPr>
              <w:t>Develop approaches to manage foliar pests without use of broad spectrum organophosphates</w:t>
            </w:r>
            <w:r>
              <w:rPr>
                <w:rFonts w:ascii="Arial" w:hAnsi="Arial" w:cs="Arial"/>
                <w:sz w:val="22"/>
              </w:rPr>
              <w:t>.</w:t>
            </w:r>
          </w:p>
        </w:tc>
      </w:tr>
      <w:tr w:rsidR="002B5A16" w:rsidRPr="00D04886" w:rsidTr="00EB01F3">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Workshops and field walks to deliver an </w:t>
            </w:r>
            <w:r w:rsidRPr="002C0CCB">
              <w:rPr>
                <w:rFonts w:ascii="Arial" w:hAnsi="Arial" w:cs="Arial"/>
                <w:sz w:val="22"/>
              </w:rPr>
              <w:t>improved awareness</w:t>
            </w:r>
            <w:r>
              <w:rPr>
                <w:rFonts w:ascii="Arial" w:hAnsi="Arial" w:cs="Arial"/>
                <w:sz w:val="22"/>
              </w:rPr>
              <w:t xml:space="preserve"> and understanding of sweetpotato pest insects including training in pest identification, use of decision support tools, use of predatory insects and best practice pest management strategies (pheromone traps, monitoring using bait foods, crop rotation and use of pest free planting materials).</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Trials and field experiments to identify new technologies – testing of alternative/ new chemistry, alternative delivery techniques and genetic tolerances of various cultivars to sweetpotato pests.</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Decision support tools that include monitoring and testing approaches.</w:t>
            </w:r>
          </w:p>
          <w:p w:rsidR="002B5A16" w:rsidRPr="002C0CCB"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Ongoing research on soil pests – wireworm, weevil and nematodes – through replicated field and pot trial experimentation.</w:t>
            </w:r>
          </w:p>
          <w:p w:rsidR="002B5A16" w:rsidRPr="00DF7136"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Participatory learning events to deliver improved human resource capacity through the development of decision support tools for growers, agribusiness suppliers and consultants.</w:t>
            </w:r>
          </w:p>
          <w:p w:rsidR="002B5A16" w:rsidRPr="00F42562"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An industry wide pest management extension program that armed growers with the knowledge necessary to implement integrated crop management strategies.</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Pr="00BF313F" w:rsidRDefault="002B5A16" w:rsidP="000D5A34">
            <w:pPr>
              <w:pStyle w:val="ListParagraph"/>
              <w:numPr>
                <w:ilvl w:val="0"/>
                <w:numId w:val="50"/>
              </w:numPr>
              <w:tabs>
                <w:tab w:val="left" w:pos="1620"/>
                <w:tab w:val="left" w:pos="10440"/>
              </w:tabs>
              <w:suppressAutoHyphens/>
              <w:ind w:left="365"/>
              <w:contextualSpacing w:val="0"/>
              <w:rPr>
                <w:rFonts w:ascii="Arial" w:hAnsi="Arial" w:cs="Arial"/>
                <w:sz w:val="22"/>
                <w:szCs w:val="22"/>
              </w:rPr>
            </w:pPr>
            <w:r w:rsidRPr="00BF313F">
              <w:rPr>
                <w:rFonts w:ascii="Arial" w:hAnsi="Arial" w:cs="Arial"/>
                <w:sz w:val="22"/>
                <w:szCs w:val="22"/>
              </w:rPr>
              <w:t>Improved understanding of pests and predators by growers, agribusiness suppliers and consultants.</w:t>
            </w:r>
          </w:p>
          <w:p w:rsidR="002B5A16" w:rsidRPr="002C0CCB" w:rsidRDefault="002B5A16" w:rsidP="000D5A34">
            <w:pPr>
              <w:pStyle w:val="ListParagraph"/>
              <w:numPr>
                <w:ilvl w:val="0"/>
                <w:numId w:val="5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New chemicals for the control of </w:t>
            </w:r>
            <w:r w:rsidRPr="00B044AF">
              <w:rPr>
                <w:rFonts w:ascii="Arial" w:hAnsi="Arial" w:cs="Arial"/>
                <w:sz w:val="22"/>
                <w:szCs w:val="22"/>
              </w:rPr>
              <w:t>wireworm (</w:t>
            </w:r>
            <w:r>
              <w:rPr>
                <w:rFonts w:ascii="Arial" w:hAnsi="Arial" w:cs="Arial"/>
                <w:sz w:val="22"/>
                <w:szCs w:val="22"/>
              </w:rPr>
              <w:t>one new chemical</w:t>
            </w:r>
            <w:r w:rsidRPr="00B044AF">
              <w:rPr>
                <w:rFonts w:ascii="Arial" w:hAnsi="Arial" w:cs="Arial"/>
                <w:sz w:val="22"/>
                <w:szCs w:val="22"/>
              </w:rPr>
              <w:t>)</w:t>
            </w:r>
            <w:r>
              <w:rPr>
                <w:rFonts w:ascii="Arial" w:hAnsi="Arial" w:cs="Arial"/>
                <w:sz w:val="22"/>
                <w:szCs w:val="22"/>
              </w:rPr>
              <w:t>,</w:t>
            </w:r>
            <w:r>
              <w:rPr>
                <w:rFonts w:ascii="TimesNewRomanPSMT" w:hAnsi="TimesNewRomanPSMT" w:cs="TimesNewRomanPSMT"/>
                <w:sz w:val="24"/>
              </w:rPr>
              <w:t xml:space="preserve"> </w:t>
            </w:r>
            <w:r>
              <w:rPr>
                <w:rFonts w:ascii="Arial" w:hAnsi="Arial" w:cs="Arial"/>
                <w:sz w:val="22"/>
              </w:rPr>
              <w:t>sweetpotato weevil (three new chemicals) and nematodes (one new chemical).</w:t>
            </w:r>
            <w:r w:rsidRPr="002202C5">
              <w:rPr>
                <w:rFonts w:ascii="Arial" w:hAnsi="Arial" w:cs="Arial"/>
                <w:sz w:val="22"/>
              </w:rPr>
              <w:t xml:space="preserve"> </w:t>
            </w:r>
          </w:p>
          <w:p w:rsidR="002B5A16" w:rsidRPr="008B43A3" w:rsidRDefault="002B5A16" w:rsidP="000D5A34">
            <w:pPr>
              <w:pStyle w:val="ListParagraph"/>
              <w:numPr>
                <w:ilvl w:val="0"/>
                <w:numId w:val="50"/>
              </w:numPr>
              <w:suppressAutoHyphens/>
              <w:autoSpaceDE w:val="0"/>
              <w:autoSpaceDN w:val="0"/>
              <w:adjustRightInd w:val="0"/>
              <w:ind w:left="365"/>
              <w:contextualSpacing w:val="0"/>
              <w:rPr>
                <w:rFonts w:ascii="Arial" w:hAnsi="Arial" w:cs="Arial"/>
                <w:sz w:val="22"/>
                <w:szCs w:val="22"/>
              </w:rPr>
            </w:pPr>
            <w:r w:rsidRPr="00BF313F">
              <w:rPr>
                <w:rFonts w:ascii="Arial" w:hAnsi="Arial" w:cs="Arial"/>
                <w:sz w:val="22"/>
                <w:szCs w:val="22"/>
              </w:rPr>
              <w:t xml:space="preserve">New chemical application systems that improve the delivery of crop protectants into the root zone, improving crop protection times and reducing dependence on large </w:t>
            </w:r>
            <w:r w:rsidRPr="00B63E7C">
              <w:rPr>
                <w:rFonts w:ascii="Arial" w:hAnsi="Arial" w:cs="Arial"/>
                <w:sz w:val="22"/>
                <w:szCs w:val="22"/>
              </w:rPr>
              <w:t>concentrations of soil incorporated insecticides that need to be applied prior to planting.</w:t>
            </w:r>
          </w:p>
          <w:p w:rsidR="002B5A16" w:rsidRDefault="002B5A16" w:rsidP="000D5A34">
            <w:pPr>
              <w:pStyle w:val="ListParagraph"/>
              <w:numPr>
                <w:ilvl w:val="0"/>
                <w:numId w:val="50"/>
              </w:numPr>
              <w:tabs>
                <w:tab w:val="left" w:pos="1620"/>
                <w:tab w:val="left" w:pos="10440"/>
              </w:tabs>
              <w:suppressAutoHyphens/>
              <w:ind w:left="365"/>
              <w:contextualSpacing w:val="0"/>
              <w:rPr>
                <w:rFonts w:ascii="Arial" w:hAnsi="Arial" w:cs="Arial"/>
                <w:sz w:val="22"/>
              </w:rPr>
            </w:pPr>
            <w:r w:rsidRPr="00196B38">
              <w:rPr>
                <w:rFonts w:ascii="Arial" w:hAnsi="Arial" w:cs="Arial"/>
                <w:sz w:val="22"/>
              </w:rPr>
              <w:t>Use of cover crop</w:t>
            </w:r>
            <w:r>
              <w:rPr>
                <w:rFonts w:ascii="Arial" w:hAnsi="Arial" w:cs="Arial"/>
                <w:sz w:val="22"/>
              </w:rPr>
              <w:t xml:space="preserve">ping management </w:t>
            </w:r>
            <w:r w:rsidRPr="00196B38">
              <w:rPr>
                <w:rFonts w:ascii="Arial" w:hAnsi="Arial" w:cs="Arial"/>
                <w:sz w:val="22"/>
              </w:rPr>
              <w:t>s</w:t>
            </w:r>
            <w:r>
              <w:rPr>
                <w:rFonts w:ascii="Arial" w:hAnsi="Arial" w:cs="Arial"/>
                <w:sz w:val="22"/>
              </w:rPr>
              <w:t>trategies between sweetpotato cropping periods to break pest cycles.</w:t>
            </w:r>
          </w:p>
          <w:p w:rsidR="002B5A16" w:rsidRPr="00196B38" w:rsidRDefault="002B5A16" w:rsidP="000D5A34">
            <w:pPr>
              <w:pStyle w:val="ListParagraph"/>
              <w:numPr>
                <w:ilvl w:val="0"/>
                <w:numId w:val="50"/>
              </w:numPr>
              <w:tabs>
                <w:tab w:val="left" w:pos="1620"/>
                <w:tab w:val="left" w:pos="10440"/>
              </w:tabs>
              <w:suppressAutoHyphens/>
              <w:ind w:left="365"/>
              <w:contextualSpacing w:val="0"/>
              <w:rPr>
                <w:rFonts w:ascii="Arial" w:hAnsi="Arial" w:cs="Arial"/>
                <w:sz w:val="22"/>
              </w:rPr>
            </w:pPr>
            <w:r>
              <w:rPr>
                <w:rFonts w:ascii="Arial" w:hAnsi="Arial" w:cs="Arial"/>
                <w:sz w:val="22"/>
              </w:rPr>
              <w:t xml:space="preserve">Demonstration of pest resistance in some sweetpotato cultivars including the newly imported Evangeline and Bienville. </w:t>
            </w:r>
          </w:p>
          <w:p w:rsidR="002B5A16" w:rsidRPr="002202C5" w:rsidRDefault="002B5A16" w:rsidP="000D5A34">
            <w:pPr>
              <w:pStyle w:val="ListParagraph"/>
              <w:numPr>
                <w:ilvl w:val="0"/>
                <w:numId w:val="50"/>
              </w:numPr>
              <w:tabs>
                <w:tab w:val="left" w:pos="1620"/>
                <w:tab w:val="left" w:pos="10440"/>
              </w:tabs>
              <w:suppressAutoHyphens/>
              <w:ind w:left="365"/>
              <w:contextualSpacing w:val="0"/>
              <w:rPr>
                <w:rFonts w:ascii="Arial" w:hAnsi="Arial" w:cs="Arial"/>
                <w:b/>
                <w:sz w:val="22"/>
              </w:rPr>
            </w:pPr>
            <w:r>
              <w:rPr>
                <w:rFonts w:ascii="Arial" w:hAnsi="Arial" w:cs="Arial"/>
                <w:sz w:val="22"/>
              </w:rPr>
              <w:t>Improved pest monitoring techniques with high adoption rates.</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3610DC"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sidRPr="009A55BF">
              <w:rPr>
                <w:rFonts w:ascii="Arial" w:hAnsi="Arial" w:cs="Arial"/>
                <w:sz w:val="22"/>
                <w:szCs w:val="22"/>
              </w:rPr>
              <w:t xml:space="preserve">Increased </w:t>
            </w:r>
            <w:r>
              <w:rPr>
                <w:rFonts w:ascii="Arial" w:hAnsi="Arial" w:cs="Arial"/>
                <w:sz w:val="22"/>
                <w:szCs w:val="22"/>
              </w:rPr>
              <w:t xml:space="preserve">average </w:t>
            </w:r>
            <w:r w:rsidRPr="009A55BF">
              <w:rPr>
                <w:rFonts w:ascii="Arial" w:hAnsi="Arial" w:cs="Arial"/>
                <w:sz w:val="22"/>
                <w:szCs w:val="22"/>
              </w:rPr>
              <w:t>yield</w:t>
            </w:r>
            <w:r>
              <w:rPr>
                <w:rFonts w:ascii="Arial" w:hAnsi="Arial" w:cs="Arial"/>
                <w:sz w:val="22"/>
                <w:szCs w:val="22"/>
              </w:rPr>
              <w:t xml:space="preserve"> (wireworm, weevil and nematode control)</w:t>
            </w:r>
            <w:r w:rsidRPr="009A55BF">
              <w:rPr>
                <w:rFonts w:ascii="Arial" w:hAnsi="Arial" w:cs="Arial"/>
                <w:sz w:val="22"/>
                <w:szCs w:val="22"/>
              </w:rPr>
              <w:t>.</w:t>
            </w:r>
          </w:p>
          <w:p w:rsidR="002B5A16" w:rsidRPr="003610DC"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szCs w:val="22"/>
              </w:rPr>
            </w:pPr>
            <w:r>
              <w:rPr>
                <w:rFonts w:ascii="Arial" w:hAnsi="Arial" w:cs="Arial"/>
                <w:sz w:val="22"/>
                <w:szCs w:val="22"/>
              </w:rPr>
              <w:t>Increased profitability (lower input costs in the form of purchased chemicals i.e. more monitoring less calendar sprays).</w:t>
            </w:r>
          </w:p>
          <w:p w:rsidR="002B5A16" w:rsidRPr="00CC191C"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szCs w:val="22"/>
              </w:rPr>
              <w:t>Capacity building in the sweetpotato industry (IPM techniques).</w:t>
            </w:r>
          </w:p>
          <w:p w:rsidR="002B5A16" w:rsidRPr="009953F0"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szCs w:val="22"/>
              </w:rPr>
              <w:t>Fewer chemicals in the farm and district environment with positive impacts on biodiversity and water quality.</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szCs w:val="22"/>
              </w:rPr>
              <w:t>Increased regional income in Australia (spillover).</w:t>
            </w:r>
          </w:p>
        </w:tc>
      </w:tr>
    </w:tbl>
    <w:p w:rsidR="002B5A16" w:rsidRDefault="002B5A16"/>
    <w:p w:rsidR="002B5A16" w:rsidRPr="00AF6856" w:rsidRDefault="002B5A16" w:rsidP="00AF6856">
      <w:pPr>
        <w:pStyle w:val="Caption"/>
        <w:spacing w:after="240"/>
        <w:jc w:val="center"/>
        <w:rPr>
          <w:rFonts w:ascii="Arial" w:hAnsi="Arial"/>
          <w:b w:val="0"/>
          <w:sz w:val="22"/>
          <w:szCs w:val="22"/>
        </w:rPr>
      </w:pPr>
      <w:bookmarkStart w:id="469" w:name="_Toc487091285"/>
      <w:r w:rsidRPr="00AF6856">
        <w:rPr>
          <w:rFonts w:ascii="Arial" w:hAnsi="Arial"/>
          <w:b w:val="0"/>
          <w:sz w:val="22"/>
          <w:szCs w:val="22"/>
        </w:rPr>
        <w:t xml:space="preserve">Table </w:t>
      </w:r>
      <w:r w:rsidR="00913E1D">
        <w:rPr>
          <w:rFonts w:ascii="Arial" w:hAnsi="Arial"/>
          <w:b w:val="0"/>
          <w:sz w:val="22"/>
          <w:szCs w:val="22"/>
        </w:rPr>
        <w:t>11</w:t>
      </w:r>
      <w:r w:rsidRPr="00AF6856">
        <w:rPr>
          <w:rFonts w:ascii="Arial" w:hAnsi="Arial"/>
          <w:b w:val="0"/>
          <w:sz w:val="22"/>
          <w:szCs w:val="22"/>
        </w:rPr>
        <w:t>: Logical Framework for PC2011-053</w:t>
      </w:r>
      <w:bookmarkEnd w:id="469"/>
    </w:p>
    <w:tbl>
      <w:tblPr>
        <w:tblStyle w:val="TableGrid"/>
        <w:tblW w:w="9478" w:type="dxa"/>
        <w:jc w:val="center"/>
        <w:tblLook w:val="04A0" w:firstRow="1" w:lastRow="0" w:firstColumn="1" w:lastColumn="0" w:noHBand="0" w:noVBand="1"/>
      </w:tblPr>
      <w:tblGrid>
        <w:gridCol w:w="1762"/>
        <w:gridCol w:w="7716"/>
      </w:tblGrid>
      <w:tr w:rsidR="002B5A16" w:rsidRPr="00972E5A" w:rsidTr="00EB01F3">
        <w:trPr>
          <w:trHeight w:val="367"/>
          <w:jc w:val="center"/>
        </w:trPr>
        <w:tc>
          <w:tcPr>
            <w:tcW w:w="9478" w:type="dxa"/>
            <w:gridSpan w:val="2"/>
            <w:shd w:val="clear" w:color="auto" w:fill="D9D9D9" w:themeFill="background1" w:themeFillShade="D9"/>
          </w:tcPr>
          <w:p w:rsidR="002B5A16" w:rsidRPr="001E0CF6" w:rsidRDefault="002B5A16" w:rsidP="002B5A16">
            <w:pPr>
              <w:tabs>
                <w:tab w:val="left" w:pos="1620"/>
                <w:tab w:val="left" w:pos="10440"/>
              </w:tabs>
              <w:ind w:left="5"/>
              <w:rPr>
                <w:rFonts w:ascii="Arial" w:hAnsi="Arial" w:cs="Arial"/>
                <w:sz w:val="22"/>
                <w:szCs w:val="22"/>
              </w:rPr>
            </w:pPr>
            <w:r w:rsidRPr="000D726C">
              <w:rPr>
                <w:rFonts w:ascii="Arial" w:hAnsi="Arial" w:cs="Arial"/>
                <w:sz w:val="22"/>
                <w:szCs w:val="18"/>
              </w:rPr>
              <w:t xml:space="preserve">PC2011-053: Identifying appropriate strategies for reducing virus and weevil losses in </w:t>
            </w:r>
            <w:r>
              <w:rPr>
                <w:rFonts w:ascii="Arial" w:hAnsi="Arial" w:cs="Arial"/>
                <w:sz w:val="22"/>
                <w:szCs w:val="18"/>
              </w:rPr>
              <w:t>sweetpotato</w:t>
            </w:r>
            <w:r w:rsidRPr="000D726C">
              <w:rPr>
                <w:rFonts w:ascii="Arial" w:hAnsi="Arial" w:cs="Arial"/>
                <w:sz w:val="22"/>
                <w:szCs w:val="18"/>
              </w:rPr>
              <w:t xml:space="preserve"> production systems in PNG and Australia</w:t>
            </w:r>
            <w:r>
              <w:rPr>
                <w:rFonts w:ascii="Arial" w:hAnsi="Arial" w:cs="Arial"/>
                <w:sz w:val="22"/>
                <w:szCs w:val="18"/>
              </w:rPr>
              <w:t>.</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September 2012 to January 2015 (variation to June 2015)</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Michael Hughes</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C41D42" w:rsidRDefault="002B5A16" w:rsidP="002B5A16">
            <w:pPr>
              <w:tabs>
                <w:tab w:val="left" w:pos="1620"/>
                <w:tab w:val="left" w:pos="10440"/>
              </w:tabs>
              <w:ind w:left="5"/>
              <w:rPr>
                <w:rFonts w:ascii="Arial" w:hAnsi="Arial" w:cs="Arial"/>
                <w:sz w:val="22"/>
              </w:rPr>
            </w:pPr>
            <w:r>
              <w:rPr>
                <w:rFonts w:ascii="Arial" w:hAnsi="Arial" w:cs="Arial"/>
                <w:sz w:val="22"/>
              </w:rPr>
              <w:t>Sweetpotato</w:t>
            </w:r>
            <w:r w:rsidRPr="00C41D42">
              <w:rPr>
                <w:rFonts w:ascii="Arial" w:hAnsi="Arial" w:cs="Arial"/>
                <w:sz w:val="22"/>
              </w:rPr>
              <w:t xml:space="preserve"> is an important subsistence and cash crop in PNG. To support </w:t>
            </w:r>
            <w:r>
              <w:rPr>
                <w:rFonts w:ascii="Arial" w:hAnsi="Arial" w:cs="Arial"/>
                <w:sz w:val="22"/>
              </w:rPr>
              <w:t>sweetpotato,</w:t>
            </w:r>
            <w:r w:rsidRPr="00C41D42">
              <w:rPr>
                <w:rFonts w:ascii="Arial" w:hAnsi="Arial" w:cs="Arial"/>
                <w:sz w:val="22"/>
              </w:rPr>
              <w:t xml:space="preserve"> ACIAR has</w:t>
            </w:r>
            <w:r>
              <w:rPr>
                <w:rFonts w:ascii="Arial" w:hAnsi="Arial" w:cs="Arial"/>
                <w:sz w:val="22"/>
              </w:rPr>
              <w:t xml:space="preserve"> undertaken projects on varieties (identification of sweetpotato varieties for West Papua Indonesia and PNG), sweetpotato soil fertility (SMCN 2004-067), pests and diseases (</w:t>
            </w:r>
            <w:r w:rsidRPr="005906F0">
              <w:rPr>
                <w:rFonts w:ascii="Arial" w:hAnsi="Arial" w:cs="Arial"/>
                <w:sz w:val="22"/>
                <w:szCs w:val="22"/>
              </w:rPr>
              <w:t>CP2004-071</w:t>
            </w:r>
            <w:r>
              <w:rPr>
                <w:rFonts w:ascii="Arial" w:hAnsi="Arial" w:cs="Arial"/>
                <w:sz w:val="22"/>
                <w:szCs w:val="22"/>
              </w:rPr>
              <w:t xml:space="preserve"> – virus identification, CP2005-134 – pathogen tested planting material for Solomon Islands and PNG, CP 2010-026 – a strategy to produce virus free planting material) and the socio-economic aspects of sweetpotato marketing (</w:t>
            </w:r>
            <w:r w:rsidRPr="00A26E6D">
              <w:rPr>
                <w:rFonts w:ascii="Arial" w:hAnsi="Arial" w:cs="Arial"/>
                <w:sz w:val="22"/>
                <w:szCs w:val="22"/>
              </w:rPr>
              <w:t>ASEM2006/035</w:t>
            </w:r>
            <w:r>
              <w:rPr>
                <w:rFonts w:ascii="Arial" w:hAnsi="Arial" w:cs="Arial"/>
                <w:sz w:val="22"/>
                <w:szCs w:val="22"/>
              </w:rPr>
              <w:t xml:space="preserve"> – marketing efficiency</w:t>
            </w:r>
            <w:r w:rsidRPr="00A26E6D">
              <w:rPr>
                <w:rFonts w:ascii="Arial" w:hAnsi="Arial" w:cs="Arial"/>
                <w:sz w:val="22"/>
                <w:szCs w:val="22"/>
              </w:rPr>
              <w:t>)</w:t>
            </w:r>
            <w:r>
              <w:rPr>
                <w:rFonts w:ascii="Arial" w:hAnsi="Arial" w:cs="Arial"/>
                <w:sz w:val="22"/>
                <w:szCs w:val="22"/>
              </w:rPr>
              <w:t xml:space="preserve">. This project set out to establish pathogen free planting material and develop a better understanding of the weevil problem in PNG. The project was aimed at increasing pest and disease management knowledge and laying the foundations for a fully integrated approach to sweetpotato crop management. The project was consistent with </w:t>
            </w:r>
            <w:r w:rsidRPr="00A86B7E">
              <w:rPr>
                <w:rFonts w:ascii="Arial" w:hAnsi="Arial" w:cs="Arial"/>
                <w:sz w:val="22"/>
                <w:szCs w:val="22"/>
              </w:rPr>
              <w:t>the broader development goal of increasing the resilience of food security systems</w:t>
            </w:r>
            <w:r>
              <w:rPr>
                <w:rFonts w:ascii="Arial" w:hAnsi="Arial" w:cs="Arial"/>
                <w:sz w:val="22"/>
                <w:szCs w:val="22"/>
              </w:rPr>
              <w:t xml:space="preserve"> in PNG. Project goal was to identify the most promising strategies for managing sweetpotato pests and diseases in PNG and Australia.</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Pr="00C41D42" w:rsidRDefault="002B5A16" w:rsidP="000D5A34">
            <w:pPr>
              <w:pStyle w:val="ListParagraph"/>
              <w:numPr>
                <w:ilvl w:val="0"/>
                <w:numId w:val="42"/>
              </w:numPr>
              <w:tabs>
                <w:tab w:val="left" w:pos="1620"/>
                <w:tab w:val="left" w:pos="10440"/>
              </w:tabs>
              <w:suppressAutoHyphens/>
              <w:contextualSpacing w:val="0"/>
              <w:rPr>
                <w:rFonts w:ascii="Arial" w:hAnsi="Arial" w:cs="Arial"/>
                <w:sz w:val="22"/>
              </w:rPr>
            </w:pPr>
            <w:r w:rsidRPr="00C41D42">
              <w:rPr>
                <w:rFonts w:ascii="Arial" w:hAnsi="Arial" w:cs="Arial"/>
                <w:sz w:val="22"/>
              </w:rPr>
              <w:t>Assess the value of pathogen tested planting materials in reducing the impact of virus diseases</w:t>
            </w:r>
            <w:r>
              <w:rPr>
                <w:rFonts w:ascii="Arial" w:hAnsi="Arial" w:cs="Arial"/>
                <w:sz w:val="22"/>
              </w:rPr>
              <w:t>.</w:t>
            </w:r>
          </w:p>
          <w:p w:rsidR="002B5A16" w:rsidRPr="00C41D42" w:rsidRDefault="002B5A16" w:rsidP="000D5A34">
            <w:pPr>
              <w:pStyle w:val="ListParagraph"/>
              <w:numPr>
                <w:ilvl w:val="0"/>
                <w:numId w:val="42"/>
              </w:numPr>
              <w:tabs>
                <w:tab w:val="left" w:pos="1620"/>
                <w:tab w:val="left" w:pos="10440"/>
              </w:tabs>
              <w:suppressAutoHyphens/>
              <w:contextualSpacing w:val="0"/>
              <w:rPr>
                <w:rFonts w:ascii="Arial" w:hAnsi="Arial" w:cs="Arial"/>
                <w:sz w:val="22"/>
              </w:rPr>
            </w:pPr>
            <w:r w:rsidRPr="00C41D42">
              <w:rPr>
                <w:rFonts w:ascii="Arial" w:hAnsi="Arial" w:cs="Arial"/>
                <w:sz w:val="22"/>
              </w:rPr>
              <w:t>Identify the most promising management tactics for weevils in specific production systems</w:t>
            </w:r>
            <w:r>
              <w:rPr>
                <w:rFonts w:ascii="Arial" w:hAnsi="Arial" w:cs="Arial"/>
                <w:sz w:val="22"/>
              </w:rPr>
              <w:t>.</w:t>
            </w:r>
          </w:p>
        </w:tc>
      </w:tr>
      <w:tr w:rsidR="002B5A16" w:rsidRPr="00D04886" w:rsidTr="00EB01F3">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Pr="00674D8A"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sidRPr="00674D8A">
              <w:rPr>
                <w:rFonts w:ascii="Arial" w:hAnsi="Arial" w:cs="Arial"/>
                <w:sz w:val="22"/>
              </w:rPr>
              <w:t>Pr</w:t>
            </w:r>
            <w:r w:rsidRPr="004754C9">
              <w:rPr>
                <w:rFonts w:ascii="Arial" w:hAnsi="Arial" w:cs="Arial"/>
                <w:sz w:val="22"/>
              </w:rPr>
              <w:t xml:space="preserve">oject partners were DAF, National Agricultural Research Institute (NARI), the Australian </w:t>
            </w:r>
            <w:r>
              <w:rPr>
                <w:rFonts w:ascii="Arial" w:hAnsi="Arial" w:cs="Arial"/>
                <w:sz w:val="22"/>
              </w:rPr>
              <w:t>Sweetpotato</w:t>
            </w:r>
            <w:r w:rsidRPr="004754C9">
              <w:rPr>
                <w:rFonts w:ascii="Arial" w:hAnsi="Arial" w:cs="Arial"/>
                <w:sz w:val="22"/>
              </w:rPr>
              <w:t xml:space="preserve"> Growers Inc. (ASPG), the Secretariat of the Pacific Community (SPC), and the International Potato Centre (CIP), Peru.</w:t>
            </w:r>
          </w:p>
          <w:p w:rsidR="002B5A16" w:rsidRPr="00E50AA8"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Trials conducted in both the PNG Highlands and Lowlands to determine yield decline over successive plantings.</w:t>
            </w:r>
          </w:p>
          <w:p w:rsidR="002B5A16" w:rsidRPr="00E902F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Crop sampling and virus testing at newly equipped centres in NARI and SPC (to build capacity in Pacific Island Communities). CIP provided supplies of unique primers for </w:t>
            </w:r>
            <w:r w:rsidRPr="002C6516">
              <w:rPr>
                <w:rFonts w:ascii="Arial" w:hAnsi="Arial" w:cs="Arial"/>
                <w:sz w:val="22"/>
              </w:rPr>
              <w:t>begomo</w:t>
            </w:r>
            <w:r>
              <w:rPr>
                <w:rFonts w:ascii="Arial" w:hAnsi="Arial" w:cs="Arial"/>
                <w:sz w:val="22"/>
              </w:rPr>
              <w:t>-</w:t>
            </w:r>
            <w:r w:rsidRPr="002C6516">
              <w:rPr>
                <w:rFonts w:ascii="Arial" w:hAnsi="Arial" w:cs="Arial"/>
                <w:sz w:val="22"/>
              </w:rPr>
              <w:t>viruses</w:t>
            </w:r>
            <w:r>
              <w:rPr>
                <w:rFonts w:ascii="Arial" w:hAnsi="Arial" w:cs="Arial"/>
                <w:sz w:val="22"/>
              </w:rPr>
              <w:t xml:space="preserve"> and ongoing technical support. Gatton Research Facility provided assay support for previously undetected viruses in Australia and NARI and SPC refined virus diagnostic techniques.</w:t>
            </w:r>
          </w:p>
          <w:p w:rsidR="002B5A16" w:rsidRPr="00726F3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Introduction of qPCR technology to Australian sweetpotato diagnostics.</w:t>
            </w:r>
          </w:p>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Surveys of weevil prevalence in both the PNG Highlands and Lowlands. </w:t>
            </w:r>
          </w:p>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Training to build awareness of weevil biology and ecology.</w:t>
            </w:r>
          </w:p>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EC501E">
              <w:rPr>
                <w:rFonts w:ascii="Arial" w:hAnsi="Arial" w:cs="Arial"/>
                <w:sz w:val="22"/>
              </w:rPr>
              <w:t xml:space="preserve">Preliminary trials in PNG of Australian weevil management </w:t>
            </w:r>
            <w:r>
              <w:rPr>
                <w:rFonts w:ascii="Arial" w:hAnsi="Arial" w:cs="Arial"/>
                <w:sz w:val="22"/>
              </w:rPr>
              <w:t>techniques including pheromone trapping.</w:t>
            </w:r>
          </w:p>
          <w:p w:rsidR="002B5A16" w:rsidRPr="00F42562"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Formation of a farmer group </w:t>
            </w:r>
            <w:r w:rsidRPr="00EC501E">
              <w:rPr>
                <w:rFonts w:ascii="Arial" w:hAnsi="Arial" w:cs="Arial"/>
                <w:sz w:val="22"/>
              </w:rPr>
              <w:t>in Australia</w:t>
            </w:r>
            <w:r>
              <w:rPr>
                <w:rFonts w:ascii="Arial" w:hAnsi="Arial" w:cs="Arial"/>
                <w:sz w:val="22"/>
              </w:rPr>
              <w:t xml:space="preserve"> under the ASPG to facilitate the adoption of improved decision-making </w:t>
            </w:r>
            <w:r w:rsidRPr="00EC501E">
              <w:rPr>
                <w:rFonts w:ascii="Arial" w:hAnsi="Arial" w:cs="Arial"/>
                <w:sz w:val="22"/>
              </w:rPr>
              <w:t>to reduce reliance on broad-spectrum insecticides</w:t>
            </w:r>
            <w:r>
              <w:rPr>
                <w:rFonts w:ascii="Arial" w:hAnsi="Arial" w:cs="Arial"/>
                <w:sz w:val="22"/>
              </w:rPr>
              <w:t xml:space="preserve">. </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A</w:t>
            </w:r>
            <w:r w:rsidRPr="00EC501E">
              <w:rPr>
                <w:rFonts w:ascii="Arial" w:hAnsi="Arial" w:cs="Arial"/>
                <w:sz w:val="22"/>
              </w:rPr>
              <w:t xml:space="preserve"> clean seed system </w:t>
            </w:r>
            <w:r>
              <w:rPr>
                <w:rFonts w:ascii="Arial" w:hAnsi="Arial" w:cs="Arial"/>
                <w:sz w:val="22"/>
              </w:rPr>
              <w:t xml:space="preserve">based on PT </w:t>
            </w:r>
            <w:r w:rsidRPr="00EC501E">
              <w:rPr>
                <w:rFonts w:ascii="Arial" w:hAnsi="Arial" w:cs="Arial"/>
                <w:sz w:val="22"/>
              </w:rPr>
              <w:t xml:space="preserve">for </w:t>
            </w:r>
            <w:r>
              <w:rPr>
                <w:rFonts w:ascii="Arial" w:hAnsi="Arial" w:cs="Arial"/>
                <w:sz w:val="22"/>
              </w:rPr>
              <w:t>sweetpotato.</w:t>
            </w:r>
            <w:r w:rsidRPr="00EC501E">
              <w:rPr>
                <w:rFonts w:ascii="Arial" w:hAnsi="Arial" w:cs="Arial"/>
                <w:sz w:val="22"/>
              </w:rPr>
              <w:t xml:space="preserve"> </w:t>
            </w:r>
          </w:p>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Methods </w:t>
            </w:r>
            <w:r w:rsidRPr="00EC501E">
              <w:rPr>
                <w:rFonts w:ascii="Arial" w:hAnsi="Arial" w:cs="Arial"/>
                <w:sz w:val="22"/>
              </w:rPr>
              <w:t>for weevil control in PNG</w:t>
            </w:r>
            <w:r>
              <w:rPr>
                <w:rFonts w:ascii="Arial" w:hAnsi="Arial" w:cs="Arial"/>
                <w:sz w:val="22"/>
              </w:rPr>
              <w:t>.</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Methods </w:t>
            </w:r>
            <w:r w:rsidRPr="00EC501E">
              <w:rPr>
                <w:rFonts w:ascii="Arial" w:hAnsi="Arial" w:cs="Arial"/>
                <w:sz w:val="22"/>
              </w:rPr>
              <w:t>to achieve weevil control in Australia with less reliance on broad</w:t>
            </w:r>
            <w:r>
              <w:rPr>
                <w:rFonts w:ascii="Arial" w:hAnsi="Arial" w:cs="Arial"/>
                <w:sz w:val="22"/>
              </w:rPr>
              <w:t>-</w:t>
            </w:r>
            <w:r w:rsidRPr="00EC501E">
              <w:rPr>
                <w:rFonts w:ascii="Arial" w:hAnsi="Arial" w:cs="Arial"/>
                <w:sz w:val="22"/>
              </w:rPr>
              <w:t>spectrum chemicals</w:t>
            </w:r>
            <w:r>
              <w:rPr>
                <w:rFonts w:ascii="Arial" w:hAnsi="Arial" w:cs="Arial"/>
                <w:sz w:val="22"/>
              </w:rPr>
              <w:t>.</w:t>
            </w:r>
          </w:p>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Identification of new viruses affecting Australian sweetpotato crops.</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average yield PNG (virus and weevil control)</w:t>
            </w:r>
            <w:r w:rsidRPr="002202C5">
              <w:rPr>
                <w:rFonts w:ascii="Arial" w:hAnsi="Arial" w:cs="Arial"/>
                <w:sz w:val="22"/>
              </w:rPr>
              <w:t>.</w:t>
            </w:r>
          </w:p>
          <w:p w:rsidR="002B5A16" w:rsidRPr="005F3232"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profitability for Australian growers (lower cost weevil control).</w:t>
            </w:r>
          </w:p>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For PNG and Australia less use has been made of broad-spectrum chemicals that may impact the farm environment by increasing biodiversity and the population of beneficial insects, as well as improving water quality on and off farm.</w:t>
            </w:r>
          </w:p>
          <w:p w:rsidR="002B5A16" w:rsidRPr="00A86B7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research capacity in PNG and Australia.</w:t>
            </w:r>
          </w:p>
          <w:p w:rsidR="002B5A16" w:rsidRPr="00E902F6"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 xml:space="preserve">Improved food security and human health in PNG. </w:t>
            </w:r>
          </w:p>
          <w:p w:rsidR="002B5A16" w:rsidRPr="00A86B7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biosecurity capability in Australia.</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regional income due to increased grower returns in PNG and Australia.</w:t>
            </w:r>
          </w:p>
        </w:tc>
      </w:tr>
    </w:tbl>
    <w:p w:rsidR="002B5A16" w:rsidRPr="00AF6856" w:rsidRDefault="002B5A16" w:rsidP="00AF6856">
      <w:pPr>
        <w:pStyle w:val="Caption"/>
        <w:spacing w:after="240"/>
        <w:jc w:val="center"/>
        <w:rPr>
          <w:rFonts w:ascii="Arial" w:hAnsi="Arial"/>
          <w:b w:val="0"/>
          <w:sz w:val="22"/>
          <w:szCs w:val="22"/>
        </w:rPr>
      </w:pPr>
      <w:bookmarkStart w:id="470" w:name="_Toc487091286"/>
      <w:r w:rsidRPr="00AF6856">
        <w:rPr>
          <w:rFonts w:ascii="Arial" w:hAnsi="Arial"/>
          <w:b w:val="0"/>
          <w:sz w:val="22"/>
          <w:szCs w:val="22"/>
        </w:rPr>
        <w:t xml:space="preserve">Table </w:t>
      </w:r>
      <w:r w:rsidR="00913E1D">
        <w:rPr>
          <w:rFonts w:ascii="Arial" w:hAnsi="Arial"/>
          <w:b w:val="0"/>
          <w:sz w:val="22"/>
          <w:szCs w:val="22"/>
        </w:rPr>
        <w:t>12</w:t>
      </w:r>
      <w:r w:rsidRPr="00AF6856">
        <w:rPr>
          <w:rFonts w:ascii="Arial" w:hAnsi="Arial"/>
          <w:b w:val="0"/>
          <w:sz w:val="22"/>
          <w:szCs w:val="22"/>
        </w:rPr>
        <w:t>: Logical Framework for VG13004</w:t>
      </w:r>
      <w:bookmarkEnd w:id="470"/>
    </w:p>
    <w:tbl>
      <w:tblPr>
        <w:tblStyle w:val="TableGrid"/>
        <w:tblW w:w="9478" w:type="dxa"/>
        <w:jc w:val="center"/>
        <w:tblLook w:val="04A0" w:firstRow="1" w:lastRow="0" w:firstColumn="1" w:lastColumn="0" w:noHBand="0" w:noVBand="1"/>
      </w:tblPr>
      <w:tblGrid>
        <w:gridCol w:w="1762"/>
        <w:gridCol w:w="7716"/>
      </w:tblGrid>
      <w:tr w:rsidR="002B5A16" w:rsidRPr="00D63963" w:rsidTr="00EB01F3">
        <w:trPr>
          <w:trHeight w:val="367"/>
          <w:jc w:val="center"/>
        </w:trPr>
        <w:tc>
          <w:tcPr>
            <w:tcW w:w="9478" w:type="dxa"/>
            <w:gridSpan w:val="2"/>
            <w:shd w:val="clear" w:color="auto" w:fill="D9D9D9" w:themeFill="background1" w:themeFillShade="D9"/>
          </w:tcPr>
          <w:p w:rsidR="002B5A16" w:rsidRPr="00D63963" w:rsidRDefault="002B5A16" w:rsidP="002B5A16">
            <w:pPr>
              <w:tabs>
                <w:tab w:val="left" w:pos="1620"/>
                <w:tab w:val="left" w:pos="10440"/>
              </w:tabs>
              <w:ind w:left="5"/>
              <w:rPr>
                <w:rFonts w:ascii="Arial" w:hAnsi="Arial" w:cs="Arial"/>
                <w:sz w:val="22"/>
                <w:szCs w:val="18"/>
                <w:highlight w:val="yellow"/>
              </w:rPr>
            </w:pPr>
            <w:r w:rsidRPr="00D94460">
              <w:rPr>
                <w:rFonts w:ascii="Arial" w:hAnsi="Arial" w:cs="Arial"/>
                <w:sz w:val="22"/>
                <w:szCs w:val="18"/>
              </w:rPr>
              <w:t xml:space="preserve">VG13004: Innovating new virus diagnostics and planting bed management in the Australian </w:t>
            </w:r>
            <w:r>
              <w:rPr>
                <w:rFonts w:ascii="Arial" w:hAnsi="Arial" w:cs="Arial"/>
                <w:sz w:val="22"/>
                <w:szCs w:val="18"/>
              </w:rPr>
              <w:t>sweetpotato</w:t>
            </w:r>
            <w:r w:rsidRPr="00D94460">
              <w:rPr>
                <w:rFonts w:ascii="Arial" w:hAnsi="Arial" w:cs="Arial"/>
                <w:sz w:val="22"/>
                <w:szCs w:val="18"/>
              </w:rPr>
              <w:t xml:space="preserve"> industry</w:t>
            </w:r>
          </w:p>
        </w:tc>
      </w:tr>
      <w:tr w:rsidR="002B5A16" w:rsidRPr="00D04886" w:rsidTr="00EB01F3">
        <w:trPr>
          <w:trHeight w:val="416"/>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Project details</w:t>
            </w:r>
          </w:p>
        </w:tc>
        <w:tc>
          <w:tcPr>
            <w:tcW w:w="7716" w:type="dxa"/>
          </w:tcPr>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Research Organisation:</w:t>
            </w:r>
            <w:r>
              <w:rPr>
                <w:rFonts w:ascii="Arial" w:hAnsi="Arial" w:cs="Arial"/>
                <w:sz w:val="22"/>
              </w:rPr>
              <w:t xml:space="preserve"> Department of Agriculture and Fisheries</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Period:</w:t>
            </w:r>
            <w:r>
              <w:rPr>
                <w:rFonts w:ascii="Arial" w:hAnsi="Arial" w:cs="Arial"/>
                <w:sz w:val="22"/>
              </w:rPr>
              <w:t xml:space="preserve"> February 2014 to March 2018</w:t>
            </w:r>
          </w:p>
          <w:p w:rsidR="002B5A16" w:rsidRPr="00972E5A" w:rsidRDefault="002B5A16" w:rsidP="002B5A16">
            <w:pPr>
              <w:tabs>
                <w:tab w:val="left" w:pos="1620"/>
                <w:tab w:val="left" w:pos="10440"/>
              </w:tabs>
              <w:ind w:left="5"/>
              <w:rPr>
                <w:rFonts w:ascii="Arial" w:hAnsi="Arial" w:cs="Arial"/>
                <w:sz w:val="22"/>
              </w:rPr>
            </w:pPr>
            <w:r w:rsidRPr="00972E5A">
              <w:rPr>
                <w:rFonts w:ascii="Arial" w:hAnsi="Arial" w:cs="Arial"/>
                <w:sz w:val="22"/>
              </w:rPr>
              <w:t>Principal Investigator:</w:t>
            </w:r>
            <w:r>
              <w:rPr>
                <w:rFonts w:ascii="Arial" w:hAnsi="Arial" w:cs="Arial"/>
                <w:sz w:val="22"/>
              </w:rPr>
              <w:t xml:space="preserve"> Sandra Dennien</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Pr>
                <w:rFonts w:ascii="Arial" w:hAnsi="Arial" w:cs="Arial"/>
                <w:sz w:val="22"/>
                <w:szCs w:val="22"/>
              </w:rPr>
              <w:t>Rationale</w:t>
            </w:r>
          </w:p>
        </w:tc>
        <w:tc>
          <w:tcPr>
            <w:tcW w:w="7716" w:type="dxa"/>
          </w:tcPr>
          <w:p w:rsidR="002B5A16" w:rsidRPr="00CE2869" w:rsidRDefault="002B5A16" w:rsidP="002B5A16">
            <w:pPr>
              <w:tabs>
                <w:tab w:val="left" w:pos="1620"/>
                <w:tab w:val="left" w:pos="10440"/>
              </w:tabs>
              <w:ind w:left="5"/>
              <w:rPr>
                <w:rFonts w:ascii="Arial" w:hAnsi="Arial" w:cs="Arial"/>
                <w:sz w:val="22"/>
              </w:rPr>
            </w:pPr>
            <w:r w:rsidRPr="00CE2869">
              <w:rPr>
                <w:rFonts w:ascii="Arial" w:hAnsi="Arial" w:cs="Arial"/>
                <w:sz w:val="22"/>
              </w:rPr>
              <w:t>Viruses</w:t>
            </w:r>
            <w:r>
              <w:rPr>
                <w:rFonts w:ascii="Arial" w:hAnsi="Arial" w:cs="Arial"/>
                <w:sz w:val="22"/>
              </w:rPr>
              <w:t xml:space="preserve"> in planting material are the major factor limiting sweetpotato yield and the production of easy peeling varieties. A major RD&amp;E outcome since the 1990s has been the development and use of the PT scheme for supplying virus free planting material. PT has been so successful in eliminating viruses from planting material that it has been adopted by 100% of Australian growers. However, viruses constantly evolve and there is a risk that the current PT system will break down. The risk of breakdown is exacerbated by the presence in Australia of additional virus vectors e.g. whitefly and the risk of transmission of new viruses through fresh sweetpotato imports. Some 22 known sweetpotato viruses are not present in Australia and are capable of being imported through supply of product from countries with sweetpotato export capacity. Consequently, there is a need to know the virus status of other countries and for Australia to have the ability to diagnose viruses rapidly and accurately. In addition, to produce PT planting material, PT roots are planted into designated planting beds to produce high quality cuttings, which are grown out, cut by hand and transferred to the commercial sector. Efficiency in this process ensures planting stock is available, is virus free and produced at the lowest cost. It is essential that best practice techniques for planting bed management are known and adopted.</w:t>
            </w:r>
          </w:p>
        </w:tc>
      </w:tr>
      <w:tr w:rsidR="002B5A16" w:rsidRPr="00D04886" w:rsidTr="00EB01F3">
        <w:trPr>
          <w:trHeight w:val="650"/>
          <w:jc w:val="center"/>
        </w:trPr>
        <w:tc>
          <w:tcPr>
            <w:tcW w:w="1762" w:type="dxa"/>
          </w:tcPr>
          <w:p w:rsidR="002B5A16" w:rsidRPr="00972E5A" w:rsidRDefault="002B5A16" w:rsidP="002B5A16">
            <w:pPr>
              <w:rPr>
                <w:rFonts w:ascii="Arial" w:hAnsi="Arial" w:cs="Arial"/>
                <w:sz w:val="22"/>
                <w:szCs w:val="22"/>
              </w:rPr>
            </w:pPr>
            <w:r w:rsidRPr="00972E5A">
              <w:rPr>
                <w:rFonts w:ascii="Arial" w:hAnsi="Arial" w:cs="Arial"/>
                <w:sz w:val="22"/>
                <w:szCs w:val="22"/>
              </w:rPr>
              <w:t>Objectives</w:t>
            </w:r>
          </w:p>
        </w:tc>
        <w:tc>
          <w:tcPr>
            <w:tcW w:w="7716" w:type="dxa"/>
          </w:tcPr>
          <w:p w:rsidR="002B5A16" w:rsidRDefault="002B5A16" w:rsidP="000D5A34">
            <w:pPr>
              <w:pStyle w:val="ListParagraph"/>
              <w:numPr>
                <w:ilvl w:val="0"/>
                <w:numId w:val="44"/>
              </w:numPr>
              <w:tabs>
                <w:tab w:val="left" w:pos="1620"/>
                <w:tab w:val="left" w:pos="10440"/>
              </w:tabs>
              <w:suppressAutoHyphens/>
              <w:ind w:left="365"/>
              <w:contextualSpacing w:val="0"/>
              <w:rPr>
                <w:rFonts w:ascii="Arial" w:hAnsi="Arial" w:cs="Arial"/>
                <w:sz w:val="22"/>
              </w:rPr>
            </w:pPr>
            <w:r>
              <w:rPr>
                <w:rFonts w:ascii="Arial" w:hAnsi="Arial" w:cs="Arial"/>
                <w:sz w:val="22"/>
              </w:rPr>
              <w:t>I</w:t>
            </w:r>
            <w:r w:rsidRPr="00423E37">
              <w:rPr>
                <w:rFonts w:ascii="Arial" w:hAnsi="Arial" w:cs="Arial"/>
                <w:sz w:val="22"/>
              </w:rPr>
              <w:t>mprove virus diagnostic techniques and maintain the integrity of the PT system</w:t>
            </w:r>
            <w:r>
              <w:rPr>
                <w:rFonts w:ascii="Arial" w:hAnsi="Arial" w:cs="Arial"/>
                <w:sz w:val="22"/>
              </w:rPr>
              <w:t>.</w:t>
            </w:r>
          </w:p>
          <w:p w:rsidR="002B5A16" w:rsidRPr="00423E37" w:rsidRDefault="002B5A16" w:rsidP="000D5A34">
            <w:pPr>
              <w:pStyle w:val="ListParagraph"/>
              <w:numPr>
                <w:ilvl w:val="0"/>
                <w:numId w:val="44"/>
              </w:numPr>
              <w:tabs>
                <w:tab w:val="left" w:pos="1620"/>
                <w:tab w:val="left" w:pos="10440"/>
              </w:tabs>
              <w:suppressAutoHyphens/>
              <w:ind w:left="365"/>
              <w:contextualSpacing w:val="0"/>
              <w:rPr>
                <w:rFonts w:ascii="Arial" w:hAnsi="Arial" w:cs="Arial"/>
                <w:sz w:val="22"/>
              </w:rPr>
            </w:pPr>
            <w:r>
              <w:rPr>
                <w:rFonts w:ascii="Arial" w:hAnsi="Arial" w:cs="Arial"/>
                <w:sz w:val="22"/>
              </w:rPr>
              <w:t>E</w:t>
            </w:r>
            <w:r w:rsidRPr="00423E37">
              <w:rPr>
                <w:rFonts w:ascii="Arial" w:hAnsi="Arial" w:cs="Arial"/>
                <w:sz w:val="22"/>
              </w:rPr>
              <w:t xml:space="preserve">nsure that best practice planting bed management systems are in place to produce </w:t>
            </w:r>
            <w:r>
              <w:rPr>
                <w:rFonts w:ascii="Arial" w:hAnsi="Arial" w:cs="Arial"/>
                <w:sz w:val="22"/>
              </w:rPr>
              <w:t xml:space="preserve">ample </w:t>
            </w:r>
            <w:r w:rsidRPr="00423E37">
              <w:rPr>
                <w:rFonts w:ascii="Arial" w:hAnsi="Arial" w:cs="Arial"/>
                <w:sz w:val="22"/>
              </w:rPr>
              <w:t>high quality low cost planting material.</w:t>
            </w:r>
          </w:p>
        </w:tc>
      </w:tr>
      <w:tr w:rsidR="002B5A16" w:rsidRPr="00D04886" w:rsidTr="00EB01F3">
        <w:trPr>
          <w:trHeight w:val="650"/>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Activities and Outputs</w:t>
            </w:r>
          </w:p>
        </w:tc>
        <w:tc>
          <w:tcPr>
            <w:tcW w:w="7716" w:type="dxa"/>
          </w:tcPr>
          <w:p w:rsidR="002B5A16" w:rsidRPr="00423E37"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423E37">
              <w:rPr>
                <w:rFonts w:ascii="Arial" w:hAnsi="Arial" w:cs="Arial"/>
                <w:sz w:val="22"/>
              </w:rPr>
              <w:t>Survey literature to identify world virus status, new diagnostic techniques</w:t>
            </w:r>
            <w:r>
              <w:rPr>
                <w:rFonts w:ascii="Arial" w:hAnsi="Arial" w:cs="Arial"/>
                <w:sz w:val="22"/>
              </w:rPr>
              <w:t>.</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Work with growers to determine which viruses are impacting production. </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Research relationships between growing bed management and sweetpotato productivity.</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Develop, evaluate and implement new virus diagnostic techniques (e.g. </w:t>
            </w:r>
            <w:r w:rsidRPr="00AC721F">
              <w:rPr>
                <w:rFonts w:ascii="Arial" w:hAnsi="Arial" w:cs="Arial"/>
                <w:sz w:val="22"/>
              </w:rPr>
              <w:t>ELISA antisera, alternative Ipomoea indicator plants)</w:t>
            </w:r>
            <w:r>
              <w:rPr>
                <w:rFonts w:ascii="Arial" w:hAnsi="Arial" w:cs="Arial"/>
                <w:sz w:val="22"/>
              </w:rPr>
              <w:t>.</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Investigate the causes of planting bed losses and develop strategies to minimise the risk of these events (e.g. anaerobic conditions, fungus).</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Complete agronomic experiments to determine variables responsible for planting bed performance (e.g. depth and arrangement of PT roots).</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Describe the practices that impact on the ability of the planting bed to generate </w:t>
            </w:r>
            <w:r w:rsidRPr="00AC721F">
              <w:rPr>
                <w:rFonts w:ascii="Arial" w:hAnsi="Arial" w:cs="Arial"/>
                <w:sz w:val="22"/>
              </w:rPr>
              <w:t xml:space="preserve">physiologically hardened, yet rapid-growth capable </w:t>
            </w:r>
            <w:r>
              <w:rPr>
                <w:rFonts w:ascii="Arial" w:hAnsi="Arial" w:cs="Arial"/>
                <w:sz w:val="22"/>
              </w:rPr>
              <w:t>sweetpotato</w:t>
            </w:r>
            <w:r w:rsidRPr="00AC721F">
              <w:rPr>
                <w:rFonts w:ascii="Arial" w:hAnsi="Arial" w:cs="Arial"/>
                <w:sz w:val="22"/>
              </w:rPr>
              <w:t xml:space="preserve"> cuttings, which can </w:t>
            </w:r>
            <w:r>
              <w:rPr>
                <w:rFonts w:ascii="Arial" w:hAnsi="Arial" w:cs="Arial"/>
                <w:sz w:val="22"/>
              </w:rPr>
              <w:t xml:space="preserve">in turn </w:t>
            </w:r>
            <w:r w:rsidRPr="00AC721F">
              <w:rPr>
                <w:rFonts w:ascii="Arial" w:hAnsi="Arial" w:cs="Arial"/>
                <w:sz w:val="22"/>
              </w:rPr>
              <w:t xml:space="preserve">provide high numbers of marketable </w:t>
            </w:r>
            <w:r>
              <w:rPr>
                <w:rFonts w:ascii="Arial" w:hAnsi="Arial" w:cs="Arial"/>
                <w:sz w:val="22"/>
              </w:rPr>
              <w:t>sweetpotato</w:t>
            </w:r>
            <w:r w:rsidRPr="00AC721F">
              <w:rPr>
                <w:rFonts w:ascii="Arial" w:hAnsi="Arial" w:cs="Arial"/>
                <w:sz w:val="22"/>
              </w:rPr>
              <w:t xml:space="preserve"> roots per cutting</w:t>
            </w:r>
            <w:r>
              <w:rPr>
                <w:rFonts w:ascii="Arial" w:hAnsi="Arial" w:cs="Arial"/>
                <w:sz w:val="22"/>
              </w:rPr>
              <w:t>.</w:t>
            </w:r>
          </w:p>
          <w:p w:rsidR="002B5A16" w:rsidRPr="00AC721F"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Describe how to </w:t>
            </w:r>
            <w:r w:rsidRPr="00AC721F">
              <w:rPr>
                <w:rFonts w:ascii="Arial" w:hAnsi="Arial" w:cs="Arial"/>
                <w:sz w:val="22"/>
              </w:rPr>
              <w:t>determine the balance between sequential cutting of existing planting beds, and when to switch to a new planting bed</w:t>
            </w:r>
            <w:r>
              <w:rPr>
                <w:rFonts w:ascii="Arial" w:hAnsi="Arial" w:cs="Arial"/>
                <w:sz w:val="22"/>
              </w:rPr>
              <w:t>.</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AC721F">
              <w:rPr>
                <w:rFonts w:ascii="Arial" w:hAnsi="Arial" w:cs="Arial"/>
                <w:sz w:val="22"/>
              </w:rPr>
              <w:t>Outline the desirable equipment and land resource attributes that can best deliver optimal planting bed conditions e.g. row covers, irrigation, soil condition</w:t>
            </w:r>
            <w:r>
              <w:rPr>
                <w:rFonts w:ascii="Arial" w:hAnsi="Arial" w:cs="Arial"/>
                <w:sz w:val="22"/>
              </w:rPr>
              <w:t>,</w:t>
            </w:r>
            <w:r w:rsidRPr="00AC721F">
              <w:rPr>
                <w:rFonts w:ascii="Arial" w:hAnsi="Arial" w:cs="Arial"/>
                <w:sz w:val="22"/>
              </w:rPr>
              <w:t xml:space="preserve"> nutrition status</w:t>
            </w:r>
            <w:r>
              <w:rPr>
                <w:rFonts w:ascii="Arial" w:hAnsi="Arial" w:cs="Arial"/>
                <w:sz w:val="22"/>
              </w:rPr>
              <w:t xml:space="preserve"> and</w:t>
            </w:r>
            <w:r w:rsidRPr="00AC721F">
              <w:rPr>
                <w:rFonts w:ascii="Arial" w:hAnsi="Arial" w:cs="Arial"/>
                <w:sz w:val="22"/>
              </w:rPr>
              <w:t xml:space="preserve"> </w:t>
            </w:r>
            <w:r>
              <w:rPr>
                <w:rFonts w:ascii="Arial" w:hAnsi="Arial" w:cs="Arial"/>
                <w:sz w:val="22"/>
              </w:rPr>
              <w:t>PT root planting arrangements.</w:t>
            </w:r>
          </w:p>
          <w:p w:rsidR="002B5A16" w:rsidRPr="000F7E49"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sidRPr="000F7E49">
              <w:rPr>
                <w:rFonts w:ascii="Arial" w:hAnsi="Arial" w:cs="Arial"/>
                <w:sz w:val="22"/>
              </w:rPr>
              <w:t xml:space="preserve">Outputs </w:t>
            </w:r>
            <w:r>
              <w:rPr>
                <w:rFonts w:ascii="Arial" w:hAnsi="Arial" w:cs="Arial"/>
                <w:sz w:val="22"/>
              </w:rPr>
              <w:t xml:space="preserve">to date have </w:t>
            </w:r>
            <w:r w:rsidRPr="000F7E49">
              <w:rPr>
                <w:rFonts w:ascii="Arial" w:hAnsi="Arial" w:cs="Arial"/>
                <w:sz w:val="22"/>
              </w:rPr>
              <w:t>include</w:t>
            </w:r>
            <w:r>
              <w:rPr>
                <w:rFonts w:ascii="Arial" w:hAnsi="Arial" w:cs="Arial"/>
                <w:sz w:val="22"/>
              </w:rPr>
              <w:t>d</w:t>
            </w:r>
            <w:r w:rsidRPr="000F7E49">
              <w:rPr>
                <w:rFonts w:ascii="Arial" w:hAnsi="Arial" w:cs="Arial"/>
                <w:sz w:val="22"/>
              </w:rPr>
              <w:t xml:space="preserve"> virus surveys</w:t>
            </w:r>
            <w:r>
              <w:rPr>
                <w:rFonts w:ascii="Arial" w:hAnsi="Arial" w:cs="Arial"/>
                <w:sz w:val="22"/>
              </w:rPr>
              <w:t>, virus diagnostic tools, factsheets and web page information.</w:t>
            </w:r>
          </w:p>
          <w:p w:rsidR="002B5A16" w:rsidRPr="00423E37"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 xml:space="preserve">Extension has included on-farm field walks and workshops, regular updates in the ASPG newsletter and Good Fruit and Vegetable articles. </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Outcomes</w:t>
            </w:r>
          </w:p>
        </w:tc>
        <w:tc>
          <w:tcPr>
            <w:tcW w:w="7716" w:type="dxa"/>
          </w:tcPr>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Latest virus detection methods are incorporated in industry PT scheme.</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Planting material remains virus free.</w:t>
            </w:r>
          </w:p>
          <w:p w:rsidR="002B5A16"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Growers maintain yields without resorting to excessive chemical use.</w:t>
            </w:r>
          </w:p>
          <w:p w:rsidR="002B5A16" w:rsidRPr="0045669A"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Sweetpotatoes produced sustainably in line with consumer expectations.</w:t>
            </w:r>
          </w:p>
          <w:p w:rsidR="002B5A16" w:rsidRPr="0045669A"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Future productivity improve</w:t>
            </w:r>
            <w:r w:rsidRPr="0045669A">
              <w:rPr>
                <w:rFonts w:ascii="Arial" w:hAnsi="Arial" w:cs="Arial"/>
                <w:sz w:val="22"/>
              </w:rPr>
              <w:t>d</w:t>
            </w:r>
            <w:r>
              <w:rPr>
                <w:rFonts w:ascii="Arial" w:hAnsi="Arial" w:cs="Arial"/>
                <w:sz w:val="22"/>
              </w:rPr>
              <w:t xml:space="preserve"> by the ability to import varieties without jeopardising production base with viruses.</w:t>
            </w:r>
          </w:p>
          <w:p w:rsidR="002B5A16" w:rsidRPr="00066D83"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Productivity of planting beds has been increased (minimum 30% increase forecast in cuttings generated per square metre of growing bed and the cost of generating high yielding pathogen tested cuttings is 30% lower).</w:t>
            </w:r>
          </w:p>
          <w:p w:rsidR="002B5A16" w:rsidRPr="002202C5"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Improved</w:t>
            </w:r>
            <w:r w:rsidRPr="002202C5">
              <w:rPr>
                <w:rFonts w:ascii="Arial" w:hAnsi="Arial" w:cs="Arial"/>
                <w:sz w:val="22"/>
              </w:rPr>
              <w:t xml:space="preserve"> </w:t>
            </w:r>
            <w:r>
              <w:rPr>
                <w:rFonts w:ascii="Arial" w:hAnsi="Arial" w:cs="Arial"/>
                <w:sz w:val="22"/>
              </w:rPr>
              <w:t>sweetpotato cutting practices have contributed to lower pre-farm gate production costs, lower input requirements (chemicals) and reduced environmental risks.</w:t>
            </w:r>
          </w:p>
        </w:tc>
      </w:tr>
      <w:tr w:rsidR="002B5A16" w:rsidRPr="00D04886" w:rsidTr="00EB01F3">
        <w:trPr>
          <w:jc w:val="center"/>
        </w:trPr>
        <w:tc>
          <w:tcPr>
            <w:tcW w:w="1762" w:type="dxa"/>
          </w:tcPr>
          <w:p w:rsidR="002B5A16" w:rsidRPr="00D04886" w:rsidRDefault="002B5A16" w:rsidP="002B5A16">
            <w:pPr>
              <w:rPr>
                <w:rFonts w:ascii="Arial" w:hAnsi="Arial" w:cs="Arial"/>
                <w:sz w:val="22"/>
                <w:szCs w:val="22"/>
              </w:rPr>
            </w:pPr>
            <w:r w:rsidRPr="00D04886">
              <w:rPr>
                <w:rFonts w:ascii="Arial" w:hAnsi="Arial" w:cs="Arial"/>
                <w:sz w:val="22"/>
                <w:szCs w:val="22"/>
              </w:rPr>
              <w:t>Impacts</w:t>
            </w:r>
          </w:p>
        </w:tc>
        <w:tc>
          <w:tcPr>
            <w:tcW w:w="7716" w:type="dxa"/>
          </w:tcPr>
          <w:p w:rsidR="002B5A16" w:rsidRPr="00E1770F"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preparedness for new viruses from overseas.</w:t>
            </w:r>
          </w:p>
          <w:p w:rsidR="002B5A16" w:rsidRPr="00EC501E"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average yield (future/new virus control)</w:t>
            </w:r>
            <w:r w:rsidRPr="002202C5">
              <w:rPr>
                <w:rFonts w:ascii="Arial" w:hAnsi="Arial" w:cs="Arial"/>
                <w:sz w:val="22"/>
              </w:rPr>
              <w:t>.</w:t>
            </w:r>
          </w:p>
          <w:p w:rsidR="002B5A16" w:rsidRPr="004A1DE3" w:rsidRDefault="002B5A16" w:rsidP="002B5A16">
            <w:pPr>
              <w:pStyle w:val="ListParagraph"/>
              <w:numPr>
                <w:ilvl w:val="0"/>
                <w:numId w:val="20"/>
              </w:numPr>
              <w:tabs>
                <w:tab w:val="left" w:pos="1620"/>
                <w:tab w:val="left" w:pos="10440"/>
              </w:tabs>
              <w:suppressAutoHyphens/>
              <w:ind w:left="365"/>
              <w:contextualSpacing w:val="0"/>
              <w:rPr>
                <w:rFonts w:ascii="Arial" w:hAnsi="Arial" w:cs="Arial"/>
                <w:sz w:val="22"/>
              </w:rPr>
            </w:pPr>
            <w:r>
              <w:rPr>
                <w:rFonts w:ascii="Arial" w:hAnsi="Arial" w:cs="Arial"/>
                <w:sz w:val="22"/>
              </w:rPr>
              <w:t>Increased profitability (lower cost planting material).</w:t>
            </w:r>
          </w:p>
          <w:p w:rsidR="002B5A16" w:rsidRPr="00746F5C"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research capacity in Australia (virus diagnostics).</w:t>
            </w:r>
          </w:p>
          <w:p w:rsidR="002B5A16" w:rsidRPr="00930D14" w:rsidRDefault="002B5A16" w:rsidP="002B5A16">
            <w:pPr>
              <w:pStyle w:val="ListParagraph"/>
              <w:numPr>
                <w:ilvl w:val="0"/>
                <w:numId w:val="20"/>
              </w:numPr>
              <w:tabs>
                <w:tab w:val="left" w:pos="1620"/>
                <w:tab w:val="left" w:pos="10440"/>
              </w:tabs>
              <w:suppressAutoHyphens/>
              <w:ind w:left="365"/>
              <w:contextualSpacing w:val="0"/>
              <w:rPr>
                <w:rFonts w:ascii="Arial" w:hAnsi="Arial" w:cs="Arial"/>
                <w:b/>
                <w:sz w:val="22"/>
              </w:rPr>
            </w:pPr>
            <w:r>
              <w:rPr>
                <w:rFonts w:ascii="Arial" w:hAnsi="Arial" w:cs="Arial"/>
                <w:sz w:val="22"/>
              </w:rPr>
              <w:t>Increased regional income in Australia (spillover).</w:t>
            </w:r>
          </w:p>
        </w:tc>
      </w:tr>
    </w:tbl>
    <w:p w:rsidR="002B5A16" w:rsidRDefault="002B5A16" w:rsidP="002B5A16"/>
    <w:p w:rsidR="00EB01F3" w:rsidRPr="00D530AE" w:rsidRDefault="00EB01F3" w:rsidP="002B5A16"/>
    <w:p w:rsidR="002B5A16" w:rsidRPr="00AF6856" w:rsidRDefault="002B5A16" w:rsidP="00AF6856">
      <w:pPr>
        <w:spacing w:after="240"/>
        <w:rPr>
          <w:rFonts w:ascii="Arial" w:hAnsi="Arial" w:cs="Arial"/>
          <w:b/>
          <w:sz w:val="40"/>
          <w:szCs w:val="40"/>
        </w:rPr>
      </w:pPr>
      <w:bookmarkStart w:id="471" w:name="_Toc487091261"/>
      <w:r w:rsidRPr="00AF6856">
        <w:rPr>
          <w:rFonts w:ascii="Arial" w:hAnsi="Arial" w:cs="Arial"/>
          <w:b/>
          <w:sz w:val="40"/>
          <w:szCs w:val="40"/>
        </w:rPr>
        <w:t>4. Project Investment</w:t>
      </w:r>
      <w:bookmarkEnd w:id="471"/>
      <w:r w:rsidRPr="00AF6856">
        <w:rPr>
          <w:rFonts w:ascii="Arial" w:hAnsi="Arial" w:cs="Arial"/>
          <w:b/>
          <w:sz w:val="40"/>
          <w:szCs w:val="40"/>
        </w:rPr>
        <w:t xml:space="preserve"> </w:t>
      </w:r>
    </w:p>
    <w:p w:rsidR="002B5A16" w:rsidRPr="00AA0B42" w:rsidRDefault="002B5A16" w:rsidP="00AF6856">
      <w:pPr>
        <w:spacing w:after="240"/>
        <w:rPr>
          <w:rFonts w:ascii="Arial" w:hAnsi="Arial" w:cs="Arial"/>
          <w:b/>
        </w:rPr>
      </w:pPr>
      <w:r w:rsidRPr="00AA0B42">
        <w:rPr>
          <w:rFonts w:ascii="Arial" w:hAnsi="Arial" w:cs="Arial"/>
          <w:b/>
        </w:rPr>
        <w:t xml:space="preserve">Nominal Investment </w:t>
      </w:r>
    </w:p>
    <w:p w:rsidR="002B5A16" w:rsidRDefault="002B5A16" w:rsidP="00AF6856">
      <w:pPr>
        <w:spacing w:after="240"/>
        <w:rPr>
          <w:rFonts w:ascii="Arial" w:hAnsi="Arial" w:cs="Arial"/>
        </w:rPr>
      </w:pPr>
      <w:r w:rsidRPr="00F45195">
        <w:rPr>
          <w:rFonts w:ascii="Arial" w:hAnsi="Arial" w:cs="Arial"/>
        </w:rPr>
        <w:t>T</w:t>
      </w:r>
      <w:r>
        <w:rPr>
          <w:rFonts w:ascii="Arial" w:hAnsi="Arial" w:cs="Arial"/>
        </w:rPr>
        <w:t>he following tables show the annual investment by project for both DAF (T</w:t>
      </w:r>
      <w:r w:rsidRPr="00F45195">
        <w:rPr>
          <w:rFonts w:ascii="Arial" w:hAnsi="Arial" w:cs="Arial"/>
        </w:rPr>
        <w:t xml:space="preserve">able </w:t>
      </w:r>
      <w:r>
        <w:rPr>
          <w:rFonts w:ascii="Arial" w:hAnsi="Arial" w:cs="Arial"/>
        </w:rPr>
        <w:t>13) and for funding organisations such as HRDC/HAL/HIA, ACIAR and other investors (Table 14) in the cluster of DAF sweetpotato projects. Table 15 provides the total investment by year and from both sources</w:t>
      </w:r>
      <w:r w:rsidRPr="00F45195">
        <w:rPr>
          <w:rFonts w:ascii="Arial" w:hAnsi="Arial" w:cs="Arial"/>
        </w:rPr>
        <w:t>.</w:t>
      </w:r>
    </w:p>
    <w:p w:rsidR="00EB01F3" w:rsidRDefault="002B5A16" w:rsidP="00EB01F3">
      <w:pPr>
        <w:ind w:right="-612"/>
        <w:jc w:val="center"/>
        <w:rPr>
          <w:rFonts w:ascii="Arial" w:hAnsi="Arial" w:cs="Arial"/>
        </w:rPr>
      </w:pPr>
      <w:bookmarkStart w:id="472" w:name="_Toc487091287"/>
      <w:r w:rsidRPr="009340D9">
        <w:rPr>
          <w:rFonts w:ascii="Arial" w:hAnsi="Arial" w:cs="Arial"/>
        </w:rPr>
        <w:t xml:space="preserve">Table </w:t>
      </w:r>
      <w:r w:rsidR="00913E1D">
        <w:rPr>
          <w:rFonts w:ascii="Arial" w:hAnsi="Arial" w:cs="Arial"/>
          <w:noProof/>
        </w:rPr>
        <w:t>13</w:t>
      </w:r>
      <w:r w:rsidRPr="009340D9">
        <w:rPr>
          <w:rFonts w:ascii="Arial" w:hAnsi="Arial" w:cs="Arial"/>
        </w:rPr>
        <w:t xml:space="preserve">: Investment by </w:t>
      </w:r>
      <w:r>
        <w:rPr>
          <w:rFonts w:ascii="Arial" w:hAnsi="Arial" w:cs="Arial"/>
        </w:rPr>
        <w:t xml:space="preserve">DAF </w:t>
      </w:r>
      <w:r w:rsidRPr="009340D9">
        <w:rPr>
          <w:rFonts w:ascii="Arial" w:hAnsi="Arial" w:cs="Arial"/>
        </w:rPr>
        <w:t xml:space="preserve">in the </w:t>
      </w:r>
      <w:r>
        <w:rPr>
          <w:rFonts w:ascii="Arial" w:hAnsi="Arial" w:cs="Arial"/>
        </w:rPr>
        <w:t xml:space="preserve">Sweetpotato </w:t>
      </w:r>
      <w:r w:rsidRPr="009340D9">
        <w:rPr>
          <w:rFonts w:ascii="Arial" w:hAnsi="Arial" w:cs="Arial"/>
        </w:rPr>
        <w:t xml:space="preserve">R&amp;D </w:t>
      </w:r>
      <w:r>
        <w:rPr>
          <w:rFonts w:ascii="Arial" w:hAnsi="Arial" w:cs="Arial"/>
        </w:rPr>
        <w:t xml:space="preserve">Cluster </w:t>
      </w:r>
      <w:r w:rsidRPr="009340D9">
        <w:rPr>
          <w:rFonts w:ascii="Arial" w:hAnsi="Arial" w:cs="Arial"/>
        </w:rPr>
        <w:t xml:space="preserve">for Years Ending </w:t>
      </w:r>
    </w:p>
    <w:p w:rsidR="002B5A16" w:rsidRDefault="002B5A16" w:rsidP="002B5A16">
      <w:pPr>
        <w:spacing w:after="200"/>
        <w:ind w:right="-612"/>
        <w:jc w:val="center"/>
        <w:rPr>
          <w:rFonts w:ascii="Arial" w:hAnsi="Arial" w:cs="Arial"/>
        </w:rPr>
      </w:pPr>
      <w:r w:rsidRPr="009340D9">
        <w:rPr>
          <w:rFonts w:ascii="Arial" w:hAnsi="Arial" w:cs="Arial"/>
        </w:rPr>
        <w:t xml:space="preserve">June </w:t>
      </w:r>
      <w:r>
        <w:rPr>
          <w:rFonts w:ascii="Arial" w:hAnsi="Arial" w:cs="Arial"/>
        </w:rPr>
        <w:t>1998</w:t>
      </w:r>
      <w:r w:rsidRPr="009340D9">
        <w:rPr>
          <w:rFonts w:ascii="Arial" w:hAnsi="Arial" w:cs="Arial"/>
        </w:rPr>
        <w:t xml:space="preserve"> to June 201</w:t>
      </w:r>
      <w:r>
        <w:rPr>
          <w:rFonts w:ascii="Arial" w:hAnsi="Arial" w:cs="Arial"/>
        </w:rPr>
        <w:t xml:space="preserve">8 </w:t>
      </w:r>
      <w:r w:rsidRPr="009340D9">
        <w:rPr>
          <w:rFonts w:ascii="Arial" w:hAnsi="Arial" w:cs="Arial"/>
        </w:rPr>
        <w:t>(nominal $)</w:t>
      </w:r>
      <w:bookmarkEnd w:id="472"/>
    </w:p>
    <w:tbl>
      <w:tblPr>
        <w:tblStyle w:val="TableGrid"/>
        <w:tblW w:w="9738" w:type="dxa"/>
        <w:jc w:val="center"/>
        <w:tblLayout w:type="fixed"/>
        <w:tblLook w:val="04A0" w:firstRow="1" w:lastRow="0" w:firstColumn="1" w:lastColumn="0" w:noHBand="0" w:noVBand="1"/>
      </w:tblPr>
      <w:tblGrid>
        <w:gridCol w:w="661"/>
        <w:gridCol w:w="812"/>
        <w:gridCol w:w="812"/>
        <w:gridCol w:w="813"/>
        <w:gridCol w:w="812"/>
        <w:gridCol w:w="812"/>
        <w:gridCol w:w="812"/>
        <w:gridCol w:w="813"/>
        <w:gridCol w:w="812"/>
        <w:gridCol w:w="878"/>
        <w:gridCol w:w="851"/>
        <w:gridCol w:w="850"/>
      </w:tblGrid>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Year</w:t>
            </w:r>
          </w:p>
        </w:tc>
        <w:tc>
          <w:tcPr>
            <w:tcW w:w="812" w:type="dxa"/>
          </w:tcPr>
          <w:p w:rsidR="002B5A16" w:rsidRPr="003A74F8" w:rsidRDefault="002B5A16" w:rsidP="002B5A16">
            <w:pPr>
              <w:rPr>
                <w:rFonts w:ascii="Arial" w:hAnsi="Arial" w:cs="Arial"/>
                <w:sz w:val="16"/>
              </w:rPr>
            </w:pPr>
            <w:r w:rsidRPr="003A74F8">
              <w:rPr>
                <w:rFonts w:ascii="Arial" w:hAnsi="Arial" w:cs="Arial"/>
                <w:sz w:val="16"/>
              </w:rPr>
              <w:t>VG97023</w:t>
            </w:r>
          </w:p>
        </w:tc>
        <w:tc>
          <w:tcPr>
            <w:tcW w:w="812" w:type="dxa"/>
          </w:tcPr>
          <w:p w:rsidR="002B5A16" w:rsidRPr="003A74F8" w:rsidRDefault="002B5A16" w:rsidP="002B5A16">
            <w:pPr>
              <w:rPr>
                <w:rFonts w:ascii="Arial" w:hAnsi="Arial" w:cs="Arial"/>
                <w:sz w:val="16"/>
              </w:rPr>
            </w:pPr>
            <w:r w:rsidRPr="003A74F8">
              <w:rPr>
                <w:rFonts w:ascii="Arial" w:hAnsi="Arial" w:cs="Arial"/>
                <w:sz w:val="16"/>
              </w:rPr>
              <w:t>VG01010</w:t>
            </w:r>
          </w:p>
        </w:tc>
        <w:tc>
          <w:tcPr>
            <w:tcW w:w="813" w:type="dxa"/>
          </w:tcPr>
          <w:p w:rsidR="002B5A16" w:rsidRPr="003A74F8" w:rsidRDefault="002B5A16" w:rsidP="002B5A16">
            <w:pPr>
              <w:rPr>
                <w:rFonts w:ascii="Arial" w:hAnsi="Arial" w:cs="Arial"/>
                <w:sz w:val="16"/>
              </w:rPr>
            </w:pPr>
            <w:r w:rsidRPr="003A74F8">
              <w:rPr>
                <w:rFonts w:ascii="Arial" w:hAnsi="Arial" w:cs="Arial"/>
                <w:sz w:val="16"/>
              </w:rPr>
              <w:t>VG02114</w:t>
            </w:r>
          </w:p>
        </w:tc>
        <w:tc>
          <w:tcPr>
            <w:tcW w:w="812" w:type="dxa"/>
          </w:tcPr>
          <w:p w:rsidR="002B5A16" w:rsidRPr="003A74F8" w:rsidRDefault="002B5A16" w:rsidP="002B5A16">
            <w:pPr>
              <w:rPr>
                <w:rFonts w:ascii="Arial" w:hAnsi="Arial" w:cs="Arial"/>
                <w:sz w:val="16"/>
              </w:rPr>
            </w:pPr>
            <w:r w:rsidRPr="003A74F8">
              <w:rPr>
                <w:rFonts w:ascii="Arial" w:hAnsi="Arial" w:cs="Arial"/>
                <w:sz w:val="16"/>
              </w:rPr>
              <w:t>VG05037</w:t>
            </w:r>
          </w:p>
        </w:tc>
        <w:tc>
          <w:tcPr>
            <w:tcW w:w="812" w:type="dxa"/>
          </w:tcPr>
          <w:p w:rsidR="002B5A16" w:rsidRPr="003A74F8" w:rsidRDefault="002B5A16" w:rsidP="002B5A16">
            <w:pPr>
              <w:rPr>
                <w:rFonts w:ascii="Arial" w:hAnsi="Arial" w:cs="Arial"/>
                <w:sz w:val="16"/>
              </w:rPr>
            </w:pPr>
            <w:r w:rsidRPr="003A74F8">
              <w:rPr>
                <w:rFonts w:ascii="Arial" w:hAnsi="Arial" w:cs="Arial"/>
                <w:sz w:val="16"/>
              </w:rPr>
              <w:t>CP2004-071</w:t>
            </w:r>
          </w:p>
        </w:tc>
        <w:tc>
          <w:tcPr>
            <w:tcW w:w="812" w:type="dxa"/>
          </w:tcPr>
          <w:p w:rsidR="002B5A16" w:rsidRPr="003A74F8" w:rsidRDefault="002B5A16" w:rsidP="002B5A16">
            <w:pPr>
              <w:rPr>
                <w:rFonts w:ascii="Arial" w:hAnsi="Arial" w:cs="Arial"/>
                <w:sz w:val="16"/>
              </w:rPr>
            </w:pPr>
            <w:r>
              <w:rPr>
                <w:rFonts w:ascii="Arial" w:hAnsi="Arial" w:cs="Arial"/>
                <w:sz w:val="16"/>
              </w:rPr>
              <w:t>CP</w:t>
            </w:r>
            <w:r w:rsidRPr="003A74F8">
              <w:rPr>
                <w:rFonts w:ascii="Arial" w:hAnsi="Arial" w:cs="Arial"/>
                <w:sz w:val="16"/>
              </w:rPr>
              <w:t>2005-134</w:t>
            </w:r>
          </w:p>
        </w:tc>
        <w:tc>
          <w:tcPr>
            <w:tcW w:w="813" w:type="dxa"/>
          </w:tcPr>
          <w:p w:rsidR="002B5A16" w:rsidRPr="003A74F8" w:rsidRDefault="002B5A16" w:rsidP="002B5A16">
            <w:pPr>
              <w:rPr>
                <w:rFonts w:ascii="Arial" w:hAnsi="Arial" w:cs="Arial"/>
                <w:sz w:val="16"/>
              </w:rPr>
            </w:pPr>
            <w:r w:rsidRPr="003A74F8">
              <w:rPr>
                <w:rFonts w:ascii="Arial" w:hAnsi="Arial" w:cs="Arial"/>
                <w:sz w:val="16"/>
              </w:rPr>
              <w:t>08-14329</w:t>
            </w:r>
          </w:p>
        </w:tc>
        <w:tc>
          <w:tcPr>
            <w:tcW w:w="812" w:type="dxa"/>
          </w:tcPr>
          <w:p w:rsidR="002B5A16" w:rsidRPr="003A74F8" w:rsidRDefault="002B5A16" w:rsidP="002B5A16">
            <w:pPr>
              <w:rPr>
                <w:rFonts w:ascii="Arial" w:hAnsi="Arial" w:cs="Arial"/>
                <w:sz w:val="16"/>
              </w:rPr>
            </w:pPr>
            <w:r w:rsidRPr="003A74F8">
              <w:rPr>
                <w:rFonts w:ascii="Arial" w:hAnsi="Arial" w:cs="Arial"/>
                <w:sz w:val="16"/>
              </w:rPr>
              <w:t>VG09009</w:t>
            </w:r>
          </w:p>
        </w:tc>
        <w:tc>
          <w:tcPr>
            <w:tcW w:w="878" w:type="dxa"/>
          </w:tcPr>
          <w:p w:rsidR="002B5A16" w:rsidRPr="003A74F8" w:rsidRDefault="002B5A16" w:rsidP="002B5A16">
            <w:pPr>
              <w:rPr>
                <w:rFonts w:ascii="Arial" w:hAnsi="Arial" w:cs="Arial"/>
                <w:sz w:val="16"/>
              </w:rPr>
            </w:pPr>
            <w:r w:rsidRPr="003A74F8">
              <w:rPr>
                <w:rFonts w:ascii="Arial" w:hAnsi="Arial" w:cs="Arial"/>
                <w:sz w:val="16"/>
              </w:rPr>
              <w:t>VG09052</w:t>
            </w:r>
          </w:p>
        </w:tc>
        <w:tc>
          <w:tcPr>
            <w:tcW w:w="851" w:type="dxa"/>
          </w:tcPr>
          <w:p w:rsidR="002B5A16" w:rsidRPr="003A74F8" w:rsidRDefault="002B5A16" w:rsidP="002B5A16">
            <w:pPr>
              <w:rPr>
                <w:rFonts w:ascii="Arial" w:hAnsi="Arial" w:cs="Arial"/>
                <w:sz w:val="16"/>
              </w:rPr>
            </w:pPr>
            <w:r w:rsidRPr="003A74F8">
              <w:rPr>
                <w:rFonts w:ascii="Arial" w:hAnsi="Arial" w:cs="Arial"/>
                <w:sz w:val="16"/>
              </w:rPr>
              <w:t>PC2011-053</w:t>
            </w:r>
          </w:p>
        </w:tc>
        <w:tc>
          <w:tcPr>
            <w:tcW w:w="850" w:type="dxa"/>
          </w:tcPr>
          <w:p w:rsidR="002B5A16" w:rsidRPr="003A74F8" w:rsidRDefault="002B5A16" w:rsidP="002B5A16">
            <w:pPr>
              <w:rPr>
                <w:rFonts w:ascii="Arial" w:hAnsi="Arial" w:cs="Arial"/>
                <w:sz w:val="16"/>
              </w:rPr>
            </w:pPr>
            <w:r w:rsidRPr="003A74F8">
              <w:rPr>
                <w:rFonts w:ascii="Arial" w:hAnsi="Arial" w:cs="Arial"/>
                <w:sz w:val="16"/>
              </w:rPr>
              <w:t>VG13004</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1998</w:t>
            </w:r>
          </w:p>
        </w:tc>
        <w:tc>
          <w:tcPr>
            <w:tcW w:w="812" w:type="dxa"/>
          </w:tcPr>
          <w:p w:rsidR="002B5A16" w:rsidRPr="003A74F8" w:rsidRDefault="002B5A16" w:rsidP="002B5A16">
            <w:pPr>
              <w:jc w:val="right"/>
              <w:rPr>
                <w:rFonts w:ascii="Arial" w:hAnsi="Arial" w:cs="Arial"/>
                <w:sz w:val="16"/>
              </w:rPr>
            </w:pPr>
            <w:r w:rsidRPr="003A74F8">
              <w:rPr>
                <w:rFonts w:ascii="Arial" w:hAnsi="Arial" w:cs="Arial"/>
                <w:sz w:val="16"/>
              </w:rPr>
              <w:t>114,413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1999</w:t>
            </w:r>
          </w:p>
        </w:tc>
        <w:tc>
          <w:tcPr>
            <w:tcW w:w="812" w:type="dxa"/>
          </w:tcPr>
          <w:p w:rsidR="002B5A16" w:rsidRPr="003A74F8" w:rsidRDefault="002B5A16" w:rsidP="002B5A16">
            <w:pPr>
              <w:jc w:val="right"/>
              <w:rPr>
                <w:rFonts w:ascii="Arial" w:hAnsi="Arial" w:cs="Arial"/>
                <w:sz w:val="16"/>
              </w:rPr>
            </w:pPr>
            <w:r w:rsidRPr="003A74F8">
              <w:rPr>
                <w:rFonts w:ascii="Arial" w:hAnsi="Arial" w:cs="Arial"/>
                <w:sz w:val="16"/>
              </w:rPr>
              <w:t>114,413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2000</w:t>
            </w:r>
          </w:p>
        </w:tc>
        <w:tc>
          <w:tcPr>
            <w:tcW w:w="812" w:type="dxa"/>
          </w:tcPr>
          <w:p w:rsidR="002B5A16" w:rsidRPr="003A74F8" w:rsidRDefault="002B5A16" w:rsidP="002B5A16">
            <w:pPr>
              <w:jc w:val="right"/>
              <w:rPr>
                <w:rFonts w:ascii="Arial" w:hAnsi="Arial" w:cs="Arial"/>
                <w:sz w:val="16"/>
              </w:rPr>
            </w:pPr>
            <w:r w:rsidRPr="003A74F8">
              <w:rPr>
                <w:rFonts w:ascii="Arial" w:hAnsi="Arial" w:cs="Arial"/>
                <w:sz w:val="16"/>
              </w:rPr>
              <w:t>114,413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2001</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2002</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165,617</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170,585</w:t>
            </w:r>
          </w:p>
        </w:tc>
        <w:tc>
          <w:tcPr>
            <w:tcW w:w="813" w:type="dxa"/>
          </w:tcPr>
          <w:p w:rsidR="002B5A16" w:rsidRPr="003A74F8" w:rsidRDefault="002B5A16" w:rsidP="002B5A16">
            <w:pPr>
              <w:jc w:val="right"/>
              <w:rPr>
                <w:rFonts w:ascii="Arial" w:hAnsi="Arial" w:cs="Arial"/>
                <w:sz w:val="16"/>
              </w:rPr>
            </w:pPr>
            <w:r>
              <w:rPr>
                <w:rFonts w:ascii="Arial" w:hAnsi="Arial" w:cs="Arial"/>
                <w:sz w:val="16"/>
              </w:rPr>
              <w:t>64,139</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2004</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175,701</w:t>
            </w:r>
          </w:p>
        </w:tc>
        <w:tc>
          <w:tcPr>
            <w:tcW w:w="813" w:type="dxa"/>
          </w:tcPr>
          <w:p w:rsidR="002B5A16" w:rsidRPr="003A74F8" w:rsidRDefault="002B5A16" w:rsidP="002B5A16">
            <w:pPr>
              <w:jc w:val="right"/>
              <w:rPr>
                <w:rFonts w:ascii="Arial" w:hAnsi="Arial" w:cs="Arial"/>
                <w:sz w:val="16"/>
              </w:rPr>
            </w:pPr>
            <w:r>
              <w:rPr>
                <w:rFonts w:ascii="Arial" w:hAnsi="Arial" w:cs="Arial"/>
                <w:sz w:val="16"/>
              </w:rPr>
              <w:t>69,071</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2005</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180,974</w:t>
            </w:r>
          </w:p>
        </w:tc>
        <w:tc>
          <w:tcPr>
            <w:tcW w:w="813" w:type="dxa"/>
          </w:tcPr>
          <w:p w:rsidR="002B5A16" w:rsidRPr="003A74F8" w:rsidRDefault="002B5A16" w:rsidP="002B5A16">
            <w:pPr>
              <w:jc w:val="right"/>
              <w:rPr>
                <w:rFonts w:ascii="Arial" w:hAnsi="Arial" w:cs="Arial"/>
                <w:sz w:val="16"/>
              </w:rPr>
            </w:pPr>
            <w:r>
              <w:rPr>
                <w:rFonts w:ascii="Arial" w:hAnsi="Arial" w:cs="Arial"/>
                <w:sz w:val="16"/>
              </w:rPr>
              <w:t>85,056</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2006</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43,804</w:t>
            </w:r>
          </w:p>
        </w:tc>
        <w:tc>
          <w:tcPr>
            <w:tcW w:w="812" w:type="dxa"/>
          </w:tcPr>
          <w:p w:rsidR="002B5A16" w:rsidRPr="003A74F8" w:rsidRDefault="002B5A16" w:rsidP="002B5A16">
            <w:pPr>
              <w:jc w:val="right"/>
              <w:rPr>
                <w:rFonts w:ascii="Arial" w:hAnsi="Arial" w:cs="Arial"/>
                <w:sz w:val="16"/>
              </w:rPr>
            </w:pPr>
            <w:r>
              <w:rPr>
                <w:rFonts w:ascii="Arial" w:hAnsi="Arial" w:cs="Arial"/>
                <w:sz w:val="16"/>
              </w:rPr>
              <w:t>174,718</w:t>
            </w:r>
          </w:p>
        </w:tc>
        <w:tc>
          <w:tcPr>
            <w:tcW w:w="812" w:type="dxa"/>
          </w:tcPr>
          <w:p w:rsidR="002B5A16" w:rsidRPr="003A74F8" w:rsidRDefault="002B5A16" w:rsidP="002B5A16">
            <w:pPr>
              <w:jc w:val="right"/>
              <w:rPr>
                <w:rFonts w:ascii="Arial" w:hAnsi="Arial" w:cs="Arial"/>
                <w:sz w:val="16"/>
              </w:rPr>
            </w:pPr>
            <w:r>
              <w:rPr>
                <w:rFonts w:ascii="Arial" w:hAnsi="Arial" w:cs="Arial"/>
                <w:sz w:val="16"/>
              </w:rPr>
              <w:t>64,730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2007</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233,423</w:t>
            </w:r>
          </w:p>
        </w:tc>
        <w:tc>
          <w:tcPr>
            <w:tcW w:w="812" w:type="dxa"/>
          </w:tcPr>
          <w:p w:rsidR="002B5A16" w:rsidRPr="003A74F8" w:rsidRDefault="002B5A16" w:rsidP="002B5A16">
            <w:pPr>
              <w:jc w:val="right"/>
              <w:rPr>
                <w:rFonts w:ascii="Arial" w:hAnsi="Arial" w:cs="Arial"/>
                <w:sz w:val="16"/>
              </w:rPr>
            </w:pPr>
            <w:r>
              <w:rPr>
                <w:rFonts w:ascii="Arial" w:hAnsi="Arial" w:cs="Arial"/>
                <w:sz w:val="16"/>
              </w:rPr>
              <w:t>243,786</w:t>
            </w:r>
          </w:p>
        </w:tc>
        <w:tc>
          <w:tcPr>
            <w:tcW w:w="812" w:type="dxa"/>
          </w:tcPr>
          <w:p w:rsidR="002B5A16" w:rsidRPr="003A74F8" w:rsidRDefault="002B5A16" w:rsidP="002B5A16">
            <w:pPr>
              <w:jc w:val="right"/>
              <w:rPr>
                <w:rFonts w:ascii="Arial" w:hAnsi="Arial" w:cs="Arial"/>
                <w:sz w:val="16"/>
              </w:rPr>
            </w:pPr>
            <w:r>
              <w:rPr>
                <w:rFonts w:ascii="Arial" w:hAnsi="Arial" w:cs="Arial"/>
                <w:sz w:val="16"/>
              </w:rPr>
              <w:t>12,125</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2008</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248,333</w:t>
            </w:r>
          </w:p>
        </w:tc>
        <w:tc>
          <w:tcPr>
            <w:tcW w:w="812" w:type="dxa"/>
          </w:tcPr>
          <w:p w:rsidR="002B5A16" w:rsidRPr="003A74F8" w:rsidRDefault="002B5A16" w:rsidP="002B5A16">
            <w:pPr>
              <w:jc w:val="right"/>
              <w:rPr>
                <w:rFonts w:ascii="Arial" w:hAnsi="Arial" w:cs="Arial"/>
                <w:sz w:val="16"/>
              </w:rPr>
            </w:pPr>
            <w:r>
              <w:rPr>
                <w:rFonts w:ascii="Arial" w:hAnsi="Arial" w:cs="Arial"/>
                <w:sz w:val="16"/>
              </w:rPr>
              <w:t>253,708</w:t>
            </w:r>
          </w:p>
        </w:tc>
        <w:tc>
          <w:tcPr>
            <w:tcW w:w="812" w:type="dxa"/>
          </w:tcPr>
          <w:p w:rsidR="002B5A16" w:rsidRPr="003A74F8" w:rsidRDefault="002B5A16" w:rsidP="002B5A16">
            <w:pPr>
              <w:jc w:val="right"/>
              <w:rPr>
                <w:rFonts w:ascii="Arial" w:hAnsi="Arial" w:cs="Arial"/>
                <w:sz w:val="16"/>
              </w:rPr>
            </w:pPr>
            <w:r>
              <w:rPr>
                <w:rFonts w:ascii="Arial" w:hAnsi="Arial" w:cs="Arial"/>
                <w:sz w:val="16"/>
              </w:rPr>
              <w:t>7,043</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2009</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126,892</w:t>
            </w:r>
          </w:p>
        </w:tc>
        <w:tc>
          <w:tcPr>
            <w:tcW w:w="812" w:type="dxa"/>
          </w:tcPr>
          <w:p w:rsidR="002B5A16" w:rsidRPr="003A74F8" w:rsidRDefault="002B5A16" w:rsidP="002B5A16">
            <w:pPr>
              <w:jc w:val="right"/>
              <w:rPr>
                <w:rFonts w:ascii="Arial" w:hAnsi="Arial" w:cs="Arial"/>
                <w:sz w:val="16"/>
              </w:rPr>
            </w:pPr>
            <w:r>
              <w:rPr>
                <w:rFonts w:ascii="Arial" w:hAnsi="Arial" w:cs="Arial"/>
                <w:sz w:val="16"/>
              </w:rPr>
              <w:t>262,642</w:t>
            </w:r>
          </w:p>
        </w:tc>
        <w:tc>
          <w:tcPr>
            <w:tcW w:w="812" w:type="dxa"/>
          </w:tcPr>
          <w:p w:rsidR="002B5A16" w:rsidRPr="003A74F8" w:rsidRDefault="002B5A16" w:rsidP="002B5A16">
            <w:pPr>
              <w:jc w:val="right"/>
              <w:rPr>
                <w:rFonts w:ascii="Arial" w:hAnsi="Arial" w:cs="Arial"/>
                <w:sz w:val="16"/>
              </w:rPr>
            </w:pPr>
            <w:r>
              <w:rPr>
                <w:rFonts w:ascii="Arial" w:hAnsi="Arial" w:cs="Arial"/>
                <w:sz w:val="16"/>
              </w:rPr>
              <w:t>3,521</w:t>
            </w:r>
          </w:p>
        </w:tc>
        <w:tc>
          <w:tcPr>
            <w:tcW w:w="813" w:type="dxa"/>
          </w:tcPr>
          <w:p w:rsidR="002B5A16" w:rsidRPr="003A74F8" w:rsidRDefault="002B5A16" w:rsidP="002B5A16">
            <w:pPr>
              <w:jc w:val="right"/>
              <w:rPr>
                <w:rFonts w:ascii="Arial" w:hAnsi="Arial" w:cs="Arial"/>
                <w:sz w:val="16"/>
              </w:rPr>
            </w:pPr>
            <w:r>
              <w:rPr>
                <w:rFonts w:ascii="Arial" w:hAnsi="Arial" w:cs="Arial"/>
                <w:sz w:val="16"/>
              </w:rPr>
              <w:t>10,423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126,892</w:t>
            </w:r>
          </w:p>
        </w:tc>
        <w:tc>
          <w:tcPr>
            <w:tcW w:w="812" w:type="dxa"/>
          </w:tcPr>
          <w:p w:rsidR="002B5A16" w:rsidRPr="003A74F8" w:rsidRDefault="002B5A16" w:rsidP="002B5A16">
            <w:pPr>
              <w:jc w:val="right"/>
              <w:rPr>
                <w:rFonts w:ascii="Arial" w:hAnsi="Arial" w:cs="Arial"/>
                <w:sz w:val="16"/>
              </w:rPr>
            </w:pPr>
            <w:r>
              <w:rPr>
                <w:rFonts w:ascii="Arial" w:hAnsi="Arial" w:cs="Arial"/>
                <w:sz w:val="16"/>
              </w:rPr>
              <w:t>125,409</w:t>
            </w:r>
          </w:p>
        </w:tc>
        <w:tc>
          <w:tcPr>
            <w:tcW w:w="812" w:type="dxa"/>
          </w:tcPr>
          <w:p w:rsidR="002B5A16" w:rsidRPr="003A74F8" w:rsidRDefault="002B5A16" w:rsidP="002B5A16">
            <w:pPr>
              <w:jc w:val="right"/>
              <w:rPr>
                <w:rFonts w:ascii="Arial" w:hAnsi="Arial" w:cs="Arial"/>
                <w:sz w:val="16"/>
              </w:rPr>
            </w:pPr>
            <w:r>
              <w:rPr>
                <w:rFonts w:ascii="Arial" w:hAnsi="Arial" w:cs="Arial"/>
                <w:sz w:val="16"/>
              </w:rPr>
              <w:t>6,350</w:t>
            </w:r>
          </w:p>
        </w:tc>
        <w:tc>
          <w:tcPr>
            <w:tcW w:w="813" w:type="dxa"/>
          </w:tcPr>
          <w:p w:rsidR="002B5A16" w:rsidRPr="003A74F8" w:rsidRDefault="002B5A16" w:rsidP="002B5A16">
            <w:pPr>
              <w:jc w:val="right"/>
              <w:rPr>
                <w:rFonts w:ascii="Arial" w:hAnsi="Arial" w:cs="Arial"/>
                <w:sz w:val="16"/>
              </w:rPr>
            </w:pPr>
            <w:r>
              <w:rPr>
                <w:rFonts w:ascii="Arial" w:hAnsi="Arial" w:cs="Arial"/>
                <w:sz w:val="16"/>
              </w:rPr>
              <w:t>2,197</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2011</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121,080</w:t>
            </w:r>
          </w:p>
        </w:tc>
        <w:tc>
          <w:tcPr>
            <w:tcW w:w="878" w:type="dxa"/>
          </w:tcPr>
          <w:p w:rsidR="002B5A16" w:rsidRPr="003A74F8" w:rsidRDefault="002B5A16" w:rsidP="002B5A16">
            <w:pPr>
              <w:jc w:val="right"/>
              <w:rPr>
                <w:rFonts w:ascii="Arial" w:hAnsi="Arial" w:cs="Arial"/>
                <w:sz w:val="16"/>
              </w:rPr>
            </w:pPr>
            <w:r>
              <w:rPr>
                <w:rFonts w:ascii="Arial" w:hAnsi="Arial" w:cs="Arial"/>
                <w:sz w:val="16"/>
              </w:rPr>
              <w:t>537,079</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2012</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107,791</w:t>
            </w:r>
          </w:p>
        </w:tc>
        <w:tc>
          <w:tcPr>
            <w:tcW w:w="878" w:type="dxa"/>
          </w:tcPr>
          <w:p w:rsidR="002B5A16" w:rsidRPr="003A74F8" w:rsidRDefault="002B5A16" w:rsidP="002B5A16">
            <w:pPr>
              <w:jc w:val="right"/>
              <w:rPr>
                <w:rFonts w:ascii="Arial" w:hAnsi="Arial" w:cs="Arial"/>
                <w:sz w:val="16"/>
              </w:rPr>
            </w:pPr>
            <w:r>
              <w:rPr>
                <w:rFonts w:ascii="Arial" w:hAnsi="Arial" w:cs="Arial"/>
                <w:sz w:val="16"/>
              </w:rPr>
              <w:t>459,782</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112,103</w:t>
            </w:r>
          </w:p>
        </w:tc>
        <w:tc>
          <w:tcPr>
            <w:tcW w:w="878" w:type="dxa"/>
          </w:tcPr>
          <w:p w:rsidR="002B5A16" w:rsidRPr="003A74F8" w:rsidRDefault="002B5A16" w:rsidP="002B5A16">
            <w:pPr>
              <w:jc w:val="right"/>
              <w:rPr>
                <w:rFonts w:ascii="Arial" w:hAnsi="Arial" w:cs="Arial"/>
                <w:sz w:val="16"/>
              </w:rPr>
            </w:pPr>
            <w:r>
              <w:rPr>
                <w:rFonts w:ascii="Arial" w:hAnsi="Arial" w:cs="Arial"/>
                <w:sz w:val="16"/>
              </w:rPr>
              <w:t>27,767</w:t>
            </w:r>
          </w:p>
        </w:tc>
        <w:tc>
          <w:tcPr>
            <w:tcW w:w="851" w:type="dxa"/>
          </w:tcPr>
          <w:p w:rsidR="002B5A16" w:rsidRPr="003A74F8" w:rsidRDefault="002B5A16" w:rsidP="002B5A16">
            <w:pPr>
              <w:jc w:val="right"/>
              <w:rPr>
                <w:rFonts w:ascii="Arial" w:hAnsi="Arial" w:cs="Arial"/>
                <w:sz w:val="16"/>
              </w:rPr>
            </w:pPr>
            <w:r>
              <w:rPr>
                <w:rFonts w:ascii="Arial" w:hAnsi="Arial" w:cs="Arial"/>
                <w:sz w:val="16"/>
              </w:rPr>
              <w:t>77,032</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2014</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27,767</w:t>
            </w:r>
          </w:p>
        </w:tc>
        <w:tc>
          <w:tcPr>
            <w:tcW w:w="851" w:type="dxa"/>
          </w:tcPr>
          <w:p w:rsidR="002B5A16" w:rsidRPr="003A74F8" w:rsidRDefault="002B5A16" w:rsidP="002B5A16">
            <w:pPr>
              <w:jc w:val="right"/>
              <w:rPr>
                <w:rFonts w:ascii="Arial" w:hAnsi="Arial" w:cs="Arial"/>
                <w:sz w:val="16"/>
              </w:rPr>
            </w:pPr>
            <w:r>
              <w:rPr>
                <w:rFonts w:ascii="Arial" w:hAnsi="Arial" w:cs="Arial"/>
                <w:sz w:val="16"/>
              </w:rPr>
              <w:t>77,032</w:t>
            </w:r>
          </w:p>
        </w:tc>
        <w:tc>
          <w:tcPr>
            <w:tcW w:w="850" w:type="dxa"/>
          </w:tcPr>
          <w:p w:rsidR="002B5A16" w:rsidRPr="003A74F8" w:rsidRDefault="002B5A16" w:rsidP="002B5A16">
            <w:pPr>
              <w:jc w:val="right"/>
              <w:rPr>
                <w:rFonts w:ascii="Arial" w:hAnsi="Arial" w:cs="Arial"/>
                <w:sz w:val="16"/>
              </w:rPr>
            </w:pPr>
            <w:r>
              <w:rPr>
                <w:rFonts w:ascii="Arial" w:hAnsi="Arial" w:cs="Arial"/>
                <w:sz w:val="16"/>
              </w:rPr>
              <w:t>62,427</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2015</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8,977</w:t>
            </w:r>
          </w:p>
        </w:tc>
        <w:tc>
          <w:tcPr>
            <w:tcW w:w="850" w:type="dxa"/>
          </w:tcPr>
          <w:p w:rsidR="002B5A16" w:rsidRPr="003A74F8" w:rsidRDefault="002B5A16" w:rsidP="002B5A16">
            <w:pPr>
              <w:jc w:val="right"/>
              <w:rPr>
                <w:rFonts w:ascii="Arial" w:hAnsi="Arial" w:cs="Arial"/>
                <w:sz w:val="16"/>
              </w:rPr>
            </w:pPr>
            <w:r>
              <w:rPr>
                <w:rFonts w:ascii="Arial" w:hAnsi="Arial" w:cs="Arial"/>
                <w:sz w:val="16"/>
              </w:rPr>
              <w:t>210,949</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2016</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213,252</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2017</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228,631</w:t>
            </w:r>
          </w:p>
        </w:tc>
      </w:tr>
      <w:tr w:rsidR="002B5A16" w:rsidRPr="003A74F8" w:rsidTr="00AF6856">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2018</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78" w:type="dxa"/>
          </w:tcPr>
          <w:p w:rsidR="002B5A16" w:rsidRPr="003A74F8" w:rsidRDefault="002B5A16" w:rsidP="002B5A16">
            <w:pPr>
              <w:jc w:val="right"/>
              <w:rPr>
                <w:rFonts w:ascii="Arial" w:hAnsi="Arial" w:cs="Arial"/>
                <w:sz w:val="16"/>
              </w:rPr>
            </w:pPr>
            <w:r>
              <w:rPr>
                <w:rFonts w:ascii="Arial" w:hAnsi="Arial" w:cs="Arial"/>
                <w:sz w:val="16"/>
              </w:rPr>
              <w:t>0</w:t>
            </w:r>
          </w:p>
        </w:tc>
        <w:tc>
          <w:tcPr>
            <w:tcW w:w="851"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142,274</w:t>
            </w:r>
          </w:p>
        </w:tc>
      </w:tr>
      <w:tr w:rsidR="002B5A16" w:rsidRPr="003A74F8" w:rsidTr="00AF6856">
        <w:trPr>
          <w:jc w:val="center"/>
        </w:trPr>
        <w:tc>
          <w:tcPr>
            <w:tcW w:w="661" w:type="dxa"/>
            <w:shd w:val="clear" w:color="auto" w:fill="D9D9D9" w:themeFill="background1" w:themeFillShade="D9"/>
          </w:tcPr>
          <w:p w:rsidR="002B5A16" w:rsidRPr="003A74F8" w:rsidRDefault="002B5A16" w:rsidP="002B5A16">
            <w:pPr>
              <w:rPr>
                <w:rFonts w:ascii="Arial" w:hAnsi="Arial" w:cs="Arial"/>
                <w:sz w:val="16"/>
              </w:rPr>
            </w:pPr>
            <w:r w:rsidRPr="003A74F8">
              <w:rPr>
                <w:rFonts w:ascii="Arial" w:hAnsi="Arial" w:cs="Arial"/>
                <w:sz w:val="16"/>
              </w:rPr>
              <w:t>Total</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sidRPr="003A74F8">
              <w:rPr>
                <w:rFonts w:ascii="Arial" w:hAnsi="Arial" w:cs="Arial"/>
                <w:sz w:val="16"/>
              </w:rPr>
              <w:t>343,239</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692,877</w:t>
            </w:r>
          </w:p>
        </w:tc>
        <w:tc>
          <w:tcPr>
            <w:tcW w:w="813"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262,070</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910,258</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950,275</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29,039</w:t>
            </w:r>
          </w:p>
        </w:tc>
        <w:tc>
          <w:tcPr>
            <w:tcW w:w="813"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12,620</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340,974</w:t>
            </w:r>
          </w:p>
        </w:tc>
        <w:tc>
          <w:tcPr>
            <w:tcW w:w="878" w:type="dxa"/>
            <w:shd w:val="clear" w:color="auto" w:fill="D9D9D9" w:themeFill="background1" w:themeFillShade="D9"/>
          </w:tcPr>
          <w:p w:rsidR="002B5A16" w:rsidRPr="003A74F8" w:rsidRDefault="002B5A16" w:rsidP="002B5A16">
            <w:pPr>
              <w:ind w:left="-222"/>
              <w:jc w:val="right"/>
              <w:rPr>
                <w:rFonts w:ascii="Arial" w:hAnsi="Arial" w:cs="Arial"/>
                <w:sz w:val="16"/>
              </w:rPr>
            </w:pPr>
            <w:r>
              <w:rPr>
                <w:rFonts w:ascii="Arial" w:hAnsi="Arial" w:cs="Arial"/>
                <w:sz w:val="16"/>
              </w:rPr>
              <w:t>1,052,395</w:t>
            </w:r>
          </w:p>
        </w:tc>
        <w:tc>
          <w:tcPr>
            <w:tcW w:w="851"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163,041</w:t>
            </w:r>
          </w:p>
        </w:tc>
        <w:tc>
          <w:tcPr>
            <w:tcW w:w="850"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857,533</w:t>
            </w:r>
          </w:p>
        </w:tc>
      </w:tr>
    </w:tbl>
    <w:p w:rsidR="002B5A16" w:rsidRPr="00AF6856" w:rsidRDefault="002B5A16" w:rsidP="002B5A16">
      <w:pPr>
        <w:rPr>
          <w:rFonts w:ascii="Arial" w:hAnsi="Arial" w:cs="Arial"/>
        </w:rPr>
      </w:pPr>
      <w:r w:rsidRPr="00AF6856">
        <w:rPr>
          <w:rFonts w:ascii="Arial" w:hAnsi="Arial" w:cs="Arial"/>
          <w:sz w:val="18"/>
          <w:szCs w:val="18"/>
        </w:rPr>
        <w:t>Source: DAF Proposals and final budget spreadsheets</w:t>
      </w:r>
    </w:p>
    <w:p w:rsidR="002B5A16" w:rsidRDefault="002B5A16">
      <w:pPr>
        <w:rPr>
          <w:rFonts w:ascii="Arial" w:hAnsi="Arial" w:cs="Arial"/>
        </w:rPr>
      </w:pPr>
      <w:r>
        <w:rPr>
          <w:rFonts w:ascii="Arial" w:hAnsi="Arial" w:cs="Arial"/>
        </w:rPr>
        <w:br w:type="page"/>
      </w:r>
    </w:p>
    <w:p w:rsidR="00EB01F3" w:rsidRDefault="002B5A16" w:rsidP="00EB01F3">
      <w:pPr>
        <w:ind w:right="-612"/>
        <w:jc w:val="center"/>
        <w:rPr>
          <w:rFonts w:ascii="Arial" w:hAnsi="Arial" w:cs="Arial"/>
        </w:rPr>
      </w:pPr>
      <w:bookmarkStart w:id="473" w:name="_Toc487091288"/>
      <w:r w:rsidRPr="009340D9">
        <w:rPr>
          <w:rFonts w:ascii="Arial" w:hAnsi="Arial" w:cs="Arial"/>
        </w:rPr>
        <w:t xml:space="preserve">Table </w:t>
      </w:r>
      <w:r w:rsidR="00913E1D">
        <w:rPr>
          <w:rFonts w:ascii="Arial" w:hAnsi="Arial" w:cs="Arial"/>
        </w:rPr>
        <w:t>14</w:t>
      </w:r>
      <w:r w:rsidRPr="009340D9">
        <w:rPr>
          <w:rFonts w:ascii="Arial" w:hAnsi="Arial" w:cs="Arial"/>
        </w:rPr>
        <w:t xml:space="preserve">: Investment by Researchers and Others in the </w:t>
      </w:r>
      <w:r>
        <w:rPr>
          <w:rFonts w:ascii="Arial" w:hAnsi="Arial" w:cs="Arial"/>
        </w:rPr>
        <w:t xml:space="preserve">Sweetpotato </w:t>
      </w:r>
      <w:r w:rsidRPr="009340D9">
        <w:rPr>
          <w:rFonts w:ascii="Arial" w:hAnsi="Arial" w:cs="Arial"/>
        </w:rPr>
        <w:t xml:space="preserve">R&amp;D </w:t>
      </w:r>
      <w:r>
        <w:rPr>
          <w:rFonts w:ascii="Arial" w:hAnsi="Arial" w:cs="Arial"/>
        </w:rPr>
        <w:t xml:space="preserve">Cluster </w:t>
      </w:r>
      <w:r w:rsidRPr="009340D9">
        <w:rPr>
          <w:rFonts w:ascii="Arial" w:hAnsi="Arial" w:cs="Arial"/>
        </w:rPr>
        <w:t xml:space="preserve">for </w:t>
      </w:r>
    </w:p>
    <w:p w:rsidR="002B5A16" w:rsidRDefault="002B5A16" w:rsidP="002B5A16">
      <w:pPr>
        <w:spacing w:after="200"/>
        <w:ind w:right="-612"/>
        <w:jc w:val="center"/>
        <w:rPr>
          <w:rFonts w:ascii="Arial" w:hAnsi="Arial" w:cs="Arial"/>
        </w:rPr>
      </w:pPr>
      <w:r w:rsidRPr="009340D9">
        <w:rPr>
          <w:rFonts w:ascii="Arial" w:hAnsi="Arial" w:cs="Arial"/>
        </w:rPr>
        <w:t xml:space="preserve">Years Ending June </w:t>
      </w:r>
      <w:r>
        <w:rPr>
          <w:rFonts w:ascii="Arial" w:hAnsi="Arial" w:cs="Arial"/>
        </w:rPr>
        <w:t>1998</w:t>
      </w:r>
      <w:r w:rsidRPr="009340D9">
        <w:rPr>
          <w:rFonts w:ascii="Arial" w:hAnsi="Arial" w:cs="Arial"/>
        </w:rPr>
        <w:t xml:space="preserve"> to June 201</w:t>
      </w:r>
      <w:r>
        <w:rPr>
          <w:rFonts w:ascii="Arial" w:hAnsi="Arial" w:cs="Arial"/>
        </w:rPr>
        <w:t>8</w:t>
      </w:r>
      <w:r w:rsidRPr="009340D9">
        <w:rPr>
          <w:rFonts w:ascii="Arial" w:hAnsi="Arial" w:cs="Arial"/>
        </w:rPr>
        <w:t xml:space="preserve"> (nominal $)</w:t>
      </w:r>
      <w:bookmarkEnd w:id="473"/>
    </w:p>
    <w:tbl>
      <w:tblPr>
        <w:tblStyle w:val="TableGrid"/>
        <w:tblW w:w="9738" w:type="dxa"/>
        <w:jc w:val="center"/>
        <w:tblLayout w:type="fixed"/>
        <w:tblLook w:val="04A0" w:firstRow="1" w:lastRow="0" w:firstColumn="1" w:lastColumn="0" w:noHBand="0" w:noVBand="1"/>
      </w:tblPr>
      <w:tblGrid>
        <w:gridCol w:w="661"/>
        <w:gridCol w:w="812"/>
        <w:gridCol w:w="812"/>
        <w:gridCol w:w="813"/>
        <w:gridCol w:w="812"/>
        <w:gridCol w:w="867"/>
        <w:gridCol w:w="850"/>
        <w:gridCol w:w="720"/>
        <w:gridCol w:w="812"/>
        <w:gridCol w:w="812"/>
        <w:gridCol w:w="812"/>
        <w:gridCol w:w="955"/>
      </w:tblGrid>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Year</w:t>
            </w:r>
          </w:p>
        </w:tc>
        <w:tc>
          <w:tcPr>
            <w:tcW w:w="812" w:type="dxa"/>
          </w:tcPr>
          <w:p w:rsidR="002B5A16" w:rsidRPr="003A74F8" w:rsidRDefault="002B5A16" w:rsidP="002B5A16">
            <w:pPr>
              <w:rPr>
                <w:rFonts w:ascii="Arial" w:hAnsi="Arial" w:cs="Arial"/>
                <w:sz w:val="16"/>
              </w:rPr>
            </w:pPr>
            <w:r w:rsidRPr="003A74F8">
              <w:rPr>
                <w:rFonts w:ascii="Arial" w:hAnsi="Arial" w:cs="Arial"/>
                <w:sz w:val="16"/>
              </w:rPr>
              <w:t>VG97023</w:t>
            </w:r>
          </w:p>
        </w:tc>
        <w:tc>
          <w:tcPr>
            <w:tcW w:w="812" w:type="dxa"/>
          </w:tcPr>
          <w:p w:rsidR="002B5A16" w:rsidRPr="003A74F8" w:rsidRDefault="002B5A16" w:rsidP="002B5A16">
            <w:pPr>
              <w:rPr>
                <w:rFonts w:ascii="Arial" w:hAnsi="Arial" w:cs="Arial"/>
                <w:sz w:val="16"/>
              </w:rPr>
            </w:pPr>
            <w:r w:rsidRPr="003A74F8">
              <w:rPr>
                <w:rFonts w:ascii="Arial" w:hAnsi="Arial" w:cs="Arial"/>
                <w:sz w:val="16"/>
              </w:rPr>
              <w:t>VG01010</w:t>
            </w:r>
          </w:p>
        </w:tc>
        <w:tc>
          <w:tcPr>
            <w:tcW w:w="813" w:type="dxa"/>
          </w:tcPr>
          <w:p w:rsidR="002B5A16" w:rsidRPr="003A74F8" w:rsidRDefault="002B5A16" w:rsidP="002B5A16">
            <w:pPr>
              <w:rPr>
                <w:rFonts w:ascii="Arial" w:hAnsi="Arial" w:cs="Arial"/>
                <w:sz w:val="16"/>
              </w:rPr>
            </w:pPr>
            <w:r w:rsidRPr="003A74F8">
              <w:rPr>
                <w:rFonts w:ascii="Arial" w:hAnsi="Arial" w:cs="Arial"/>
                <w:sz w:val="16"/>
              </w:rPr>
              <w:t>VG02114</w:t>
            </w:r>
          </w:p>
        </w:tc>
        <w:tc>
          <w:tcPr>
            <w:tcW w:w="812" w:type="dxa"/>
          </w:tcPr>
          <w:p w:rsidR="002B5A16" w:rsidRPr="003A74F8" w:rsidRDefault="002B5A16" w:rsidP="002B5A16">
            <w:pPr>
              <w:rPr>
                <w:rFonts w:ascii="Arial" w:hAnsi="Arial" w:cs="Arial"/>
                <w:sz w:val="16"/>
              </w:rPr>
            </w:pPr>
            <w:r w:rsidRPr="003A74F8">
              <w:rPr>
                <w:rFonts w:ascii="Arial" w:hAnsi="Arial" w:cs="Arial"/>
                <w:sz w:val="16"/>
              </w:rPr>
              <w:t>VG05037</w:t>
            </w:r>
          </w:p>
        </w:tc>
        <w:tc>
          <w:tcPr>
            <w:tcW w:w="867" w:type="dxa"/>
          </w:tcPr>
          <w:p w:rsidR="002B5A16" w:rsidRPr="003A74F8" w:rsidRDefault="002B5A16" w:rsidP="002B5A16">
            <w:pPr>
              <w:rPr>
                <w:rFonts w:ascii="Arial" w:hAnsi="Arial" w:cs="Arial"/>
                <w:sz w:val="16"/>
              </w:rPr>
            </w:pPr>
            <w:r w:rsidRPr="003A74F8">
              <w:rPr>
                <w:rFonts w:ascii="Arial" w:hAnsi="Arial" w:cs="Arial"/>
                <w:sz w:val="16"/>
              </w:rPr>
              <w:t>CP2004-071</w:t>
            </w:r>
          </w:p>
        </w:tc>
        <w:tc>
          <w:tcPr>
            <w:tcW w:w="850" w:type="dxa"/>
          </w:tcPr>
          <w:p w:rsidR="002B5A16" w:rsidRPr="003A74F8" w:rsidRDefault="002B5A16" w:rsidP="002B5A16">
            <w:pPr>
              <w:rPr>
                <w:rFonts w:ascii="Arial" w:hAnsi="Arial" w:cs="Arial"/>
                <w:sz w:val="16"/>
              </w:rPr>
            </w:pPr>
            <w:r>
              <w:rPr>
                <w:rFonts w:ascii="Arial" w:hAnsi="Arial" w:cs="Arial"/>
                <w:sz w:val="16"/>
              </w:rPr>
              <w:t>CP</w:t>
            </w:r>
            <w:r w:rsidRPr="003A74F8">
              <w:rPr>
                <w:rFonts w:ascii="Arial" w:hAnsi="Arial" w:cs="Arial"/>
                <w:sz w:val="16"/>
              </w:rPr>
              <w:t>2005-134</w:t>
            </w:r>
          </w:p>
        </w:tc>
        <w:tc>
          <w:tcPr>
            <w:tcW w:w="720" w:type="dxa"/>
          </w:tcPr>
          <w:p w:rsidR="002B5A16" w:rsidRPr="003A74F8" w:rsidRDefault="002B5A16" w:rsidP="002B5A16">
            <w:pPr>
              <w:rPr>
                <w:rFonts w:ascii="Arial" w:hAnsi="Arial" w:cs="Arial"/>
                <w:sz w:val="16"/>
              </w:rPr>
            </w:pPr>
            <w:r w:rsidRPr="003A74F8">
              <w:rPr>
                <w:rFonts w:ascii="Arial" w:hAnsi="Arial" w:cs="Arial"/>
                <w:sz w:val="16"/>
              </w:rPr>
              <w:t>08-14329</w:t>
            </w:r>
          </w:p>
        </w:tc>
        <w:tc>
          <w:tcPr>
            <w:tcW w:w="812" w:type="dxa"/>
          </w:tcPr>
          <w:p w:rsidR="002B5A16" w:rsidRPr="003A74F8" w:rsidRDefault="002B5A16" w:rsidP="002B5A16">
            <w:pPr>
              <w:rPr>
                <w:rFonts w:ascii="Arial" w:hAnsi="Arial" w:cs="Arial"/>
                <w:sz w:val="16"/>
              </w:rPr>
            </w:pPr>
            <w:r w:rsidRPr="003A74F8">
              <w:rPr>
                <w:rFonts w:ascii="Arial" w:hAnsi="Arial" w:cs="Arial"/>
                <w:sz w:val="16"/>
              </w:rPr>
              <w:t>VG09009</w:t>
            </w:r>
          </w:p>
        </w:tc>
        <w:tc>
          <w:tcPr>
            <w:tcW w:w="812" w:type="dxa"/>
          </w:tcPr>
          <w:p w:rsidR="002B5A16" w:rsidRPr="003A74F8" w:rsidRDefault="002B5A16" w:rsidP="002B5A16">
            <w:pPr>
              <w:rPr>
                <w:rFonts w:ascii="Arial" w:hAnsi="Arial" w:cs="Arial"/>
                <w:sz w:val="16"/>
              </w:rPr>
            </w:pPr>
            <w:r w:rsidRPr="003A74F8">
              <w:rPr>
                <w:rFonts w:ascii="Arial" w:hAnsi="Arial" w:cs="Arial"/>
                <w:sz w:val="16"/>
              </w:rPr>
              <w:t>VG09052</w:t>
            </w:r>
          </w:p>
        </w:tc>
        <w:tc>
          <w:tcPr>
            <w:tcW w:w="812" w:type="dxa"/>
          </w:tcPr>
          <w:p w:rsidR="002B5A16" w:rsidRPr="003A74F8" w:rsidRDefault="002B5A16" w:rsidP="002B5A16">
            <w:pPr>
              <w:rPr>
                <w:rFonts w:ascii="Arial" w:hAnsi="Arial" w:cs="Arial"/>
                <w:sz w:val="16"/>
              </w:rPr>
            </w:pPr>
            <w:r w:rsidRPr="003A74F8">
              <w:rPr>
                <w:rFonts w:ascii="Arial" w:hAnsi="Arial" w:cs="Arial"/>
                <w:sz w:val="16"/>
              </w:rPr>
              <w:t>PC2011-053</w:t>
            </w:r>
          </w:p>
        </w:tc>
        <w:tc>
          <w:tcPr>
            <w:tcW w:w="955" w:type="dxa"/>
          </w:tcPr>
          <w:p w:rsidR="002B5A16" w:rsidRPr="003A74F8" w:rsidRDefault="002B5A16" w:rsidP="002B5A16">
            <w:pPr>
              <w:rPr>
                <w:rFonts w:ascii="Arial" w:hAnsi="Arial" w:cs="Arial"/>
                <w:sz w:val="16"/>
              </w:rPr>
            </w:pPr>
            <w:r w:rsidRPr="003A74F8">
              <w:rPr>
                <w:rFonts w:ascii="Arial" w:hAnsi="Arial" w:cs="Arial"/>
                <w:sz w:val="16"/>
              </w:rPr>
              <w:t>VG13004</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1998</w:t>
            </w:r>
          </w:p>
        </w:tc>
        <w:tc>
          <w:tcPr>
            <w:tcW w:w="812" w:type="dxa"/>
          </w:tcPr>
          <w:p w:rsidR="002B5A16" w:rsidRPr="003A74F8" w:rsidRDefault="002B5A16" w:rsidP="002B5A16">
            <w:pPr>
              <w:jc w:val="right"/>
              <w:rPr>
                <w:rFonts w:ascii="Arial" w:hAnsi="Arial" w:cs="Arial"/>
                <w:sz w:val="16"/>
              </w:rPr>
            </w:pPr>
            <w:r>
              <w:rPr>
                <w:rFonts w:ascii="Arial" w:hAnsi="Arial" w:cs="Arial"/>
                <w:sz w:val="16"/>
              </w:rPr>
              <w:t>34,175</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1999</w:t>
            </w:r>
          </w:p>
        </w:tc>
        <w:tc>
          <w:tcPr>
            <w:tcW w:w="812" w:type="dxa"/>
          </w:tcPr>
          <w:p w:rsidR="002B5A16" w:rsidRPr="003A74F8" w:rsidRDefault="002B5A16" w:rsidP="002B5A16">
            <w:pPr>
              <w:jc w:val="right"/>
              <w:rPr>
                <w:rFonts w:ascii="Arial" w:hAnsi="Arial" w:cs="Arial"/>
                <w:sz w:val="16"/>
              </w:rPr>
            </w:pPr>
            <w:r>
              <w:rPr>
                <w:rFonts w:ascii="Arial" w:hAnsi="Arial" w:cs="Arial"/>
                <w:sz w:val="16"/>
              </w:rPr>
              <w:t>31,108</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2000</w:t>
            </w:r>
          </w:p>
        </w:tc>
        <w:tc>
          <w:tcPr>
            <w:tcW w:w="812" w:type="dxa"/>
          </w:tcPr>
          <w:p w:rsidR="002B5A16" w:rsidRPr="003A74F8" w:rsidRDefault="002B5A16" w:rsidP="002B5A16">
            <w:pPr>
              <w:jc w:val="right"/>
              <w:rPr>
                <w:rFonts w:ascii="Arial" w:hAnsi="Arial" w:cs="Arial"/>
                <w:sz w:val="16"/>
              </w:rPr>
            </w:pPr>
            <w:r>
              <w:rPr>
                <w:rFonts w:ascii="Arial" w:hAnsi="Arial" w:cs="Arial"/>
                <w:sz w:val="16"/>
              </w:rPr>
              <w:t>33,898</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2001</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2002</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128,357</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159,236</w:t>
            </w:r>
          </w:p>
        </w:tc>
        <w:tc>
          <w:tcPr>
            <w:tcW w:w="813" w:type="dxa"/>
          </w:tcPr>
          <w:p w:rsidR="002B5A16" w:rsidRPr="003A74F8" w:rsidRDefault="002B5A16" w:rsidP="002B5A16">
            <w:pPr>
              <w:jc w:val="right"/>
              <w:rPr>
                <w:rFonts w:ascii="Arial" w:hAnsi="Arial" w:cs="Arial"/>
                <w:sz w:val="16"/>
              </w:rPr>
            </w:pPr>
            <w:r>
              <w:rPr>
                <w:rFonts w:ascii="Arial" w:hAnsi="Arial" w:cs="Arial"/>
                <w:sz w:val="16"/>
              </w:rPr>
              <w:t>32,895</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2004</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153,092</w:t>
            </w:r>
          </w:p>
        </w:tc>
        <w:tc>
          <w:tcPr>
            <w:tcW w:w="813" w:type="dxa"/>
          </w:tcPr>
          <w:p w:rsidR="002B5A16" w:rsidRPr="003A74F8" w:rsidRDefault="002B5A16" w:rsidP="002B5A16">
            <w:pPr>
              <w:jc w:val="right"/>
              <w:rPr>
                <w:rFonts w:ascii="Arial" w:hAnsi="Arial" w:cs="Arial"/>
                <w:sz w:val="16"/>
              </w:rPr>
            </w:pPr>
            <w:r>
              <w:rPr>
                <w:rFonts w:ascii="Arial" w:hAnsi="Arial" w:cs="Arial"/>
                <w:sz w:val="16"/>
              </w:rPr>
              <w:t>45,425</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2005</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134,975</w:t>
            </w:r>
          </w:p>
        </w:tc>
        <w:tc>
          <w:tcPr>
            <w:tcW w:w="813" w:type="dxa"/>
          </w:tcPr>
          <w:p w:rsidR="002B5A16" w:rsidRPr="003A74F8" w:rsidRDefault="002B5A16" w:rsidP="002B5A16">
            <w:pPr>
              <w:jc w:val="right"/>
              <w:rPr>
                <w:rFonts w:ascii="Arial" w:hAnsi="Arial" w:cs="Arial"/>
                <w:sz w:val="16"/>
              </w:rPr>
            </w:pPr>
            <w:r>
              <w:rPr>
                <w:rFonts w:ascii="Arial" w:hAnsi="Arial" w:cs="Arial"/>
                <w:sz w:val="16"/>
              </w:rPr>
              <w:t>45,180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2006</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17,005</w:t>
            </w:r>
          </w:p>
        </w:tc>
        <w:tc>
          <w:tcPr>
            <w:tcW w:w="812" w:type="dxa"/>
          </w:tcPr>
          <w:p w:rsidR="002B5A16" w:rsidRPr="003A74F8" w:rsidRDefault="002B5A16" w:rsidP="002B5A16">
            <w:pPr>
              <w:jc w:val="right"/>
              <w:rPr>
                <w:rFonts w:ascii="Arial" w:hAnsi="Arial" w:cs="Arial"/>
                <w:sz w:val="16"/>
              </w:rPr>
            </w:pPr>
            <w:r>
              <w:rPr>
                <w:rFonts w:ascii="Arial" w:hAnsi="Arial" w:cs="Arial"/>
                <w:sz w:val="16"/>
              </w:rPr>
              <w:t>83,041</w:t>
            </w:r>
          </w:p>
        </w:tc>
        <w:tc>
          <w:tcPr>
            <w:tcW w:w="867" w:type="dxa"/>
          </w:tcPr>
          <w:p w:rsidR="002B5A16" w:rsidRPr="003A74F8" w:rsidRDefault="002B5A16" w:rsidP="002B5A16">
            <w:pPr>
              <w:jc w:val="right"/>
              <w:rPr>
                <w:rFonts w:ascii="Arial" w:hAnsi="Arial" w:cs="Arial"/>
                <w:sz w:val="16"/>
              </w:rPr>
            </w:pPr>
            <w:r>
              <w:rPr>
                <w:rFonts w:ascii="Arial" w:hAnsi="Arial" w:cs="Arial"/>
                <w:sz w:val="16"/>
              </w:rPr>
              <w:t>99,779</w:t>
            </w:r>
          </w:p>
        </w:tc>
        <w:tc>
          <w:tcPr>
            <w:tcW w:w="850" w:type="dxa"/>
          </w:tcPr>
          <w:p w:rsidR="002B5A16" w:rsidRPr="003A74F8" w:rsidRDefault="002B5A16" w:rsidP="002B5A16">
            <w:pPr>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2007</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125,929</w:t>
            </w:r>
          </w:p>
        </w:tc>
        <w:tc>
          <w:tcPr>
            <w:tcW w:w="867" w:type="dxa"/>
          </w:tcPr>
          <w:p w:rsidR="002B5A16" w:rsidRPr="003A74F8" w:rsidRDefault="002B5A16" w:rsidP="002B5A16">
            <w:pPr>
              <w:jc w:val="right"/>
              <w:rPr>
                <w:rFonts w:ascii="Arial" w:hAnsi="Arial" w:cs="Arial"/>
                <w:sz w:val="16"/>
              </w:rPr>
            </w:pPr>
            <w:r>
              <w:rPr>
                <w:rFonts w:ascii="Arial" w:hAnsi="Arial" w:cs="Arial"/>
                <w:sz w:val="16"/>
              </w:rPr>
              <w:t>295,589</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359,939</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2008</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126,355</w:t>
            </w:r>
          </w:p>
        </w:tc>
        <w:tc>
          <w:tcPr>
            <w:tcW w:w="867" w:type="dxa"/>
          </w:tcPr>
          <w:p w:rsidR="002B5A16" w:rsidRPr="003A74F8" w:rsidRDefault="002B5A16" w:rsidP="002B5A16">
            <w:pPr>
              <w:jc w:val="right"/>
              <w:rPr>
                <w:rFonts w:ascii="Arial" w:hAnsi="Arial" w:cs="Arial"/>
                <w:sz w:val="16"/>
              </w:rPr>
            </w:pPr>
            <w:r>
              <w:rPr>
                <w:rFonts w:ascii="Arial" w:hAnsi="Arial" w:cs="Arial"/>
                <w:sz w:val="16"/>
              </w:rPr>
              <w:t>268,896</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226,823</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2009</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63,373</w:t>
            </w:r>
          </w:p>
        </w:tc>
        <w:tc>
          <w:tcPr>
            <w:tcW w:w="867" w:type="dxa"/>
          </w:tcPr>
          <w:p w:rsidR="002B5A16" w:rsidRPr="003A74F8" w:rsidRDefault="002B5A16" w:rsidP="002B5A16">
            <w:pPr>
              <w:jc w:val="right"/>
              <w:rPr>
                <w:rFonts w:ascii="Arial" w:hAnsi="Arial" w:cs="Arial"/>
                <w:sz w:val="16"/>
              </w:rPr>
            </w:pPr>
            <w:r>
              <w:rPr>
                <w:rFonts w:ascii="Arial" w:hAnsi="Arial" w:cs="Arial"/>
                <w:sz w:val="16"/>
              </w:rPr>
              <w:t>258,439</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217,922</w:t>
            </w:r>
          </w:p>
        </w:tc>
        <w:tc>
          <w:tcPr>
            <w:tcW w:w="720" w:type="dxa"/>
          </w:tcPr>
          <w:p w:rsidR="002B5A16" w:rsidRPr="003A74F8" w:rsidRDefault="002B5A16" w:rsidP="002B5A16">
            <w:pPr>
              <w:jc w:val="right"/>
              <w:rPr>
                <w:rFonts w:ascii="Arial" w:hAnsi="Arial" w:cs="Arial"/>
                <w:sz w:val="16"/>
              </w:rPr>
            </w:pPr>
            <w:r>
              <w:rPr>
                <w:rFonts w:ascii="Arial" w:hAnsi="Arial" w:cs="Arial"/>
                <w:sz w:val="16"/>
              </w:rPr>
              <w:t>22,818</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63,372</w:t>
            </w:r>
          </w:p>
        </w:tc>
        <w:tc>
          <w:tcPr>
            <w:tcW w:w="867" w:type="dxa"/>
          </w:tcPr>
          <w:p w:rsidR="002B5A16" w:rsidRPr="003A74F8" w:rsidRDefault="002B5A16" w:rsidP="002B5A16">
            <w:pPr>
              <w:jc w:val="right"/>
              <w:rPr>
                <w:rFonts w:ascii="Arial" w:hAnsi="Arial" w:cs="Arial"/>
                <w:sz w:val="16"/>
              </w:rPr>
            </w:pPr>
            <w:r>
              <w:rPr>
                <w:rFonts w:ascii="Arial" w:hAnsi="Arial" w:cs="Arial"/>
                <w:sz w:val="16"/>
              </w:rPr>
              <w:t>144,460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214,907</w:t>
            </w:r>
          </w:p>
        </w:tc>
        <w:tc>
          <w:tcPr>
            <w:tcW w:w="720" w:type="dxa"/>
          </w:tcPr>
          <w:p w:rsidR="002B5A16" w:rsidRPr="003A74F8" w:rsidRDefault="002B5A16" w:rsidP="002B5A16">
            <w:pPr>
              <w:jc w:val="right"/>
              <w:rPr>
                <w:rFonts w:ascii="Arial" w:hAnsi="Arial" w:cs="Arial"/>
                <w:sz w:val="16"/>
              </w:rPr>
            </w:pPr>
            <w:r>
              <w:rPr>
                <w:rFonts w:ascii="Arial" w:hAnsi="Arial" w:cs="Arial"/>
                <w:sz w:val="16"/>
              </w:rPr>
              <w:t>2,711</w:t>
            </w:r>
          </w:p>
        </w:tc>
        <w:tc>
          <w:tcPr>
            <w:tcW w:w="812" w:type="dxa"/>
          </w:tcPr>
          <w:p w:rsidR="002B5A16" w:rsidRPr="003A74F8" w:rsidRDefault="002B5A16" w:rsidP="002B5A16">
            <w:pPr>
              <w:jc w:val="right"/>
              <w:rPr>
                <w:rFonts w:ascii="Arial" w:hAnsi="Arial" w:cs="Arial"/>
                <w:sz w:val="16"/>
              </w:rPr>
            </w:pPr>
            <w:r>
              <w:rPr>
                <w:rFonts w:ascii="Arial" w:hAnsi="Arial" w:cs="Arial"/>
                <w:sz w:val="16"/>
              </w:rPr>
              <w:t>106,080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2011</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315,892</w:t>
            </w:r>
          </w:p>
        </w:tc>
        <w:tc>
          <w:tcPr>
            <w:tcW w:w="812" w:type="dxa"/>
          </w:tcPr>
          <w:p w:rsidR="002B5A16" w:rsidRPr="003A74F8" w:rsidRDefault="002B5A16" w:rsidP="002B5A16">
            <w:pPr>
              <w:jc w:val="right"/>
              <w:rPr>
                <w:rFonts w:ascii="Arial" w:hAnsi="Arial" w:cs="Arial"/>
                <w:sz w:val="16"/>
              </w:rPr>
            </w:pPr>
            <w:r>
              <w:rPr>
                <w:rFonts w:ascii="Arial" w:hAnsi="Arial" w:cs="Arial"/>
                <w:sz w:val="16"/>
              </w:rPr>
              <w:t>263,683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2012</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246,601</w:t>
            </w:r>
          </w:p>
        </w:tc>
        <w:tc>
          <w:tcPr>
            <w:tcW w:w="812" w:type="dxa"/>
          </w:tcPr>
          <w:p w:rsidR="002B5A16" w:rsidRPr="003A74F8" w:rsidRDefault="002B5A16" w:rsidP="002B5A16">
            <w:pPr>
              <w:jc w:val="right"/>
              <w:rPr>
                <w:rFonts w:ascii="Arial" w:hAnsi="Arial" w:cs="Arial"/>
                <w:sz w:val="16"/>
              </w:rPr>
            </w:pPr>
            <w:r>
              <w:rPr>
                <w:rFonts w:ascii="Arial" w:hAnsi="Arial" w:cs="Arial"/>
                <w:sz w:val="16"/>
              </w:rPr>
              <w:t>225,733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2013</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205,207</w:t>
            </w:r>
          </w:p>
        </w:tc>
        <w:tc>
          <w:tcPr>
            <w:tcW w:w="812" w:type="dxa"/>
          </w:tcPr>
          <w:p w:rsidR="002B5A16" w:rsidRPr="003A74F8" w:rsidRDefault="002B5A16" w:rsidP="002B5A16">
            <w:pPr>
              <w:jc w:val="right"/>
              <w:rPr>
                <w:rFonts w:ascii="Arial" w:hAnsi="Arial" w:cs="Arial"/>
                <w:sz w:val="16"/>
              </w:rPr>
            </w:pPr>
            <w:r>
              <w:rPr>
                <w:rFonts w:ascii="Arial" w:hAnsi="Arial" w:cs="Arial"/>
                <w:sz w:val="16"/>
              </w:rPr>
              <w:t>13,633</w:t>
            </w:r>
          </w:p>
        </w:tc>
        <w:tc>
          <w:tcPr>
            <w:tcW w:w="812" w:type="dxa"/>
          </w:tcPr>
          <w:p w:rsidR="002B5A16" w:rsidRPr="003A74F8" w:rsidRDefault="002B5A16" w:rsidP="002B5A16">
            <w:pPr>
              <w:jc w:val="right"/>
              <w:rPr>
                <w:rFonts w:ascii="Arial" w:hAnsi="Arial" w:cs="Arial"/>
                <w:sz w:val="16"/>
              </w:rPr>
            </w:pPr>
            <w:r>
              <w:rPr>
                <w:rFonts w:ascii="Arial" w:hAnsi="Arial" w:cs="Arial"/>
                <w:sz w:val="16"/>
              </w:rPr>
              <w:t>327,656</w:t>
            </w:r>
          </w:p>
        </w:tc>
        <w:tc>
          <w:tcPr>
            <w:tcW w:w="955" w:type="dxa"/>
          </w:tcPr>
          <w:p w:rsidR="002B5A16" w:rsidRPr="003A74F8" w:rsidRDefault="002B5A16" w:rsidP="002B5A16">
            <w:pPr>
              <w:jc w:val="right"/>
              <w:rPr>
                <w:rFonts w:ascii="Arial" w:hAnsi="Arial" w:cs="Arial"/>
                <w:sz w:val="16"/>
              </w:rPr>
            </w:pPr>
            <w:r>
              <w:rPr>
                <w:rFonts w:ascii="Arial" w:hAnsi="Arial" w:cs="Arial"/>
                <w:sz w:val="16"/>
              </w:rPr>
              <w:t>0</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2014</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77,180</w:t>
            </w:r>
          </w:p>
        </w:tc>
        <w:tc>
          <w:tcPr>
            <w:tcW w:w="812" w:type="dxa"/>
          </w:tcPr>
          <w:p w:rsidR="002B5A16" w:rsidRPr="003A74F8" w:rsidRDefault="002B5A16" w:rsidP="002B5A16">
            <w:pPr>
              <w:jc w:val="right"/>
              <w:rPr>
                <w:rFonts w:ascii="Arial" w:hAnsi="Arial" w:cs="Arial"/>
                <w:sz w:val="16"/>
              </w:rPr>
            </w:pPr>
            <w:r>
              <w:rPr>
                <w:rFonts w:ascii="Arial" w:hAnsi="Arial" w:cs="Arial"/>
                <w:sz w:val="16"/>
              </w:rPr>
              <w:t>13,633</w:t>
            </w:r>
          </w:p>
        </w:tc>
        <w:tc>
          <w:tcPr>
            <w:tcW w:w="812" w:type="dxa"/>
          </w:tcPr>
          <w:p w:rsidR="002B5A16" w:rsidRPr="003A74F8" w:rsidRDefault="002B5A16" w:rsidP="002B5A16">
            <w:pPr>
              <w:jc w:val="right"/>
              <w:rPr>
                <w:rFonts w:ascii="Arial" w:hAnsi="Arial" w:cs="Arial"/>
                <w:sz w:val="16"/>
              </w:rPr>
            </w:pPr>
            <w:r>
              <w:rPr>
                <w:rFonts w:ascii="Arial" w:hAnsi="Arial" w:cs="Arial"/>
                <w:sz w:val="16"/>
              </w:rPr>
              <w:t>430,373</w:t>
            </w:r>
          </w:p>
        </w:tc>
        <w:tc>
          <w:tcPr>
            <w:tcW w:w="955" w:type="dxa"/>
          </w:tcPr>
          <w:p w:rsidR="002B5A16" w:rsidRPr="003A74F8" w:rsidRDefault="002B5A16" w:rsidP="002B5A16">
            <w:pPr>
              <w:jc w:val="right"/>
              <w:rPr>
                <w:rFonts w:ascii="Arial" w:hAnsi="Arial" w:cs="Arial"/>
                <w:sz w:val="16"/>
              </w:rPr>
            </w:pPr>
            <w:r>
              <w:rPr>
                <w:rFonts w:ascii="Arial" w:hAnsi="Arial" w:cs="Arial"/>
                <w:sz w:val="16"/>
              </w:rPr>
              <w:t>76,096</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2015</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85,425</w:t>
            </w:r>
          </w:p>
        </w:tc>
        <w:tc>
          <w:tcPr>
            <w:tcW w:w="955" w:type="dxa"/>
          </w:tcPr>
          <w:p w:rsidR="002B5A16" w:rsidRPr="003A74F8" w:rsidRDefault="002B5A16" w:rsidP="002B5A16">
            <w:pPr>
              <w:jc w:val="right"/>
              <w:rPr>
                <w:rFonts w:ascii="Arial" w:hAnsi="Arial" w:cs="Arial"/>
                <w:sz w:val="16"/>
              </w:rPr>
            </w:pPr>
            <w:r>
              <w:rPr>
                <w:rFonts w:ascii="Arial" w:hAnsi="Arial" w:cs="Arial"/>
                <w:sz w:val="16"/>
              </w:rPr>
              <w:t>261,868</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2016</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273,425</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2017</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283,753</w:t>
            </w:r>
          </w:p>
        </w:tc>
      </w:tr>
      <w:tr w:rsidR="002B5A16" w:rsidRPr="003A74F8" w:rsidTr="00EB01F3">
        <w:trPr>
          <w:jc w:val="center"/>
        </w:trPr>
        <w:tc>
          <w:tcPr>
            <w:tcW w:w="661" w:type="dxa"/>
          </w:tcPr>
          <w:p w:rsidR="002B5A16" w:rsidRPr="003A74F8" w:rsidRDefault="002B5A16" w:rsidP="002B5A16">
            <w:pPr>
              <w:rPr>
                <w:rFonts w:ascii="Arial" w:hAnsi="Arial" w:cs="Arial"/>
                <w:sz w:val="16"/>
              </w:rPr>
            </w:pPr>
            <w:r w:rsidRPr="003A74F8">
              <w:rPr>
                <w:rFonts w:ascii="Arial" w:hAnsi="Arial" w:cs="Arial"/>
                <w:sz w:val="16"/>
              </w:rPr>
              <w:t>2018</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3"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67" w:type="dxa"/>
          </w:tcPr>
          <w:p w:rsidR="002B5A16" w:rsidRPr="003A74F8" w:rsidRDefault="002B5A16" w:rsidP="002B5A16">
            <w:pPr>
              <w:jc w:val="right"/>
              <w:rPr>
                <w:rFonts w:ascii="Arial" w:hAnsi="Arial" w:cs="Arial"/>
                <w:sz w:val="16"/>
              </w:rPr>
            </w:pPr>
            <w:r>
              <w:rPr>
                <w:rFonts w:ascii="Arial" w:hAnsi="Arial" w:cs="Arial"/>
                <w:sz w:val="16"/>
              </w:rPr>
              <w:t>0</w:t>
            </w:r>
          </w:p>
        </w:tc>
        <w:tc>
          <w:tcPr>
            <w:tcW w:w="850" w:type="dxa"/>
          </w:tcPr>
          <w:p w:rsidR="002B5A16" w:rsidRPr="003A74F8" w:rsidRDefault="002B5A16" w:rsidP="002B5A16">
            <w:pPr>
              <w:ind w:left="-108"/>
              <w:jc w:val="right"/>
              <w:rPr>
                <w:rFonts w:ascii="Arial" w:hAnsi="Arial" w:cs="Arial"/>
                <w:sz w:val="16"/>
              </w:rPr>
            </w:pPr>
            <w:r>
              <w:rPr>
                <w:rFonts w:ascii="Arial" w:hAnsi="Arial" w:cs="Arial"/>
                <w:sz w:val="16"/>
              </w:rPr>
              <w:t>0</w:t>
            </w:r>
          </w:p>
        </w:tc>
        <w:tc>
          <w:tcPr>
            <w:tcW w:w="720"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812" w:type="dxa"/>
          </w:tcPr>
          <w:p w:rsidR="002B5A16" w:rsidRPr="003A74F8" w:rsidRDefault="002B5A16" w:rsidP="002B5A16">
            <w:pPr>
              <w:jc w:val="right"/>
              <w:rPr>
                <w:rFonts w:ascii="Arial" w:hAnsi="Arial" w:cs="Arial"/>
                <w:sz w:val="16"/>
              </w:rPr>
            </w:pPr>
            <w:r>
              <w:rPr>
                <w:rFonts w:ascii="Arial" w:hAnsi="Arial" w:cs="Arial"/>
                <w:sz w:val="16"/>
              </w:rPr>
              <w:t>0</w:t>
            </w:r>
          </w:p>
        </w:tc>
        <w:tc>
          <w:tcPr>
            <w:tcW w:w="955" w:type="dxa"/>
          </w:tcPr>
          <w:p w:rsidR="002B5A16" w:rsidRPr="003A74F8" w:rsidRDefault="002B5A16" w:rsidP="002B5A16">
            <w:pPr>
              <w:jc w:val="right"/>
              <w:rPr>
                <w:rFonts w:ascii="Arial" w:hAnsi="Arial" w:cs="Arial"/>
                <w:sz w:val="16"/>
              </w:rPr>
            </w:pPr>
            <w:r>
              <w:rPr>
                <w:rFonts w:ascii="Arial" w:hAnsi="Arial" w:cs="Arial"/>
                <w:sz w:val="16"/>
              </w:rPr>
              <w:t>139,577</w:t>
            </w:r>
          </w:p>
        </w:tc>
      </w:tr>
      <w:tr w:rsidR="002B5A16" w:rsidRPr="003A74F8" w:rsidTr="00EB01F3">
        <w:trPr>
          <w:jc w:val="center"/>
        </w:trPr>
        <w:tc>
          <w:tcPr>
            <w:tcW w:w="661" w:type="dxa"/>
            <w:shd w:val="clear" w:color="auto" w:fill="D9D9D9" w:themeFill="background1" w:themeFillShade="D9"/>
          </w:tcPr>
          <w:p w:rsidR="002B5A16" w:rsidRPr="003A74F8" w:rsidRDefault="002B5A16" w:rsidP="002B5A16">
            <w:pPr>
              <w:rPr>
                <w:rFonts w:ascii="Arial" w:hAnsi="Arial" w:cs="Arial"/>
                <w:sz w:val="16"/>
              </w:rPr>
            </w:pPr>
            <w:r w:rsidRPr="003A74F8">
              <w:rPr>
                <w:rFonts w:ascii="Arial" w:hAnsi="Arial" w:cs="Arial"/>
                <w:sz w:val="16"/>
              </w:rPr>
              <w:t>Total</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99,181</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575,660</w:t>
            </w:r>
          </w:p>
        </w:tc>
        <w:tc>
          <w:tcPr>
            <w:tcW w:w="813"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140,505</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462,070</w:t>
            </w:r>
          </w:p>
        </w:tc>
        <w:tc>
          <w:tcPr>
            <w:tcW w:w="867" w:type="dxa"/>
            <w:shd w:val="clear" w:color="auto" w:fill="D9D9D9" w:themeFill="background1" w:themeFillShade="D9"/>
          </w:tcPr>
          <w:p w:rsidR="002B5A16" w:rsidRPr="003A74F8" w:rsidRDefault="002B5A16" w:rsidP="002B5A16">
            <w:pPr>
              <w:ind w:left="-92"/>
              <w:jc w:val="right"/>
              <w:rPr>
                <w:rFonts w:ascii="Arial" w:hAnsi="Arial" w:cs="Arial"/>
                <w:sz w:val="16"/>
              </w:rPr>
            </w:pPr>
            <w:r>
              <w:rPr>
                <w:rFonts w:ascii="Arial" w:hAnsi="Arial" w:cs="Arial"/>
                <w:sz w:val="16"/>
              </w:rPr>
              <w:t>1,067,164</w:t>
            </w:r>
          </w:p>
        </w:tc>
        <w:tc>
          <w:tcPr>
            <w:tcW w:w="850" w:type="dxa"/>
            <w:shd w:val="clear" w:color="auto" w:fill="D9D9D9" w:themeFill="background1" w:themeFillShade="D9"/>
          </w:tcPr>
          <w:p w:rsidR="002B5A16" w:rsidRPr="003A74F8" w:rsidRDefault="002B5A16" w:rsidP="002B5A16">
            <w:pPr>
              <w:ind w:left="-108"/>
              <w:jc w:val="right"/>
              <w:rPr>
                <w:rFonts w:ascii="Arial" w:hAnsi="Arial" w:cs="Arial"/>
                <w:sz w:val="16"/>
              </w:rPr>
            </w:pPr>
            <w:r>
              <w:rPr>
                <w:rFonts w:ascii="Arial" w:hAnsi="Arial" w:cs="Arial"/>
                <w:sz w:val="16"/>
              </w:rPr>
              <w:t>1,019,591</w:t>
            </w:r>
          </w:p>
        </w:tc>
        <w:tc>
          <w:tcPr>
            <w:tcW w:w="720"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25,529</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950,960</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516,681</w:t>
            </w:r>
          </w:p>
        </w:tc>
        <w:tc>
          <w:tcPr>
            <w:tcW w:w="812"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843,454</w:t>
            </w:r>
          </w:p>
        </w:tc>
        <w:tc>
          <w:tcPr>
            <w:tcW w:w="955" w:type="dxa"/>
            <w:shd w:val="clear" w:color="auto" w:fill="D9D9D9" w:themeFill="background1" w:themeFillShade="D9"/>
          </w:tcPr>
          <w:p w:rsidR="002B5A16" w:rsidRPr="003A74F8" w:rsidRDefault="002B5A16" w:rsidP="002B5A16">
            <w:pPr>
              <w:jc w:val="right"/>
              <w:rPr>
                <w:rFonts w:ascii="Arial" w:hAnsi="Arial" w:cs="Arial"/>
                <w:sz w:val="16"/>
              </w:rPr>
            </w:pPr>
            <w:r>
              <w:rPr>
                <w:rFonts w:ascii="Arial" w:hAnsi="Arial" w:cs="Arial"/>
                <w:sz w:val="16"/>
              </w:rPr>
              <w:t>1,034,719</w:t>
            </w:r>
          </w:p>
        </w:tc>
      </w:tr>
    </w:tbl>
    <w:p w:rsidR="002B5A16" w:rsidRPr="00AF6856" w:rsidRDefault="002B5A16" w:rsidP="002B5A16">
      <w:pPr>
        <w:rPr>
          <w:rFonts w:ascii="Arial" w:hAnsi="Arial" w:cs="Arial"/>
        </w:rPr>
      </w:pPr>
      <w:r w:rsidRPr="00AF6856">
        <w:rPr>
          <w:rFonts w:ascii="Arial" w:hAnsi="Arial" w:cs="Arial"/>
          <w:sz w:val="18"/>
          <w:szCs w:val="18"/>
        </w:rPr>
        <w:t>Source: DAF Proposals and final budget spreadsheets</w:t>
      </w:r>
    </w:p>
    <w:p w:rsidR="002B5A16" w:rsidRDefault="002B5A16" w:rsidP="002B5A16">
      <w:pPr>
        <w:rPr>
          <w:rFonts w:ascii="Arial" w:hAnsi="Arial" w:cs="Arial"/>
        </w:rPr>
      </w:pPr>
    </w:p>
    <w:p w:rsidR="00EB01F3" w:rsidRDefault="00EB01F3" w:rsidP="002B5A16">
      <w:pPr>
        <w:rPr>
          <w:rFonts w:ascii="Arial" w:hAnsi="Arial" w:cs="Arial"/>
        </w:rPr>
      </w:pPr>
    </w:p>
    <w:p w:rsidR="002B5A16" w:rsidRPr="00AF6856" w:rsidRDefault="002B5A16" w:rsidP="00AF6856">
      <w:pPr>
        <w:pStyle w:val="Caption"/>
        <w:spacing w:after="240"/>
        <w:jc w:val="center"/>
        <w:rPr>
          <w:rFonts w:ascii="Arial" w:hAnsi="Arial"/>
          <w:b w:val="0"/>
          <w:i/>
          <w:color w:val="000000" w:themeColor="text1"/>
          <w:sz w:val="22"/>
          <w:szCs w:val="22"/>
        </w:rPr>
      </w:pPr>
      <w:bookmarkStart w:id="474" w:name="_Toc487091289"/>
      <w:r w:rsidRPr="00EB01F3">
        <w:rPr>
          <w:rFonts w:ascii="Arial" w:hAnsi="Arial"/>
          <w:b w:val="0"/>
          <w:sz w:val="22"/>
          <w:szCs w:val="22"/>
        </w:rPr>
        <w:t xml:space="preserve">Table </w:t>
      </w:r>
      <w:r w:rsidR="00913E1D" w:rsidRPr="00EB01F3">
        <w:rPr>
          <w:rFonts w:ascii="Arial" w:hAnsi="Arial"/>
          <w:b w:val="0"/>
          <w:sz w:val="22"/>
          <w:szCs w:val="22"/>
        </w:rPr>
        <w:t>15</w:t>
      </w:r>
      <w:r w:rsidRPr="00EB01F3">
        <w:rPr>
          <w:rFonts w:ascii="Arial" w:hAnsi="Arial"/>
          <w:b w:val="0"/>
          <w:sz w:val="22"/>
          <w:szCs w:val="22"/>
        </w:rPr>
        <w:t xml:space="preserve">: </w:t>
      </w:r>
      <w:r w:rsidRPr="00EB01F3">
        <w:rPr>
          <w:rFonts w:ascii="Arial" w:hAnsi="Arial"/>
          <w:b w:val="0"/>
          <w:color w:val="000000" w:themeColor="text1"/>
          <w:sz w:val="22"/>
          <w:szCs w:val="22"/>
        </w:rPr>
        <w:t>A</w:t>
      </w:r>
      <w:r w:rsidRPr="00AF6856">
        <w:rPr>
          <w:rFonts w:ascii="Arial" w:hAnsi="Arial"/>
          <w:b w:val="0"/>
          <w:color w:val="000000" w:themeColor="text1"/>
          <w:sz w:val="22"/>
          <w:szCs w:val="22"/>
        </w:rPr>
        <w:t>nnual Investment in the Cluster (nominal $)</w:t>
      </w:r>
      <w:bookmarkEnd w:id="474"/>
    </w:p>
    <w:tbl>
      <w:tblPr>
        <w:tblW w:w="3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867"/>
        <w:gridCol w:w="1867"/>
        <w:gridCol w:w="1868"/>
      </w:tblGrid>
      <w:tr w:rsidR="002B5A16" w:rsidRPr="00B739B9" w:rsidTr="00AF6856">
        <w:trPr>
          <w:trHeight w:val="245"/>
          <w:jc w:val="center"/>
        </w:trPr>
        <w:tc>
          <w:tcPr>
            <w:tcW w:w="1039" w:type="pct"/>
            <w:shd w:val="clear" w:color="auto" w:fill="auto"/>
            <w:vAlign w:val="center"/>
            <w:hideMark/>
          </w:tcPr>
          <w:p w:rsidR="002B5A16" w:rsidRPr="00F45195" w:rsidRDefault="002B5A16" w:rsidP="00AF6856">
            <w:pPr>
              <w:jc w:val="center"/>
              <w:rPr>
                <w:rFonts w:ascii="Arial" w:hAnsi="Arial" w:cs="Arial"/>
                <w:b/>
                <w:bCs/>
                <w:lang w:eastAsia="en-AU"/>
              </w:rPr>
            </w:pPr>
            <w:r w:rsidRPr="00F45195">
              <w:rPr>
                <w:rFonts w:ascii="Arial" w:hAnsi="Arial" w:cs="Arial"/>
                <w:b/>
                <w:bCs/>
                <w:lang w:eastAsia="en-AU"/>
              </w:rPr>
              <w:t>Year ended 30</w:t>
            </w:r>
            <w:r w:rsidRPr="00F45195">
              <w:rPr>
                <w:rFonts w:ascii="Arial" w:hAnsi="Arial" w:cs="Arial"/>
                <w:b/>
                <w:bCs/>
                <w:vertAlign w:val="superscript"/>
                <w:lang w:eastAsia="en-AU"/>
              </w:rPr>
              <w:t>th</w:t>
            </w:r>
            <w:r w:rsidRPr="00F45195">
              <w:rPr>
                <w:rFonts w:ascii="Arial" w:hAnsi="Arial" w:cs="Arial"/>
                <w:b/>
                <w:bCs/>
                <w:lang w:eastAsia="en-AU"/>
              </w:rPr>
              <w:t xml:space="preserve"> June</w:t>
            </w:r>
          </w:p>
        </w:tc>
        <w:tc>
          <w:tcPr>
            <w:tcW w:w="1320" w:type="pct"/>
            <w:shd w:val="clear" w:color="auto" w:fill="auto"/>
            <w:hideMark/>
          </w:tcPr>
          <w:p w:rsidR="002B5A16" w:rsidRPr="00F45195" w:rsidRDefault="002B5A16" w:rsidP="00EB01F3">
            <w:pPr>
              <w:jc w:val="center"/>
              <w:rPr>
                <w:rFonts w:ascii="Arial" w:hAnsi="Arial" w:cs="Arial"/>
                <w:b/>
                <w:bCs/>
                <w:lang w:eastAsia="en-AU"/>
              </w:rPr>
            </w:pPr>
            <w:r w:rsidRPr="00F45195">
              <w:rPr>
                <w:rFonts w:ascii="Arial" w:hAnsi="Arial" w:cs="Arial"/>
                <w:b/>
                <w:bCs/>
                <w:lang w:eastAsia="en-AU"/>
              </w:rPr>
              <w:t>DAF</w:t>
            </w:r>
            <w:r w:rsidR="00EB01F3">
              <w:rPr>
                <w:rFonts w:ascii="Arial" w:hAnsi="Arial" w:cs="Arial"/>
                <w:b/>
                <w:bCs/>
                <w:lang w:eastAsia="en-AU"/>
              </w:rPr>
              <w:t xml:space="preserve"> ($)</w:t>
            </w:r>
          </w:p>
        </w:tc>
        <w:tc>
          <w:tcPr>
            <w:tcW w:w="1320" w:type="pct"/>
            <w:shd w:val="clear" w:color="auto" w:fill="auto"/>
            <w:hideMark/>
          </w:tcPr>
          <w:p w:rsidR="002B5A16" w:rsidRPr="00F45195" w:rsidRDefault="002B5A16" w:rsidP="00EB01F3">
            <w:pPr>
              <w:ind w:right="1"/>
              <w:jc w:val="center"/>
              <w:rPr>
                <w:rFonts w:ascii="Arial" w:hAnsi="Arial" w:cs="Arial"/>
                <w:b/>
                <w:bCs/>
                <w:lang w:eastAsia="en-AU"/>
              </w:rPr>
            </w:pPr>
            <w:r>
              <w:rPr>
                <w:rFonts w:ascii="Arial" w:hAnsi="Arial" w:cs="Arial"/>
                <w:b/>
                <w:bCs/>
                <w:lang w:eastAsia="en-AU"/>
              </w:rPr>
              <w:t>Other</w:t>
            </w:r>
            <w:r w:rsidR="00EB01F3">
              <w:rPr>
                <w:rFonts w:ascii="Arial" w:hAnsi="Arial" w:cs="Arial"/>
                <w:b/>
                <w:bCs/>
                <w:lang w:eastAsia="en-AU"/>
              </w:rPr>
              <w:t xml:space="preserve"> ($)</w:t>
            </w:r>
          </w:p>
        </w:tc>
        <w:tc>
          <w:tcPr>
            <w:tcW w:w="1321" w:type="pct"/>
            <w:shd w:val="clear" w:color="auto" w:fill="auto"/>
            <w:hideMark/>
          </w:tcPr>
          <w:p w:rsidR="002B5A16" w:rsidRPr="00F45195" w:rsidRDefault="002B5A16" w:rsidP="00EB01F3">
            <w:pPr>
              <w:ind w:right="25"/>
              <w:jc w:val="center"/>
              <w:rPr>
                <w:rFonts w:ascii="Arial" w:hAnsi="Arial" w:cs="Arial"/>
                <w:b/>
                <w:bCs/>
                <w:lang w:eastAsia="en-AU"/>
              </w:rPr>
            </w:pPr>
            <w:r w:rsidRPr="00F45195">
              <w:rPr>
                <w:rFonts w:ascii="Arial" w:hAnsi="Arial" w:cs="Arial"/>
                <w:b/>
                <w:bCs/>
                <w:lang w:eastAsia="en-AU"/>
              </w:rPr>
              <w:t>TOTAL</w:t>
            </w:r>
            <w:r w:rsidR="00EB01F3">
              <w:rPr>
                <w:rFonts w:ascii="Arial" w:hAnsi="Arial" w:cs="Arial"/>
                <w:b/>
                <w:bCs/>
                <w:lang w:eastAsia="en-AU"/>
              </w:rPr>
              <w:t xml:space="preserve">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1998</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114,413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34,175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148,588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1999</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114,413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31,108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145,521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2000</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114,413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33,898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148,311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2001</w:t>
            </w:r>
          </w:p>
        </w:tc>
        <w:tc>
          <w:tcPr>
            <w:tcW w:w="1320" w:type="pct"/>
            <w:shd w:val="clear" w:color="auto" w:fill="auto"/>
            <w:vAlign w:val="center"/>
          </w:tcPr>
          <w:p w:rsidR="002B5A16" w:rsidRPr="00C43125" w:rsidRDefault="002B5A16" w:rsidP="00EB01F3">
            <w:pPr>
              <w:jc w:val="right"/>
              <w:rPr>
                <w:rFonts w:ascii="Arial" w:hAnsi="Arial" w:cs="Arial"/>
                <w:lang w:eastAsia="en-AU"/>
              </w:rPr>
            </w:pPr>
            <w:r>
              <w:rPr>
                <w:rFonts w:ascii="Arial" w:hAnsi="Arial" w:cs="Arial"/>
                <w:color w:val="000000"/>
              </w:rPr>
              <w:t>0</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Pr>
                <w:rFonts w:ascii="Arial" w:hAnsi="Arial" w:cs="Arial"/>
                <w:color w:val="000000"/>
              </w:rPr>
              <w:t>0</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Pr>
                <w:rFonts w:ascii="Arial" w:hAnsi="Arial" w:cs="Arial"/>
                <w:color w:val="000000"/>
              </w:rPr>
              <w:t>0</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2002</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165,617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128,357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293,974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2003</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234,724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192,131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426,855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2004</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244,772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198,517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443,289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2005</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266,030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180,155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446,185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2006</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283,252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199,825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483,077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2007</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489,334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781,457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1,270,791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2008</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509,084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622,074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1,131,158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2009</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403,478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562,552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966,030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2010</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260,848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531,530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792,378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2011</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658,159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579,575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1,237,734 </w:t>
            </w:r>
          </w:p>
        </w:tc>
      </w:tr>
      <w:tr w:rsidR="002B5A16" w:rsidRPr="00B739B9" w:rsidTr="00AF6856">
        <w:trPr>
          <w:trHeight w:val="245"/>
          <w:jc w:val="center"/>
        </w:trPr>
        <w:tc>
          <w:tcPr>
            <w:tcW w:w="1039" w:type="pct"/>
            <w:shd w:val="clear" w:color="auto" w:fill="auto"/>
          </w:tcPr>
          <w:p w:rsidR="002B5A16" w:rsidRDefault="002B5A16" w:rsidP="00AF6856">
            <w:pPr>
              <w:jc w:val="center"/>
              <w:rPr>
                <w:rFonts w:ascii="Arial" w:hAnsi="Arial" w:cs="Arial"/>
              </w:rPr>
            </w:pPr>
            <w:r>
              <w:rPr>
                <w:rFonts w:ascii="Arial" w:hAnsi="Arial" w:cs="Arial"/>
              </w:rPr>
              <w:t>2012</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567,573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472,334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1,039,907 </w:t>
            </w:r>
          </w:p>
        </w:tc>
      </w:tr>
      <w:tr w:rsidR="002B5A16" w:rsidRPr="00B739B9" w:rsidTr="00AF6856">
        <w:trPr>
          <w:trHeight w:val="245"/>
          <w:jc w:val="center"/>
        </w:trPr>
        <w:tc>
          <w:tcPr>
            <w:tcW w:w="1039" w:type="pct"/>
            <w:shd w:val="clear" w:color="auto" w:fill="auto"/>
          </w:tcPr>
          <w:p w:rsidR="002B5A16" w:rsidRPr="00F45195" w:rsidRDefault="002B5A16" w:rsidP="00AF6856">
            <w:pPr>
              <w:jc w:val="center"/>
              <w:rPr>
                <w:rFonts w:ascii="Arial" w:hAnsi="Arial" w:cs="Arial"/>
              </w:rPr>
            </w:pPr>
            <w:r>
              <w:rPr>
                <w:rFonts w:ascii="Arial" w:hAnsi="Arial" w:cs="Arial"/>
              </w:rPr>
              <w:t>2013</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216,902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546,496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763,398 </w:t>
            </w:r>
          </w:p>
        </w:tc>
      </w:tr>
      <w:tr w:rsidR="002B5A16" w:rsidRPr="00B739B9" w:rsidTr="00AF6856">
        <w:trPr>
          <w:trHeight w:val="245"/>
          <w:jc w:val="center"/>
        </w:trPr>
        <w:tc>
          <w:tcPr>
            <w:tcW w:w="1039" w:type="pct"/>
            <w:shd w:val="clear" w:color="auto" w:fill="auto"/>
          </w:tcPr>
          <w:p w:rsidR="002B5A16" w:rsidRPr="00F45195" w:rsidRDefault="002B5A16" w:rsidP="00AF6856">
            <w:pPr>
              <w:jc w:val="center"/>
              <w:rPr>
                <w:rFonts w:ascii="Arial" w:hAnsi="Arial" w:cs="Arial"/>
              </w:rPr>
            </w:pPr>
            <w:r>
              <w:rPr>
                <w:rFonts w:ascii="Arial" w:hAnsi="Arial" w:cs="Arial"/>
              </w:rPr>
              <w:t>2014</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167,226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597,282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764,508 </w:t>
            </w:r>
          </w:p>
        </w:tc>
      </w:tr>
      <w:tr w:rsidR="002B5A16" w:rsidRPr="00B739B9" w:rsidTr="00AF6856">
        <w:trPr>
          <w:trHeight w:val="245"/>
          <w:jc w:val="center"/>
        </w:trPr>
        <w:tc>
          <w:tcPr>
            <w:tcW w:w="1039" w:type="pct"/>
            <w:shd w:val="clear" w:color="auto" w:fill="auto"/>
          </w:tcPr>
          <w:p w:rsidR="002B5A16" w:rsidRPr="00F45195" w:rsidRDefault="002B5A16" w:rsidP="00AF6856">
            <w:pPr>
              <w:jc w:val="center"/>
              <w:rPr>
                <w:rFonts w:ascii="Arial" w:hAnsi="Arial" w:cs="Arial"/>
              </w:rPr>
            </w:pPr>
            <w:r w:rsidRPr="00F45195">
              <w:rPr>
                <w:rFonts w:ascii="Arial" w:hAnsi="Arial" w:cs="Arial"/>
              </w:rPr>
              <w:t>2015</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219,926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347,293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567,219 </w:t>
            </w:r>
          </w:p>
        </w:tc>
      </w:tr>
      <w:tr w:rsidR="002B5A16" w:rsidRPr="00B739B9" w:rsidTr="00AF6856">
        <w:trPr>
          <w:trHeight w:val="245"/>
          <w:jc w:val="center"/>
        </w:trPr>
        <w:tc>
          <w:tcPr>
            <w:tcW w:w="1039" w:type="pct"/>
            <w:shd w:val="clear" w:color="auto" w:fill="auto"/>
          </w:tcPr>
          <w:p w:rsidR="002B5A16" w:rsidRPr="00F45195" w:rsidRDefault="002B5A16" w:rsidP="00AF6856">
            <w:pPr>
              <w:jc w:val="center"/>
              <w:rPr>
                <w:rFonts w:ascii="Arial" w:hAnsi="Arial" w:cs="Arial"/>
              </w:rPr>
            </w:pPr>
            <w:r w:rsidRPr="00F45195">
              <w:rPr>
                <w:rFonts w:ascii="Arial" w:hAnsi="Arial" w:cs="Arial"/>
              </w:rPr>
              <w:t>2016</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213,252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273,425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486,677 </w:t>
            </w:r>
          </w:p>
        </w:tc>
      </w:tr>
      <w:tr w:rsidR="002B5A16" w:rsidRPr="00B739B9" w:rsidTr="00AF6856">
        <w:trPr>
          <w:trHeight w:val="245"/>
          <w:jc w:val="center"/>
        </w:trPr>
        <w:tc>
          <w:tcPr>
            <w:tcW w:w="1039" w:type="pct"/>
            <w:shd w:val="clear" w:color="auto" w:fill="auto"/>
          </w:tcPr>
          <w:p w:rsidR="002B5A16" w:rsidRPr="00F45195" w:rsidRDefault="002B5A16" w:rsidP="00AF6856">
            <w:pPr>
              <w:jc w:val="center"/>
              <w:rPr>
                <w:rFonts w:ascii="Arial" w:hAnsi="Arial" w:cs="Arial"/>
              </w:rPr>
            </w:pPr>
            <w:r>
              <w:rPr>
                <w:rFonts w:ascii="Arial" w:hAnsi="Arial" w:cs="Arial"/>
              </w:rPr>
              <w:t>2017</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228,631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283,753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512,384 </w:t>
            </w:r>
          </w:p>
        </w:tc>
      </w:tr>
      <w:tr w:rsidR="002B5A16" w:rsidRPr="00B739B9" w:rsidTr="00AF6856">
        <w:trPr>
          <w:trHeight w:val="245"/>
          <w:jc w:val="center"/>
        </w:trPr>
        <w:tc>
          <w:tcPr>
            <w:tcW w:w="1039" w:type="pct"/>
            <w:shd w:val="clear" w:color="auto" w:fill="auto"/>
          </w:tcPr>
          <w:p w:rsidR="002B5A16" w:rsidRPr="00F45195" w:rsidRDefault="002B5A16" w:rsidP="00AF6856">
            <w:pPr>
              <w:jc w:val="center"/>
              <w:rPr>
                <w:rFonts w:ascii="Arial" w:hAnsi="Arial" w:cs="Arial"/>
              </w:rPr>
            </w:pPr>
            <w:r>
              <w:rPr>
                <w:rFonts w:ascii="Arial" w:hAnsi="Arial" w:cs="Arial"/>
              </w:rPr>
              <w:t>2018</w:t>
            </w:r>
          </w:p>
        </w:tc>
        <w:tc>
          <w:tcPr>
            <w:tcW w:w="1320" w:type="pct"/>
            <w:shd w:val="clear" w:color="auto" w:fill="auto"/>
            <w:vAlign w:val="center"/>
          </w:tcPr>
          <w:p w:rsidR="002B5A16" w:rsidRPr="00C43125" w:rsidRDefault="002B5A16" w:rsidP="00EB01F3">
            <w:pPr>
              <w:jc w:val="right"/>
              <w:rPr>
                <w:rFonts w:ascii="Arial" w:hAnsi="Arial" w:cs="Arial"/>
                <w:lang w:eastAsia="en-AU"/>
              </w:rPr>
            </w:pPr>
            <w:r w:rsidRPr="00C43125">
              <w:rPr>
                <w:rFonts w:ascii="Arial" w:hAnsi="Arial" w:cs="Arial"/>
                <w:color w:val="000000"/>
              </w:rPr>
              <w:t xml:space="preserve"> 142,274 </w:t>
            </w:r>
          </w:p>
        </w:tc>
        <w:tc>
          <w:tcPr>
            <w:tcW w:w="1320" w:type="pct"/>
            <w:shd w:val="clear" w:color="auto" w:fill="auto"/>
            <w:vAlign w:val="center"/>
          </w:tcPr>
          <w:p w:rsidR="002B5A16" w:rsidRPr="002A6283" w:rsidRDefault="002B5A16" w:rsidP="00EB01F3">
            <w:pPr>
              <w:ind w:right="1"/>
              <w:jc w:val="right"/>
              <w:rPr>
                <w:rFonts w:ascii="Arial" w:hAnsi="Arial" w:cs="Arial"/>
                <w:lang w:eastAsia="en-AU"/>
              </w:rPr>
            </w:pPr>
            <w:r w:rsidRPr="002A6283">
              <w:rPr>
                <w:rFonts w:ascii="Arial" w:hAnsi="Arial" w:cs="Arial"/>
                <w:color w:val="000000"/>
              </w:rPr>
              <w:t xml:space="preserve">   139,577 </w:t>
            </w:r>
          </w:p>
        </w:tc>
        <w:tc>
          <w:tcPr>
            <w:tcW w:w="1321" w:type="pct"/>
            <w:shd w:val="clear" w:color="auto" w:fill="auto"/>
            <w:vAlign w:val="center"/>
          </w:tcPr>
          <w:p w:rsidR="002B5A16" w:rsidRPr="002A6283" w:rsidRDefault="002B5A16" w:rsidP="00EB01F3">
            <w:pPr>
              <w:ind w:right="25"/>
              <w:jc w:val="right"/>
              <w:rPr>
                <w:rFonts w:ascii="Arial" w:hAnsi="Arial" w:cs="Arial"/>
                <w:lang w:eastAsia="en-AU"/>
              </w:rPr>
            </w:pPr>
            <w:r w:rsidRPr="002A6283">
              <w:rPr>
                <w:rFonts w:ascii="Arial" w:hAnsi="Arial" w:cs="Arial"/>
                <w:color w:val="000000"/>
              </w:rPr>
              <w:t xml:space="preserve">       281,851 </w:t>
            </w:r>
          </w:p>
        </w:tc>
      </w:tr>
      <w:tr w:rsidR="002B5A16" w:rsidRPr="00B739B9" w:rsidTr="00AF6856">
        <w:trPr>
          <w:trHeight w:val="245"/>
          <w:jc w:val="center"/>
        </w:trPr>
        <w:tc>
          <w:tcPr>
            <w:tcW w:w="1039" w:type="pct"/>
            <w:shd w:val="clear" w:color="auto" w:fill="D9D9D9" w:themeFill="background1" w:themeFillShade="D9"/>
            <w:vAlign w:val="center"/>
            <w:hideMark/>
          </w:tcPr>
          <w:p w:rsidR="002B5A16" w:rsidRPr="00F45195" w:rsidRDefault="002B5A16" w:rsidP="00EB01F3">
            <w:pPr>
              <w:jc w:val="center"/>
              <w:rPr>
                <w:rFonts w:ascii="Arial" w:hAnsi="Arial" w:cs="Arial"/>
                <w:b/>
                <w:bCs/>
                <w:lang w:eastAsia="en-AU"/>
              </w:rPr>
            </w:pPr>
            <w:r w:rsidRPr="00F45195">
              <w:rPr>
                <w:rFonts w:ascii="Arial" w:hAnsi="Arial" w:cs="Arial"/>
                <w:b/>
                <w:bCs/>
                <w:lang w:eastAsia="en-AU"/>
              </w:rPr>
              <w:t>Totals</w:t>
            </w:r>
          </w:p>
        </w:tc>
        <w:tc>
          <w:tcPr>
            <w:tcW w:w="1320" w:type="pct"/>
            <w:shd w:val="clear" w:color="auto" w:fill="D9D9D9" w:themeFill="background1" w:themeFillShade="D9"/>
            <w:vAlign w:val="center"/>
          </w:tcPr>
          <w:p w:rsidR="002B5A16" w:rsidRPr="00C43125" w:rsidRDefault="002B5A16" w:rsidP="00EB01F3">
            <w:pPr>
              <w:jc w:val="right"/>
              <w:rPr>
                <w:rFonts w:ascii="Arial" w:hAnsi="Arial" w:cs="Arial"/>
                <w:b/>
                <w:lang w:eastAsia="en-AU"/>
              </w:rPr>
            </w:pPr>
            <w:r w:rsidRPr="00C43125">
              <w:rPr>
                <w:rFonts w:ascii="Arial" w:hAnsi="Arial" w:cs="Arial"/>
                <w:b/>
                <w:bCs/>
                <w:color w:val="000000"/>
              </w:rPr>
              <w:t xml:space="preserve">  5,614,321 </w:t>
            </w:r>
          </w:p>
        </w:tc>
        <w:tc>
          <w:tcPr>
            <w:tcW w:w="1320" w:type="pct"/>
            <w:shd w:val="clear" w:color="auto" w:fill="D9D9D9" w:themeFill="background1" w:themeFillShade="D9"/>
            <w:vAlign w:val="center"/>
          </w:tcPr>
          <w:p w:rsidR="002B5A16" w:rsidRPr="002A6283" w:rsidRDefault="002B5A16" w:rsidP="00EB01F3">
            <w:pPr>
              <w:ind w:right="1"/>
              <w:jc w:val="right"/>
              <w:rPr>
                <w:rFonts w:ascii="Arial" w:hAnsi="Arial" w:cs="Arial"/>
                <w:b/>
                <w:lang w:eastAsia="en-AU"/>
              </w:rPr>
            </w:pPr>
            <w:r w:rsidRPr="002A6283">
              <w:rPr>
                <w:rFonts w:ascii="Arial" w:hAnsi="Arial" w:cs="Arial"/>
                <w:b/>
                <w:bCs/>
                <w:color w:val="000000"/>
              </w:rPr>
              <w:t xml:space="preserve">  6,735,514 </w:t>
            </w:r>
          </w:p>
        </w:tc>
        <w:tc>
          <w:tcPr>
            <w:tcW w:w="1321" w:type="pct"/>
            <w:shd w:val="clear" w:color="auto" w:fill="D9D9D9" w:themeFill="background1" w:themeFillShade="D9"/>
            <w:vAlign w:val="center"/>
          </w:tcPr>
          <w:p w:rsidR="002B5A16" w:rsidRPr="002A6283" w:rsidRDefault="002B5A16" w:rsidP="00EB01F3">
            <w:pPr>
              <w:ind w:right="25"/>
              <w:jc w:val="right"/>
              <w:rPr>
                <w:rFonts w:ascii="Arial" w:hAnsi="Arial" w:cs="Arial"/>
                <w:b/>
                <w:lang w:eastAsia="en-AU"/>
              </w:rPr>
            </w:pPr>
            <w:r w:rsidRPr="002A6283">
              <w:rPr>
                <w:rFonts w:ascii="Arial" w:hAnsi="Arial" w:cs="Arial"/>
                <w:b/>
                <w:color w:val="000000"/>
              </w:rPr>
              <w:t xml:space="preserve">  12,349,835 </w:t>
            </w:r>
          </w:p>
        </w:tc>
      </w:tr>
    </w:tbl>
    <w:p w:rsidR="002B5A16" w:rsidRDefault="002B5A16" w:rsidP="002B5A16">
      <w:pPr>
        <w:pStyle w:val="Table"/>
        <w:spacing w:after="0"/>
        <w:contextualSpacing w:val="0"/>
      </w:pPr>
    </w:p>
    <w:p w:rsidR="002B5A16" w:rsidRDefault="002B5A16" w:rsidP="002B5A16">
      <w:pPr>
        <w:pStyle w:val="Table"/>
        <w:spacing w:after="0"/>
        <w:contextualSpacing w:val="0"/>
      </w:pPr>
    </w:p>
    <w:p w:rsidR="00AF6856" w:rsidRDefault="00AF6856" w:rsidP="002B5A16">
      <w:pPr>
        <w:pStyle w:val="Table"/>
        <w:spacing w:after="0"/>
        <w:contextualSpacing w:val="0"/>
      </w:pPr>
    </w:p>
    <w:p w:rsidR="00AF6856" w:rsidRDefault="00AF6856" w:rsidP="002B5A16">
      <w:pPr>
        <w:pStyle w:val="Table"/>
        <w:spacing w:after="0"/>
        <w:contextualSpacing w:val="0"/>
      </w:pPr>
    </w:p>
    <w:p w:rsidR="002B5A16" w:rsidRPr="00914AFC" w:rsidRDefault="002B5A16" w:rsidP="00AF6856">
      <w:pPr>
        <w:spacing w:after="240"/>
        <w:rPr>
          <w:rFonts w:ascii="Arial" w:hAnsi="Arial" w:cs="Arial"/>
          <w:b/>
        </w:rPr>
      </w:pPr>
      <w:r w:rsidRPr="00914AFC">
        <w:rPr>
          <w:rFonts w:ascii="Arial" w:hAnsi="Arial" w:cs="Arial"/>
          <w:b/>
        </w:rPr>
        <w:t>Program Management Costs</w:t>
      </w:r>
    </w:p>
    <w:p w:rsidR="002B5A16" w:rsidRPr="00CF7273" w:rsidRDefault="002B5A16" w:rsidP="00AF6856">
      <w:pPr>
        <w:spacing w:after="240"/>
        <w:rPr>
          <w:rFonts w:ascii="Arial" w:hAnsi="Arial" w:cs="Arial"/>
        </w:rPr>
      </w:pPr>
      <w:r>
        <w:rPr>
          <w:rFonts w:ascii="Arial" w:hAnsi="Arial" w:cs="Arial"/>
        </w:rPr>
        <w:t xml:space="preserve">The </w:t>
      </w:r>
      <w:r w:rsidRPr="00CF7273">
        <w:rPr>
          <w:rFonts w:ascii="Arial" w:hAnsi="Arial" w:cs="Arial"/>
        </w:rPr>
        <w:t xml:space="preserve">DAF investment </w:t>
      </w:r>
      <w:r>
        <w:rPr>
          <w:rFonts w:ascii="Arial" w:hAnsi="Arial" w:cs="Arial"/>
        </w:rPr>
        <w:t xml:space="preserve">in Table 15 </w:t>
      </w:r>
      <w:r w:rsidRPr="00CF7273">
        <w:rPr>
          <w:rFonts w:ascii="Arial" w:hAnsi="Arial" w:cs="Arial"/>
        </w:rPr>
        <w:t>includes an allowance for program management, administration and corporate infrastructure costs.</w:t>
      </w:r>
    </w:p>
    <w:p w:rsidR="002B5A16" w:rsidRPr="001D7412" w:rsidRDefault="002B5A16" w:rsidP="00AF6856">
      <w:pPr>
        <w:spacing w:after="240"/>
        <w:rPr>
          <w:rFonts w:ascii="Arial" w:hAnsi="Arial" w:cs="Arial"/>
        </w:rPr>
      </w:pPr>
      <w:r w:rsidRPr="00CF7273">
        <w:rPr>
          <w:rFonts w:ascii="Arial" w:hAnsi="Arial" w:cs="Arial"/>
        </w:rPr>
        <w:t xml:space="preserve">For other investment, including HRDC/HAL/HIA and ACIAR contributions a management multiplier of 1.12 has been applied. The management multiplier is based on the HIA reported share of overhead costs in total expenditure (HIA 2016). This multiplier was applied to ‘Other’ nominal investment shown in Table </w:t>
      </w:r>
      <w:r>
        <w:rPr>
          <w:rFonts w:ascii="Arial" w:hAnsi="Arial" w:cs="Arial"/>
        </w:rPr>
        <w:t>1</w:t>
      </w:r>
      <w:r w:rsidRPr="00CF7273">
        <w:rPr>
          <w:rFonts w:ascii="Arial" w:hAnsi="Arial" w:cs="Arial"/>
        </w:rPr>
        <w:t>5.</w:t>
      </w:r>
      <w:r>
        <w:rPr>
          <w:rFonts w:ascii="Arial" w:hAnsi="Arial" w:cs="Arial"/>
        </w:rPr>
        <w:t xml:space="preserve">  </w:t>
      </w:r>
    </w:p>
    <w:p w:rsidR="002B5A16" w:rsidRPr="000A2974" w:rsidRDefault="002B5A16" w:rsidP="00AF6856">
      <w:pPr>
        <w:spacing w:after="240"/>
        <w:rPr>
          <w:rFonts w:ascii="Arial" w:hAnsi="Arial" w:cs="Arial"/>
          <w:b/>
          <w:color w:val="FF0000"/>
          <w:sz w:val="24"/>
        </w:rPr>
      </w:pPr>
      <w:r w:rsidRPr="000A2974">
        <w:rPr>
          <w:rFonts w:ascii="Arial" w:hAnsi="Arial" w:cs="Arial"/>
          <w:b/>
          <w:color w:val="000000" w:themeColor="text1"/>
          <w:sz w:val="24"/>
        </w:rPr>
        <w:t xml:space="preserve">Real Investment and Extension Costs  </w:t>
      </w:r>
    </w:p>
    <w:p w:rsidR="002B5A16" w:rsidRDefault="002B5A16" w:rsidP="00AF6856">
      <w:pPr>
        <w:spacing w:after="240"/>
        <w:rPr>
          <w:color w:val="FF0000"/>
        </w:rPr>
      </w:pPr>
      <w:r w:rsidRPr="005F6ED6">
        <w:rPr>
          <w:rFonts w:ascii="Arial" w:hAnsi="Arial" w:cs="Arial"/>
          <w:color w:val="000000" w:themeColor="text1"/>
        </w:rPr>
        <w:t xml:space="preserve">For the purposes of the investment analysis, the investment costs of all parties were expressed in 2016/17 $ terms using </w:t>
      </w:r>
      <w:r>
        <w:rPr>
          <w:rFonts w:ascii="Arial" w:hAnsi="Arial" w:cs="Arial"/>
          <w:color w:val="000000" w:themeColor="text1"/>
        </w:rPr>
        <w:t>the GDP deflator index.</w:t>
      </w:r>
      <w:r w:rsidRPr="005F6ED6">
        <w:rPr>
          <w:rFonts w:ascii="Arial" w:hAnsi="Arial" w:cs="Arial"/>
          <w:color w:val="000000" w:themeColor="text1"/>
        </w:rPr>
        <w:t xml:space="preserve"> ‘</w:t>
      </w:r>
      <w:r w:rsidRPr="005F6ED6">
        <w:rPr>
          <w:rFonts w:ascii="Arial" w:hAnsi="Arial" w:cs="Arial"/>
        </w:rPr>
        <w:t xml:space="preserve">Extension’ costs were included in budget totals – projects were completed in Australia in partnership with </w:t>
      </w:r>
      <w:r>
        <w:rPr>
          <w:rFonts w:ascii="Arial" w:hAnsi="Arial" w:cs="Arial"/>
        </w:rPr>
        <w:t>ASPG</w:t>
      </w:r>
      <w:r w:rsidRPr="005F6ED6">
        <w:rPr>
          <w:rFonts w:ascii="Arial" w:hAnsi="Arial" w:cs="Arial"/>
        </w:rPr>
        <w:t xml:space="preserve"> and in PNG and the Solomon Islands with local farmer groups. </w:t>
      </w:r>
      <w:r>
        <w:rPr>
          <w:rFonts w:ascii="Arial" w:hAnsi="Arial" w:cs="Arial"/>
        </w:rPr>
        <w:t>Hence, n</w:t>
      </w:r>
      <w:r w:rsidRPr="005F6ED6">
        <w:rPr>
          <w:rFonts w:ascii="Arial" w:hAnsi="Arial" w:cs="Arial"/>
        </w:rPr>
        <w:t>o additional allowance has been made for extension.</w:t>
      </w:r>
      <w:r w:rsidRPr="001D7412">
        <w:rPr>
          <w:rFonts w:ascii="Arial" w:hAnsi="Arial" w:cs="Arial"/>
        </w:rPr>
        <w:t xml:space="preserve">   </w:t>
      </w:r>
    </w:p>
    <w:p w:rsidR="002B5A16" w:rsidRPr="00AF6856" w:rsidRDefault="002B5A16" w:rsidP="00AF6856">
      <w:pPr>
        <w:spacing w:after="240"/>
        <w:rPr>
          <w:rFonts w:ascii="Arial" w:hAnsi="Arial" w:cs="Arial"/>
          <w:b/>
          <w:sz w:val="40"/>
          <w:szCs w:val="40"/>
        </w:rPr>
      </w:pPr>
      <w:bookmarkStart w:id="475" w:name="_Toc487091262"/>
      <w:r w:rsidRPr="00AF6856">
        <w:rPr>
          <w:rFonts w:ascii="Arial" w:hAnsi="Arial" w:cs="Arial"/>
          <w:b/>
          <w:sz w:val="40"/>
          <w:szCs w:val="40"/>
        </w:rPr>
        <w:t>5. Impacts</w:t>
      </w:r>
      <w:bookmarkEnd w:id="475"/>
    </w:p>
    <w:p w:rsidR="002B5A16" w:rsidRDefault="002B5A16" w:rsidP="002B5A16">
      <w:pPr>
        <w:rPr>
          <w:rFonts w:ascii="Arial" w:hAnsi="Arial" w:cs="Arial"/>
          <w:color w:val="000000" w:themeColor="text1"/>
        </w:rPr>
      </w:pPr>
      <w:r w:rsidRPr="005F6ED6">
        <w:rPr>
          <w:rFonts w:ascii="Arial" w:hAnsi="Arial" w:cs="Arial"/>
          <w:color w:val="000000" w:themeColor="text1"/>
        </w:rPr>
        <w:t xml:space="preserve">From the project descriptions in Section 3, the principal potential impacts for </w:t>
      </w:r>
      <w:r>
        <w:rPr>
          <w:rFonts w:ascii="Arial" w:hAnsi="Arial" w:cs="Arial"/>
          <w:color w:val="000000" w:themeColor="text1"/>
        </w:rPr>
        <w:t xml:space="preserve">the investment in sweetpotato </w:t>
      </w:r>
      <w:r w:rsidRPr="005F6ED6">
        <w:rPr>
          <w:rFonts w:ascii="Arial" w:hAnsi="Arial" w:cs="Arial"/>
          <w:color w:val="000000" w:themeColor="text1"/>
        </w:rPr>
        <w:t xml:space="preserve">R&amp;D were identified. Table </w:t>
      </w:r>
      <w:r>
        <w:rPr>
          <w:rFonts w:ascii="Arial" w:hAnsi="Arial" w:cs="Arial"/>
          <w:color w:val="000000" w:themeColor="text1"/>
        </w:rPr>
        <w:t>16</w:t>
      </w:r>
      <w:r w:rsidRPr="005F6ED6">
        <w:rPr>
          <w:rFonts w:ascii="Arial" w:hAnsi="Arial" w:cs="Arial"/>
          <w:color w:val="000000" w:themeColor="text1"/>
        </w:rPr>
        <w:t xml:space="preserve"> summarises the key potential impacts identified </w:t>
      </w:r>
      <w:r>
        <w:rPr>
          <w:rFonts w:ascii="Arial" w:hAnsi="Arial" w:cs="Arial"/>
          <w:color w:val="000000" w:themeColor="text1"/>
        </w:rPr>
        <w:t xml:space="preserve">for Australia </w:t>
      </w:r>
      <w:r w:rsidRPr="005F6ED6">
        <w:rPr>
          <w:rFonts w:ascii="Arial" w:hAnsi="Arial" w:cs="Arial"/>
          <w:color w:val="000000" w:themeColor="text1"/>
        </w:rPr>
        <w:t>and the contribution to each potential impact by each of the 1</w:t>
      </w:r>
      <w:r>
        <w:rPr>
          <w:rFonts w:ascii="Arial" w:hAnsi="Arial" w:cs="Arial"/>
          <w:color w:val="000000" w:themeColor="text1"/>
        </w:rPr>
        <w:t>1</w:t>
      </w:r>
      <w:r w:rsidRPr="005F6ED6">
        <w:rPr>
          <w:rFonts w:ascii="Arial" w:hAnsi="Arial" w:cs="Arial"/>
          <w:color w:val="000000" w:themeColor="text1"/>
        </w:rPr>
        <w:t xml:space="preserve"> projects.</w:t>
      </w:r>
      <w:r>
        <w:rPr>
          <w:rFonts w:ascii="Arial" w:hAnsi="Arial" w:cs="Arial"/>
          <w:color w:val="000000" w:themeColor="text1"/>
        </w:rPr>
        <w:t xml:space="preserve"> Table 17 summarises impacts for PNG and the Solomon Islands.</w:t>
      </w:r>
    </w:p>
    <w:p w:rsidR="002B5A16" w:rsidRPr="005F6ED6" w:rsidRDefault="002B5A16" w:rsidP="002B5A16">
      <w:pPr>
        <w:rPr>
          <w:rFonts w:ascii="Arial" w:hAnsi="Arial" w:cs="Arial"/>
          <w:color w:val="000000" w:themeColor="text1"/>
        </w:rPr>
      </w:pPr>
    </w:p>
    <w:p w:rsidR="002B5A16" w:rsidRPr="005F6ED6" w:rsidRDefault="002B5A16" w:rsidP="002B5A16">
      <w:pPr>
        <w:rPr>
          <w:rFonts w:ascii="Arial" w:hAnsi="Arial" w:cs="Arial"/>
          <w:color w:val="000000" w:themeColor="text1"/>
        </w:rPr>
        <w:sectPr w:rsidR="002B5A16" w:rsidRPr="005F6ED6">
          <w:footerReference w:type="default" r:id="rId39"/>
          <w:pgSz w:w="11906" w:h="16838"/>
          <w:pgMar w:top="1440" w:right="1440" w:bottom="1440" w:left="1440" w:header="708" w:footer="708" w:gutter="0"/>
          <w:cols w:space="708"/>
          <w:docGrid w:linePitch="360"/>
        </w:sectPr>
      </w:pPr>
    </w:p>
    <w:p w:rsidR="002B5A16" w:rsidRPr="00AF6856" w:rsidRDefault="002B5A16" w:rsidP="00AF6856">
      <w:pPr>
        <w:pStyle w:val="Caption"/>
        <w:spacing w:after="240"/>
        <w:jc w:val="center"/>
        <w:rPr>
          <w:rFonts w:ascii="Arial" w:hAnsi="Arial"/>
          <w:b w:val="0"/>
          <w:sz w:val="22"/>
          <w:szCs w:val="22"/>
        </w:rPr>
      </w:pPr>
      <w:bookmarkStart w:id="476" w:name="_Toc468972261"/>
      <w:bookmarkStart w:id="477" w:name="_Toc487091290"/>
      <w:r w:rsidRPr="00AF6856">
        <w:rPr>
          <w:rFonts w:ascii="Arial" w:hAnsi="Arial"/>
          <w:b w:val="0"/>
          <w:sz w:val="22"/>
          <w:szCs w:val="22"/>
        </w:rPr>
        <w:t xml:space="preserve">Table </w:t>
      </w:r>
      <w:r w:rsidR="00913E1D" w:rsidRPr="00EB01F3">
        <w:rPr>
          <w:rFonts w:ascii="Arial" w:hAnsi="Arial"/>
          <w:b w:val="0"/>
          <w:sz w:val="22"/>
          <w:szCs w:val="22"/>
        </w:rPr>
        <w:t>16</w:t>
      </w:r>
      <w:r w:rsidRPr="00EB01F3">
        <w:rPr>
          <w:rFonts w:ascii="Arial" w:hAnsi="Arial"/>
          <w:b w:val="0"/>
          <w:sz w:val="22"/>
          <w:szCs w:val="22"/>
        </w:rPr>
        <w:t>:</w:t>
      </w:r>
      <w:r w:rsidRPr="00AF6856">
        <w:rPr>
          <w:rFonts w:ascii="Arial" w:hAnsi="Arial"/>
          <w:b w:val="0"/>
          <w:sz w:val="22"/>
          <w:szCs w:val="22"/>
        </w:rPr>
        <w:t xml:space="preserve"> Contribution by Project to Principal Potential Cluster Impacts</w:t>
      </w:r>
      <w:bookmarkEnd w:id="476"/>
      <w:r w:rsidRPr="00AF6856">
        <w:rPr>
          <w:rFonts w:ascii="Arial" w:hAnsi="Arial"/>
          <w:b w:val="0"/>
          <w:sz w:val="22"/>
          <w:szCs w:val="22"/>
        </w:rPr>
        <w:t xml:space="preserve"> - Australia</w:t>
      </w:r>
      <w:bookmarkEnd w:id="477"/>
    </w:p>
    <w:tbl>
      <w:tblPr>
        <w:tblStyle w:val="TableGrid"/>
        <w:tblW w:w="4216" w:type="pct"/>
        <w:jc w:val="center"/>
        <w:tblLayout w:type="fixed"/>
        <w:tblLook w:val="04A0" w:firstRow="1" w:lastRow="0" w:firstColumn="1" w:lastColumn="0" w:noHBand="0" w:noVBand="1"/>
      </w:tblPr>
      <w:tblGrid>
        <w:gridCol w:w="1846"/>
        <w:gridCol w:w="1837"/>
        <w:gridCol w:w="1416"/>
        <w:gridCol w:w="1701"/>
        <w:gridCol w:w="1560"/>
        <w:gridCol w:w="1983"/>
        <w:gridCol w:w="1418"/>
      </w:tblGrid>
      <w:tr w:rsidR="002B5A16" w:rsidRPr="00EB01F3" w:rsidTr="00EB01F3">
        <w:trPr>
          <w:trHeight w:val="315"/>
          <w:jc w:val="center"/>
        </w:trPr>
        <w:tc>
          <w:tcPr>
            <w:tcW w:w="785" w:type="pct"/>
          </w:tcPr>
          <w:p w:rsidR="002B5A16" w:rsidRPr="00EB01F3" w:rsidRDefault="002B5A16" w:rsidP="002B5A16">
            <w:pPr>
              <w:rPr>
                <w:rFonts w:ascii="Arial" w:hAnsi="Arial" w:cs="Arial"/>
                <w:b/>
                <w:sz w:val="22"/>
                <w:szCs w:val="22"/>
                <w:highlight w:val="yellow"/>
              </w:rPr>
            </w:pPr>
            <w:r w:rsidRPr="00EB01F3">
              <w:rPr>
                <w:rFonts w:ascii="Arial" w:hAnsi="Arial" w:cs="Arial"/>
                <w:b/>
                <w:sz w:val="22"/>
                <w:szCs w:val="22"/>
              </w:rPr>
              <w:t xml:space="preserve">Project Code </w:t>
            </w:r>
          </w:p>
        </w:tc>
        <w:tc>
          <w:tcPr>
            <w:tcW w:w="781"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preparedness for new viruses from overseas</w:t>
            </w:r>
          </w:p>
        </w:tc>
        <w:tc>
          <w:tcPr>
            <w:tcW w:w="602"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average yields</w:t>
            </w:r>
          </w:p>
        </w:tc>
        <w:tc>
          <w:tcPr>
            <w:tcW w:w="723"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profitability</w:t>
            </w:r>
            <w:r w:rsidRPr="00EB01F3">
              <w:rPr>
                <w:rFonts w:ascii="Arial" w:hAnsi="Arial" w:cs="Arial"/>
                <w:b/>
                <w:sz w:val="22"/>
                <w:szCs w:val="22"/>
                <w:vertAlign w:val="superscript"/>
              </w:rPr>
              <w:t>(a)</w:t>
            </w:r>
          </w:p>
        </w:tc>
        <w:tc>
          <w:tcPr>
            <w:tcW w:w="663"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research, extension or industry capacity</w:t>
            </w:r>
          </w:p>
        </w:tc>
        <w:tc>
          <w:tcPr>
            <w:tcW w:w="843" w:type="pct"/>
          </w:tcPr>
          <w:p w:rsidR="002B5A16" w:rsidRPr="00EB01F3" w:rsidRDefault="002B5A16" w:rsidP="00EB01F3">
            <w:pPr>
              <w:rPr>
                <w:rFonts w:ascii="Arial" w:hAnsi="Arial" w:cs="Arial"/>
                <w:b/>
                <w:sz w:val="22"/>
                <w:szCs w:val="22"/>
              </w:rPr>
            </w:pPr>
            <w:r w:rsidRPr="00EB01F3">
              <w:rPr>
                <w:rFonts w:ascii="Arial" w:hAnsi="Arial" w:cs="Arial"/>
                <w:b/>
                <w:sz w:val="22"/>
                <w:szCs w:val="22"/>
              </w:rPr>
              <w:t>Reduced environmental impact - less broadspectrum</w:t>
            </w:r>
            <w:r w:rsidR="00EB01F3">
              <w:rPr>
                <w:rFonts w:ascii="Arial" w:hAnsi="Arial" w:cs="Arial"/>
                <w:b/>
                <w:sz w:val="22"/>
                <w:szCs w:val="22"/>
              </w:rPr>
              <w:t xml:space="preserve"> </w:t>
            </w:r>
            <w:r w:rsidRPr="00EB01F3">
              <w:rPr>
                <w:rFonts w:ascii="Arial" w:hAnsi="Arial" w:cs="Arial"/>
                <w:b/>
                <w:sz w:val="22"/>
                <w:szCs w:val="22"/>
              </w:rPr>
              <w:t>chemical use</w:t>
            </w:r>
          </w:p>
        </w:tc>
        <w:tc>
          <w:tcPr>
            <w:tcW w:w="603"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regional income in Australia (spillover)</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highlight w:val="yellow"/>
              </w:rPr>
            </w:pPr>
            <w:r w:rsidRPr="00EB01F3">
              <w:rPr>
                <w:rFonts w:ascii="Arial" w:hAnsi="Arial" w:cs="Arial"/>
                <w:sz w:val="22"/>
                <w:szCs w:val="22"/>
              </w:rPr>
              <w:t>VG97023</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72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highlight w:val="yellow"/>
              </w:rPr>
            </w:pPr>
          </w:p>
        </w:tc>
        <w:tc>
          <w:tcPr>
            <w:tcW w:w="843" w:type="pct"/>
            <w:vAlign w:val="center"/>
          </w:tcPr>
          <w:p w:rsidR="002B5A16" w:rsidRPr="00EB01F3" w:rsidRDefault="002B5A16" w:rsidP="002B5A16">
            <w:pPr>
              <w:jc w:val="center"/>
              <w:rPr>
                <w:rFonts w:ascii="Arial" w:hAnsi="Arial" w:cs="Arial"/>
                <w:sz w:val="22"/>
                <w:szCs w:val="22"/>
                <w:highlight w:val="yellow"/>
              </w:rPr>
            </w:pPr>
          </w:p>
        </w:tc>
        <w:tc>
          <w:tcPr>
            <w:tcW w:w="60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highlight w:val="yellow"/>
              </w:rPr>
            </w:pPr>
            <w:r w:rsidRPr="00EB01F3">
              <w:rPr>
                <w:rFonts w:ascii="Arial" w:hAnsi="Arial" w:cs="Arial"/>
                <w:sz w:val="22"/>
                <w:szCs w:val="22"/>
              </w:rPr>
              <w:t>VG01010</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72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highlight w:val="yellow"/>
              </w:rPr>
            </w:pPr>
          </w:p>
        </w:tc>
        <w:tc>
          <w:tcPr>
            <w:tcW w:w="843" w:type="pct"/>
            <w:vAlign w:val="center"/>
          </w:tcPr>
          <w:p w:rsidR="002B5A16" w:rsidRPr="00EB01F3" w:rsidRDefault="002B5A16" w:rsidP="002B5A16">
            <w:pPr>
              <w:jc w:val="center"/>
              <w:rPr>
                <w:rFonts w:ascii="Arial" w:hAnsi="Arial" w:cs="Arial"/>
                <w:sz w:val="22"/>
                <w:szCs w:val="22"/>
                <w:highlight w:val="yellow"/>
              </w:rPr>
            </w:pPr>
          </w:p>
        </w:tc>
        <w:tc>
          <w:tcPr>
            <w:tcW w:w="60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highlight w:val="yellow"/>
              </w:rPr>
            </w:pPr>
            <w:r w:rsidRPr="00EB01F3">
              <w:rPr>
                <w:rFonts w:ascii="Arial" w:hAnsi="Arial" w:cs="Arial"/>
                <w:sz w:val="22"/>
                <w:szCs w:val="22"/>
              </w:rPr>
              <w:t>VG02114</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72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843" w:type="pct"/>
            <w:vAlign w:val="center"/>
          </w:tcPr>
          <w:p w:rsidR="002B5A16" w:rsidRPr="00EB01F3" w:rsidRDefault="002B5A16" w:rsidP="002B5A16">
            <w:pPr>
              <w:jc w:val="center"/>
              <w:rPr>
                <w:rFonts w:ascii="Arial" w:hAnsi="Arial" w:cs="Arial"/>
                <w:sz w:val="22"/>
                <w:szCs w:val="22"/>
                <w:highlight w:val="yellow"/>
              </w:rPr>
            </w:pPr>
          </w:p>
        </w:tc>
        <w:tc>
          <w:tcPr>
            <w:tcW w:w="60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highlight w:val="yellow"/>
              </w:rPr>
            </w:pPr>
            <w:r w:rsidRPr="00EB01F3">
              <w:rPr>
                <w:rFonts w:ascii="Arial" w:hAnsi="Arial" w:cs="Arial"/>
                <w:sz w:val="22"/>
                <w:szCs w:val="22"/>
              </w:rPr>
              <w:t>VG05037</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72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highlight w:val="yellow"/>
              </w:rPr>
            </w:pPr>
          </w:p>
        </w:tc>
        <w:tc>
          <w:tcPr>
            <w:tcW w:w="84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60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rPr>
            </w:pPr>
            <w:r w:rsidRPr="00EB01F3">
              <w:rPr>
                <w:rFonts w:ascii="Arial" w:hAnsi="Arial" w:cs="Arial"/>
                <w:sz w:val="22"/>
                <w:szCs w:val="22"/>
              </w:rPr>
              <w:t>CP2004-071</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72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84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0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rPr>
            </w:pPr>
            <w:r w:rsidRPr="00EB01F3">
              <w:rPr>
                <w:rFonts w:ascii="Arial" w:hAnsi="Arial" w:cs="Arial"/>
                <w:sz w:val="22"/>
                <w:szCs w:val="22"/>
              </w:rPr>
              <w:t>CP2005-134</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rPr>
            </w:pPr>
          </w:p>
        </w:tc>
        <w:tc>
          <w:tcPr>
            <w:tcW w:w="723" w:type="pct"/>
            <w:vAlign w:val="center"/>
          </w:tcPr>
          <w:p w:rsidR="002B5A16" w:rsidRPr="00EB01F3" w:rsidRDefault="002B5A16" w:rsidP="002B5A16">
            <w:pPr>
              <w:jc w:val="center"/>
              <w:rPr>
                <w:rFonts w:ascii="Arial" w:hAnsi="Arial" w:cs="Arial"/>
                <w:sz w:val="22"/>
                <w:szCs w:val="22"/>
              </w:rPr>
            </w:pPr>
          </w:p>
        </w:tc>
        <w:tc>
          <w:tcPr>
            <w:tcW w:w="663" w:type="pct"/>
            <w:vAlign w:val="center"/>
          </w:tcPr>
          <w:p w:rsidR="002B5A16" w:rsidRPr="00EB01F3" w:rsidRDefault="002B5A16" w:rsidP="002B5A16">
            <w:pPr>
              <w:jc w:val="center"/>
              <w:rPr>
                <w:rFonts w:ascii="Arial" w:hAnsi="Arial" w:cs="Arial"/>
                <w:sz w:val="22"/>
                <w:szCs w:val="22"/>
              </w:rPr>
            </w:pPr>
          </w:p>
        </w:tc>
        <w:tc>
          <w:tcPr>
            <w:tcW w:w="843" w:type="pct"/>
            <w:vAlign w:val="center"/>
          </w:tcPr>
          <w:p w:rsidR="002B5A16" w:rsidRPr="00EB01F3" w:rsidRDefault="002B5A16" w:rsidP="002B5A16">
            <w:pPr>
              <w:jc w:val="center"/>
              <w:rPr>
                <w:rFonts w:ascii="Arial" w:hAnsi="Arial" w:cs="Arial"/>
                <w:sz w:val="22"/>
                <w:szCs w:val="22"/>
              </w:rPr>
            </w:pPr>
          </w:p>
        </w:tc>
        <w:tc>
          <w:tcPr>
            <w:tcW w:w="603" w:type="pct"/>
            <w:vAlign w:val="center"/>
          </w:tcPr>
          <w:p w:rsidR="002B5A16" w:rsidRPr="00EB01F3" w:rsidRDefault="002B5A16" w:rsidP="002B5A16">
            <w:pPr>
              <w:jc w:val="center"/>
              <w:rPr>
                <w:rFonts w:ascii="Arial" w:hAnsi="Arial" w:cs="Arial"/>
                <w:sz w:val="22"/>
                <w:szCs w:val="22"/>
              </w:rPr>
            </w:pP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rPr>
            </w:pPr>
            <w:r w:rsidRPr="00EB01F3">
              <w:rPr>
                <w:rFonts w:ascii="Arial" w:hAnsi="Arial" w:cs="Arial"/>
                <w:sz w:val="22"/>
                <w:szCs w:val="22"/>
              </w:rPr>
              <w:t>08-14329</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72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rPr>
            </w:pPr>
          </w:p>
        </w:tc>
        <w:tc>
          <w:tcPr>
            <w:tcW w:w="843" w:type="pct"/>
            <w:vAlign w:val="center"/>
          </w:tcPr>
          <w:p w:rsidR="002B5A16" w:rsidRPr="00EB01F3" w:rsidRDefault="002B5A16" w:rsidP="002B5A16">
            <w:pPr>
              <w:jc w:val="center"/>
              <w:rPr>
                <w:rFonts w:ascii="Arial" w:hAnsi="Arial" w:cs="Arial"/>
                <w:sz w:val="22"/>
                <w:szCs w:val="22"/>
              </w:rPr>
            </w:pPr>
          </w:p>
        </w:tc>
        <w:tc>
          <w:tcPr>
            <w:tcW w:w="60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rPr>
            </w:pPr>
            <w:r w:rsidRPr="00EB01F3">
              <w:rPr>
                <w:rFonts w:ascii="Arial" w:hAnsi="Arial" w:cs="Arial"/>
                <w:sz w:val="22"/>
                <w:szCs w:val="22"/>
              </w:rPr>
              <w:t>VG09009</w:t>
            </w:r>
          </w:p>
        </w:tc>
        <w:tc>
          <w:tcPr>
            <w:tcW w:w="781" w:type="pct"/>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02" w:type="pct"/>
            <w:vAlign w:val="center"/>
          </w:tcPr>
          <w:p w:rsidR="002B5A16" w:rsidRPr="00EB01F3" w:rsidRDefault="002B5A16" w:rsidP="002B5A16">
            <w:pPr>
              <w:jc w:val="center"/>
              <w:rPr>
                <w:rFonts w:ascii="Arial" w:hAnsi="Arial" w:cs="Arial"/>
                <w:sz w:val="22"/>
                <w:szCs w:val="22"/>
              </w:rPr>
            </w:pPr>
          </w:p>
        </w:tc>
        <w:tc>
          <w:tcPr>
            <w:tcW w:w="72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843" w:type="pct"/>
            <w:vAlign w:val="center"/>
          </w:tcPr>
          <w:p w:rsidR="002B5A16" w:rsidRPr="00EB01F3" w:rsidRDefault="002B5A16" w:rsidP="002B5A16">
            <w:pPr>
              <w:jc w:val="center"/>
              <w:rPr>
                <w:rFonts w:ascii="Arial" w:hAnsi="Arial" w:cs="Arial"/>
                <w:sz w:val="22"/>
                <w:szCs w:val="22"/>
                <w:highlight w:val="yellow"/>
              </w:rPr>
            </w:pPr>
          </w:p>
        </w:tc>
        <w:tc>
          <w:tcPr>
            <w:tcW w:w="60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rPr>
            </w:pPr>
            <w:r w:rsidRPr="00EB01F3">
              <w:rPr>
                <w:rFonts w:ascii="Arial" w:hAnsi="Arial" w:cs="Arial"/>
                <w:sz w:val="22"/>
                <w:szCs w:val="22"/>
              </w:rPr>
              <w:t>VG09052</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72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84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0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rPr>
            </w:pPr>
            <w:r w:rsidRPr="00EB01F3">
              <w:rPr>
                <w:rFonts w:ascii="Arial" w:hAnsi="Arial" w:cs="Arial"/>
                <w:sz w:val="22"/>
                <w:szCs w:val="22"/>
              </w:rPr>
              <w:t>PC2011-053</w:t>
            </w:r>
          </w:p>
        </w:tc>
        <w:tc>
          <w:tcPr>
            <w:tcW w:w="781" w:type="pct"/>
          </w:tcPr>
          <w:p w:rsidR="002B5A16" w:rsidRPr="00EB01F3" w:rsidRDefault="002B5A16" w:rsidP="002B5A16">
            <w:pPr>
              <w:jc w:val="center"/>
              <w:rPr>
                <w:rFonts w:ascii="Arial" w:hAnsi="Arial" w:cs="Arial"/>
                <w:sz w:val="22"/>
                <w:szCs w:val="22"/>
              </w:rPr>
            </w:pPr>
          </w:p>
        </w:tc>
        <w:tc>
          <w:tcPr>
            <w:tcW w:w="602" w:type="pct"/>
            <w:vAlign w:val="center"/>
          </w:tcPr>
          <w:p w:rsidR="002B5A16" w:rsidRPr="00EB01F3" w:rsidRDefault="002B5A16" w:rsidP="002B5A16">
            <w:pPr>
              <w:jc w:val="center"/>
              <w:rPr>
                <w:rFonts w:ascii="Arial" w:hAnsi="Arial" w:cs="Arial"/>
                <w:sz w:val="22"/>
                <w:szCs w:val="22"/>
              </w:rPr>
            </w:pPr>
          </w:p>
        </w:tc>
        <w:tc>
          <w:tcPr>
            <w:tcW w:w="72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84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03" w:type="pct"/>
            <w:vAlign w:val="center"/>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r>
      <w:tr w:rsidR="002B5A16" w:rsidRPr="00EB01F3" w:rsidTr="00EB01F3">
        <w:trPr>
          <w:trHeight w:val="245"/>
          <w:jc w:val="center"/>
        </w:trPr>
        <w:tc>
          <w:tcPr>
            <w:tcW w:w="785" w:type="pct"/>
          </w:tcPr>
          <w:p w:rsidR="002B5A16" w:rsidRPr="00EB01F3" w:rsidRDefault="002B5A16" w:rsidP="002B5A16">
            <w:pPr>
              <w:rPr>
                <w:rFonts w:ascii="Arial" w:hAnsi="Arial" w:cs="Arial"/>
                <w:sz w:val="22"/>
                <w:szCs w:val="22"/>
                <w:highlight w:val="yellow"/>
              </w:rPr>
            </w:pPr>
            <w:r w:rsidRPr="00EB01F3">
              <w:rPr>
                <w:rFonts w:ascii="Arial" w:hAnsi="Arial" w:cs="Arial"/>
                <w:sz w:val="22"/>
                <w:szCs w:val="22"/>
              </w:rPr>
              <w:t>VG13004</w:t>
            </w:r>
          </w:p>
        </w:tc>
        <w:tc>
          <w:tcPr>
            <w:tcW w:w="781" w:type="pct"/>
          </w:tcPr>
          <w:p w:rsidR="002B5A16" w:rsidRPr="00EB01F3" w:rsidRDefault="002B5A16" w:rsidP="002B5A16">
            <w:pPr>
              <w:jc w:val="center"/>
              <w:rPr>
                <w:rFonts w:ascii="Arial" w:hAnsi="Arial" w:cs="Arial"/>
                <w:sz w:val="22"/>
                <w:szCs w:val="22"/>
              </w:rPr>
            </w:pPr>
            <w:r w:rsidRPr="00EB01F3">
              <w:rPr>
                <w:rFonts w:ascii="Segoe UI Symbol" w:hAnsi="Segoe UI Symbol" w:cs="Segoe UI Symbol"/>
                <w:sz w:val="22"/>
                <w:szCs w:val="22"/>
              </w:rPr>
              <w:t>✓</w:t>
            </w:r>
          </w:p>
        </w:tc>
        <w:tc>
          <w:tcPr>
            <w:tcW w:w="602"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72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66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c>
          <w:tcPr>
            <w:tcW w:w="843" w:type="pct"/>
            <w:vAlign w:val="center"/>
          </w:tcPr>
          <w:p w:rsidR="002B5A16" w:rsidRPr="00EB01F3" w:rsidRDefault="002B5A16" w:rsidP="002B5A16">
            <w:pPr>
              <w:jc w:val="center"/>
              <w:rPr>
                <w:rFonts w:ascii="Arial" w:hAnsi="Arial" w:cs="Arial"/>
                <w:sz w:val="22"/>
                <w:szCs w:val="22"/>
                <w:highlight w:val="yellow"/>
              </w:rPr>
            </w:pPr>
          </w:p>
        </w:tc>
        <w:tc>
          <w:tcPr>
            <w:tcW w:w="603" w:type="pct"/>
            <w:vAlign w:val="center"/>
          </w:tcPr>
          <w:p w:rsidR="002B5A16" w:rsidRPr="00EB01F3" w:rsidRDefault="002B5A16" w:rsidP="002B5A16">
            <w:pPr>
              <w:jc w:val="center"/>
              <w:rPr>
                <w:rFonts w:ascii="Arial" w:hAnsi="Arial" w:cs="Arial"/>
                <w:sz w:val="22"/>
                <w:szCs w:val="22"/>
                <w:highlight w:val="yellow"/>
              </w:rPr>
            </w:pPr>
            <w:r w:rsidRPr="00EB01F3">
              <w:rPr>
                <w:rFonts w:ascii="Segoe UI Symbol" w:hAnsi="Segoe UI Symbol" w:cs="Segoe UI Symbol"/>
                <w:sz w:val="22"/>
                <w:szCs w:val="22"/>
              </w:rPr>
              <w:t>✓</w:t>
            </w:r>
          </w:p>
        </w:tc>
      </w:tr>
    </w:tbl>
    <w:p w:rsidR="002B5A16" w:rsidRPr="00131B22" w:rsidRDefault="002B5A16" w:rsidP="000D5A34">
      <w:pPr>
        <w:pStyle w:val="ListParagraph"/>
        <w:numPr>
          <w:ilvl w:val="0"/>
          <w:numId w:val="46"/>
        </w:numPr>
        <w:suppressAutoHyphens/>
        <w:ind w:left="1843"/>
        <w:contextualSpacing w:val="0"/>
        <w:rPr>
          <w:rFonts w:ascii="Arial" w:hAnsi="Arial" w:cs="Arial"/>
          <w:sz w:val="18"/>
        </w:rPr>
      </w:pPr>
      <w:r>
        <w:rPr>
          <w:rFonts w:ascii="Arial" w:hAnsi="Arial" w:cs="Arial"/>
          <w:sz w:val="18"/>
        </w:rPr>
        <w:t>Includes increased sweetpotato demand and production cost savings</w:t>
      </w:r>
    </w:p>
    <w:p w:rsidR="002B5A16" w:rsidRDefault="002B5A16" w:rsidP="002B5A16">
      <w:pPr>
        <w:rPr>
          <w:rFonts w:ascii="Arial" w:hAnsi="Arial" w:cs="Arial"/>
        </w:rPr>
      </w:pPr>
    </w:p>
    <w:p w:rsidR="002B5A16" w:rsidRPr="00AF6856" w:rsidRDefault="002B5A16" w:rsidP="00AF6856">
      <w:pPr>
        <w:pStyle w:val="Caption"/>
        <w:spacing w:after="240"/>
        <w:jc w:val="center"/>
        <w:rPr>
          <w:rFonts w:ascii="Arial" w:hAnsi="Arial"/>
          <w:b w:val="0"/>
          <w:sz w:val="22"/>
          <w:szCs w:val="22"/>
        </w:rPr>
      </w:pPr>
      <w:bookmarkStart w:id="478" w:name="_Toc487091291"/>
      <w:r w:rsidRPr="00AF6856">
        <w:rPr>
          <w:rFonts w:ascii="Arial" w:hAnsi="Arial"/>
          <w:b w:val="0"/>
          <w:sz w:val="22"/>
          <w:szCs w:val="22"/>
        </w:rPr>
        <w:t xml:space="preserve">Table </w:t>
      </w:r>
      <w:r w:rsidR="00913E1D">
        <w:rPr>
          <w:rFonts w:ascii="Arial" w:hAnsi="Arial"/>
          <w:b w:val="0"/>
          <w:sz w:val="22"/>
          <w:szCs w:val="22"/>
        </w:rPr>
        <w:t>17</w:t>
      </w:r>
      <w:r w:rsidRPr="00AF6856">
        <w:rPr>
          <w:rFonts w:ascii="Arial" w:hAnsi="Arial"/>
          <w:b w:val="0"/>
          <w:sz w:val="22"/>
          <w:szCs w:val="22"/>
        </w:rPr>
        <w:t>: Contribution by Project to Principal Potential Cluster Impacts – PNG and the Solomon Islands</w:t>
      </w:r>
      <w:bookmarkEnd w:id="478"/>
    </w:p>
    <w:tbl>
      <w:tblPr>
        <w:tblStyle w:val="TableGrid"/>
        <w:tblW w:w="4368" w:type="pct"/>
        <w:jc w:val="center"/>
        <w:tblLayout w:type="fixed"/>
        <w:tblLook w:val="04A0" w:firstRow="1" w:lastRow="0" w:firstColumn="1" w:lastColumn="0" w:noHBand="0" w:noVBand="1"/>
      </w:tblPr>
      <w:tblGrid>
        <w:gridCol w:w="1697"/>
        <w:gridCol w:w="1418"/>
        <w:gridCol w:w="1623"/>
        <w:gridCol w:w="1396"/>
        <w:gridCol w:w="1945"/>
        <w:gridCol w:w="1275"/>
        <w:gridCol w:w="1435"/>
        <w:gridCol w:w="1396"/>
      </w:tblGrid>
      <w:tr w:rsidR="00EB01F3" w:rsidRPr="00EB01F3" w:rsidTr="00EB01F3">
        <w:trPr>
          <w:trHeight w:val="315"/>
          <w:jc w:val="center"/>
        </w:trPr>
        <w:tc>
          <w:tcPr>
            <w:tcW w:w="696" w:type="pct"/>
          </w:tcPr>
          <w:p w:rsidR="002B5A16" w:rsidRPr="00EB01F3" w:rsidRDefault="002B5A16" w:rsidP="002B5A16">
            <w:pPr>
              <w:rPr>
                <w:rFonts w:ascii="Arial" w:hAnsi="Arial" w:cs="Arial"/>
                <w:b/>
                <w:sz w:val="22"/>
                <w:szCs w:val="22"/>
                <w:highlight w:val="yellow"/>
              </w:rPr>
            </w:pPr>
            <w:r w:rsidRPr="00EB01F3">
              <w:rPr>
                <w:rFonts w:ascii="Arial" w:hAnsi="Arial" w:cs="Arial"/>
                <w:b/>
                <w:sz w:val="22"/>
                <w:szCs w:val="22"/>
              </w:rPr>
              <w:t xml:space="preserve">Project Code </w:t>
            </w:r>
          </w:p>
        </w:tc>
        <w:tc>
          <w:tcPr>
            <w:tcW w:w="582"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average yields</w:t>
            </w:r>
          </w:p>
        </w:tc>
        <w:tc>
          <w:tcPr>
            <w:tcW w:w="666"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profitability</w:t>
            </w:r>
            <w:r w:rsidRPr="00EB01F3">
              <w:rPr>
                <w:rFonts w:ascii="Arial" w:hAnsi="Arial" w:cs="Arial"/>
                <w:b/>
                <w:sz w:val="22"/>
                <w:szCs w:val="22"/>
                <w:vertAlign w:val="superscript"/>
              </w:rPr>
              <w:t>(a)</w:t>
            </w:r>
          </w:p>
        </w:tc>
        <w:tc>
          <w:tcPr>
            <w:tcW w:w="573"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research, extension or industry capacity</w:t>
            </w:r>
          </w:p>
        </w:tc>
        <w:tc>
          <w:tcPr>
            <w:tcW w:w="798" w:type="pct"/>
          </w:tcPr>
          <w:p w:rsidR="002B5A16" w:rsidRPr="00EB01F3" w:rsidRDefault="002B5A16" w:rsidP="002B5A16">
            <w:pPr>
              <w:rPr>
                <w:rFonts w:ascii="Arial" w:hAnsi="Arial" w:cs="Arial"/>
                <w:b/>
                <w:sz w:val="22"/>
                <w:szCs w:val="22"/>
              </w:rPr>
            </w:pPr>
            <w:r w:rsidRPr="00EB01F3">
              <w:rPr>
                <w:rFonts w:ascii="Arial" w:hAnsi="Arial" w:cs="Arial"/>
                <w:b/>
                <w:sz w:val="22"/>
                <w:szCs w:val="22"/>
              </w:rPr>
              <w:t>Reduced environmental impact - less broadspectrum</w:t>
            </w:r>
          </w:p>
          <w:p w:rsidR="002B5A16" w:rsidRPr="00EB01F3" w:rsidRDefault="002B5A16" w:rsidP="002B5A16">
            <w:pPr>
              <w:rPr>
                <w:rFonts w:ascii="Arial" w:hAnsi="Arial" w:cs="Arial"/>
                <w:b/>
                <w:sz w:val="22"/>
                <w:szCs w:val="22"/>
              </w:rPr>
            </w:pPr>
            <w:r w:rsidRPr="00EB01F3">
              <w:rPr>
                <w:rFonts w:ascii="Arial" w:hAnsi="Arial" w:cs="Arial"/>
                <w:b/>
                <w:sz w:val="22"/>
                <w:szCs w:val="22"/>
              </w:rPr>
              <w:t>chemical use</w:t>
            </w:r>
          </w:p>
        </w:tc>
        <w:tc>
          <w:tcPr>
            <w:tcW w:w="523" w:type="pct"/>
          </w:tcPr>
          <w:p w:rsidR="002B5A16" w:rsidRPr="00EB01F3" w:rsidRDefault="002B5A16" w:rsidP="002B5A16">
            <w:pPr>
              <w:rPr>
                <w:rFonts w:ascii="Arial" w:hAnsi="Arial" w:cs="Arial"/>
                <w:b/>
                <w:sz w:val="22"/>
                <w:szCs w:val="22"/>
              </w:rPr>
            </w:pPr>
            <w:r w:rsidRPr="00EB01F3">
              <w:rPr>
                <w:rFonts w:ascii="Arial" w:hAnsi="Arial" w:cs="Arial"/>
                <w:b/>
                <w:sz w:val="22"/>
                <w:szCs w:val="22"/>
              </w:rPr>
              <w:t>Improved food security</w:t>
            </w:r>
          </w:p>
        </w:tc>
        <w:tc>
          <w:tcPr>
            <w:tcW w:w="589" w:type="pct"/>
          </w:tcPr>
          <w:p w:rsidR="002B5A16" w:rsidRPr="00EB01F3" w:rsidRDefault="002B5A16" w:rsidP="002B5A16">
            <w:pPr>
              <w:rPr>
                <w:rFonts w:ascii="Arial" w:hAnsi="Arial" w:cs="Arial"/>
                <w:b/>
                <w:sz w:val="22"/>
                <w:szCs w:val="22"/>
              </w:rPr>
            </w:pPr>
            <w:r w:rsidRPr="00EB01F3">
              <w:rPr>
                <w:rFonts w:ascii="Arial" w:hAnsi="Arial" w:cs="Arial"/>
                <w:b/>
                <w:sz w:val="22"/>
                <w:szCs w:val="22"/>
              </w:rPr>
              <w:t>Improved human health</w:t>
            </w:r>
          </w:p>
        </w:tc>
        <w:tc>
          <w:tcPr>
            <w:tcW w:w="575" w:type="pct"/>
          </w:tcPr>
          <w:p w:rsidR="002B5A16" w:rsidRPr="00EB01F3" w:rsidRDefault="002B5A16" w:rsidP="002B5A16">
            <w:pPr>
              <w:rPr>
                <w:rFonts w:ascii="Arial" w:hAnsi="Arial" w:cs="Arial"/>
                <w:b/>
                <w:sz w:val="22"/>
                <w:szCs w:val="22"/>
              </w:rPr>
            </w:pPr>
            <w:r w:rsidRPr="00EB01F3">
              <w:rPr>
                <w:rFonts w:ascii="Arial" w:hAnsi="Arial" w:cs="Arial"/>
                <w:b/>
                <w:sz w:val="22"/>
                <w:szCs w:val="22"/>
              </w:rPr>
              <w:t>Increased regional income (spillover)</w:t>
            </w:r>
          </w:p>
        </w:tc>
      </w:tr>
      <w:tr w:rsidR="00EB01F3" w:rsidRPr="00EB01F3" w:rsidTr="00EB01F3">
        <w:trPr>
          <w:trHeight w:val="245"/>
          <w:jc w:val="center"/>
        </w:trPr>
        <w:tc>
          <w:tcPr>
            <w:tcW w:w="696" w:type="pct"/>
          </w:tcPr>
          <w:p w:rsidR="002B5A16" w:rsidRPr="00EB01F3" w:rsidRDefault="002B5A16" w:rsidP="002B5A16">
            <w:pPr>
              <w:rPr>
                <w:rFonts w:ascii="Arial" w:hAnsi="Arial" w:cs="Arial"/>
                <w:sz w:val="22"/>
                <w:szCs w:val="22"/>
                <w:highlight w:val="yellow"/>
              </w:rPr>
            </w:pPr>
            <w:r w:rsidRPr="00EB01F3">
              <w:rPr>
                <w:rFonts w:ascii="Arial" w:hAnsi="Arial" w:cs="Arial"/>
                <w:sz w:val="22"/>
                <w:szCs w:val="22"/>
              </w:rPr>
              <w:t>CP2004-071</w:t>
            </w:r>
          </w:p>
        </w:tc>
        <w:tc>
          <w:tcPr>
            <w:tcW w:w="582" w:type="pct"/>
            <w:vAlign w:val="center"/>
          </w:tcPr>
          <w:p w:rsidR="002B5A16" w:rsidRPr="00EB01F3" w:rsidRDefault="002B5A16" w:rsidP="002B5A16">
            <w:pPr>
              <w:jc w:val="center"/>
              <w:rPr>
                <w:rFonts w:ascii="Arial" w:hAnsi="Arial" w:cs="Arial"/>
                <w:sz w:val="22"/>
                <w:szCs w:val="22"/>
                <w:highlight w:val="yellow"/>
              </w:rPr>
            </w:pPr>
            <w:r w:rsidRPr="00EB01F3">
              <w:rPr>
                <w:rFonts w:ascii="Arial" w:hAnsi="Arial" w:cs="Arial"/>
                <w:sz w:val="22"/>
                <w:szCs w:val="22"/>
              </w:rPr>
              <w:t xml:space="preserve">PNG </w:t>
            </w:r>
          </w:p>
        </w:tc>
        <w:tc>
          <w:tcPr>
            <w:tcW w:w="666" w:type="pct"/>
            <w:vAlign w:val="center"/>
          </w:tcPr>
          <w:p w:rsidR="002B5A16" w:rsidRPr="00EB01F3" w:rsidRDefault="002B5A16" w:rsidP="002B5A16">
            <w:pPr>
              <w:jc w:val="center"/>
              <w:rPr>
                <w:rFonts w:ascii="Arial" w:hAnsi="Arial" w:cs="Arial"/>
                <w:sz w:val="22"/>
                <w:szCs w:val="22"/>
                <w:highlight w:val="yellow"/>
              </w:rPr>
            </w:pPr>
            <w:r w:rsidRPr="00EB01F3">
              <w:rPr>
                <w:rFonts w:ascii="Arial" w:hAnsi="Arial" w:cs="Arial"/>
                <w:sz w:val="22"/>
                <w:szCs w:val="22"/>
              </w:rPr>
              <w:t xml:space="preserve">PNG </w:t>
            </w:r>
          </w:p>
        </w:tc>
        <w:tc>
          <w:tcPr>
            <w:tcW w:w="573" w:type="pct"/>
            <w:vAlign w:val="center"/>
          </w:tcPr>
          <w:p w:rsidR="002B5A16" w:rsidRPr="00EB01F3" w:rsidRDefault="002B5A16" w:rsidP="002B5A16">
            <w:pPr>
              <w:jc w:val="center"/>
              <w:rPr>
                <w:rFonts w:ascii="Arial" w:hAnsi="Arial" w:cs="Arial"/>
                <w:sz w:val="22"/>
                <w:szCs w:val="22"/>
                <w:highlight w:val="yellow"/>
              </w:rPr>
            </w:pPr>
            <w:r w:rsidRPr="00EB01F3">
              <w:rPr>
                <w:rFonts w:ascii="Arial" w:hAnsi="Arial" w:cs="Arial"/>
                <w:sz w:val="22"/>
                <w:szCs w:val="22"/>
              </w:rPr>
              <w:t xml:space="preserve">PNG </w:t>
            </w:r>
          </w:p>
        </w:tc>
        <w:tc>
          <w:tcPr>
            <w:tcW w:w="798" w:type="pct"/>
            <w:vAlign w:val="center"/>
          </w:tcPr>
          <w:p w:rsidR="002B5A16" w:rsidRPr="00EB01F3" w:rsidRDefault="002B5A16" w:rsidP="002B5A16">
            <w:pPr>
              <w:jc w:val="center"/>
              <w:rPr>
                <w:rFonts w:ascii="Arial" w:hAnsi="Arial" w:cs="Arial"/>
                <w:sz w:val="22"/>
                <w:szCs w:val="22"/>
                <w:highlight w:val="yellow"/>
              </w:rPr>
            </w:pPr>
            <w:r w:rsidRPr="00EB01F3">
              <w:rPr>
                <w:rFonts w:ascii="Arial" w:hAnsi="Arial" w:cs="Arial"/>
                <w:sz w:val="22"/>
                <w:szCs w:val="22"/>
              </w:rPr>
              <w:t xml:space="preserve">PNG </w:t>
            </w:r>
          </w:p>
        </w:tc>
        <w:tc>
          <w:tcPr>
            <w:tcW w:w="523" w:type="pct"/>
            <w:vAlign w:val="center"/>
          </w:tcPr>
          <w:p w:rsidR="002B5A16" w:rsidRPr="00EB01F3" w:rsidRDefault="002B5A16" w:rsidP="002B5A16">
            <w:pPr>
              <w:jc w:val="center"/>
              <w:rPr>
                <w:rFonts w:ascii="Arial" w:hAnsi="Arial" w:cs="Arial"/>
                <w:sz w:val="22"/>
                <w:szCs w:val="22"/>
                <w:highlight w:val="yellow"/>
              </w:rPr>
            </w:pPr>
            <w:r w:rsidRPr="00EB01F3">
              <w:rPr>
                <w:rFonts w:ascii="Arial" w:hAnsi="Arial" w:cs="Arial"/>
                <w:sz w:val="22"/>
                <w:szCs w:val="22"/>
              </w:rPr>
              <w:t xml:space="preserve">PNG </w:t>
            </w:r>
          </w:p>
        </w:tc>
        <w:tc>
          <w:tcPr>
            <w:tcW w:w="589" w:type="pct"/>
            <w:vAlign w:val="center"/>
          </w:tcPr>
          <w:p w:rsidR="002B5A16" w:rsidRPr="00EB01F3" w:rsidRDefault="002B5A16" w:rsidP="002B5A16">
            <w:pPr>
              <w:jc w:val="center"/>
              <w:rPr>
                <w:rFonts w:ascii="Arial" w:hAnsi="Arial" w:cs="Arial"/>
                <w:sz w:val="22"/>
                <w:szCs w:val="22"/>
                <w:highlight w:val="yellow"/>
              </w:rPr>
            </w:pPr>
            <w:r w:rsidRPr="00EB01F3">
              <w:rPr>
                <w:rFonts w:ascii="Arial" w:hAnsi="Arial" w:cs="Arial"/>
                <w:sz w:val="22"/>
                <w:szCs w:val="22"/>
              </w:rPr>
              <w:t xml:space="preserve">PNG </w:t>
            </w:r>
          </w:p>
        </w:tc>
        <w:tc>
          <w:tcPr>
            <w:tcW w:w="575" w:type="pct"/>
            <w:vAlign w:val="center"/>
          </w:tcPr>
          <w:p w:rsidR="002B5A16" w:rsidRPr="00EB01F3" w:rsidRDefault="002B5A16" w:rsidP="002B5A16">
            <w:pPr>
              <w:jc w:val="center"/>
              <w:rPr>
                <w:rFonts w:ascii="Arial" w:hAnsi="Arial" w:cs="Arial"/>
                <w:sz w:val="22"/>
                <w:szCs w:val="22"/>
                <w:highlight w:val="yellow"/>
              </w:rPr>
            </w:pPr>
            <w:r w:rsidRPr="00EB01F3">
              <w:rPr>
                <w:rFonts w:ascii="Arial" w:hAnsi="Arial" w:cs="Arial"/>
                <w:sz w:val="22"/>
                <w:szCs w:val="22"/>
              </w:rPr>
              <w:t xml:space="preserve">PNG </w:t>
            </w:r>
          </w:p>
        </w:tc>
      </w:tr>
      <w:tr w:rsidR="00EB01F3" w:rsidRPr="00EB01F3" w:rsidTr="00EB01F3">
        <w:trPr>
          <w:trHeight w:val="245"/>
          <w:jc w:val="center"/>
        </w:trPr>
        <w:tc>
          <w:tcPr>
            <w:tcW w:w="696" w:type="pct"/>
          </w:tcPr>
          <w:p w:rsidR="002B5A16" w:rsidRPr="00EB01F3" w:rsidRDefault="002B5A16" w:rsidP="002B5A16">
            <w:pPr>
              <w:rPr>
                <w:rFonts w:ascii="Arial" w:hAnsi="Arial" w:cs="Arial"/>
                <w:sz w:val="22"/>
                <w:szCs w:val="22"/>
              </w:rPr>
            </w:pPr>
            <w:r w:rsidRPr="00EB01F3">
              <w:rPr>
                <w:rFonts w:ascii="Arial" w:hAnsi="Arial" w:cs="Arial"/>
                <w:sz w:val="22"/>
                <w:szCs w:val="22"/>
              </w:rPr>
              <w:t>CP2005-134</w:t>
            </w:r>
          </w:p>
        </w:tc>
        <w:tc>
          <w:tcPr>
            <w:tcW w:w="582"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 xml:space="preserve">PNG &amp; SI </w:t>
            </w:r>
          </w:p>
        </w:tc>
        <w:tc>
          <w:tcPr>
            <w:tcW w:w="666" w:type="pct"/>
            <w:vAlign w:val="center"/>
          </w:tcPr>
          <w:p w:rsidR="002B5A16" w:rsidRPr="00EB01F3" w:rsidRDefault="002B5A16" w:rsidP="002B5A16">
            <w:pPr>
              <w:jc w:val="center"/>
              <w:rPr>
                <w:rFonts w:ascii="Arial" w:hAnsi="Arial" w:cs="Arial"/>
                <w:sz w:val="22"/>
                <w:szCs w:val="22"/>
              </w:rPr>
            </w:pPr>
          </w:p>
        </w:tc>
        <w:tc>
          <w:tcPr>
            <w:tcW w:w="573"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 xml:space="preserve">PNG &amp; SI </w:t>
            </w:r>
          </w:p>
        </w:tc>
        <w:tc>
          <w:tcPr>
            <w:tcW w:w="798" w:type="pct"/>
            <w:vAlign w:val="center"/>
          </w:tcPr>
          <w:p w:rsidR="002B5A16" w:rsidRPr="00EB01F3" w:rsidRDefault="002B5A16" w:rsidP="002B5A16">
            <w:pPr>
              <w:jc w:val="center"/>
              <w:rPr>
                <w:rFonts w:ascii="Arial" w:hAnsi="Arial" w:cs="Arial"/>
                <w:sz w:val="22"/>
                <w:szCs w:val="22"/>
              </w:rPr>
            </w:pPr>
          </w:p>
        </w:tc>
        <w:tc>
          <w:tcPr>
            <w:tcW w:w="523"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 &amp; SI</w:t>
            </w:r>
          </w:p>
        </w:tc>
        <w:tc>
          <w:tcPr>
            <w:tcW w:w="589"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 &amp; SI</w:t>
            </w:r>
          </w:p>
        </w:tc>
        <w:tc>
          <w:tcPr>
            <w:tcW w:w="575"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 &amp; SI</w:t>
            </w:r>
          </w:p>
        </w:tc>
      </w:tr>
      <w:tr w:rsidR="00EB01F3" w:rsidRPr="00EB01F3" w:rsidTr="00EB01F3">
        <w:trPr>
          <w:trHeight w:val="245"/>
          <w:jc w:val="center"/>
        </w:trPr>
        <w:tc>
          <w:tcPr>
            <w:tcW w:w="696" w:type="pct"/>
          </w:tcPr>
          <w:p w:rsidR="002B5A16" w:rsidRPr="00EB01F3" w:rsidRDefault="002B5A16" w:rsidP="002B5A16">
            <w:pPr>
              <w:rPr>
                <w:rFonts w:ascii="Arial" w:hAnsi="Arial" w:cs="Arial"/>
                <w:sz w:val="22"/>
                <w:szCs w:val="22"/>
              </w:rPr>
            </w:pPr>
            <w:r w:rsidRPr="00EB01F3">
              <w:rPr>
                <w:rFonts w:ascii="Arial" w:hAnsi="Arial" w:cs="Arial"/>
                <w:sz w:val="22"/>
                <w:szCs w:val="22"/>
              </w:rPr>
              <w:t>PC2011-053</w:t>
            </w:r>
          </w:p>
        </w:tc>
        <w:tc>
          <w:tcPr>
            <w:tcW w:w="582"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w:t>
            </w:r>
          </w:p>
        </w:tc>
        <w:tc>
          <w:tcPr>
            <w:tcW w:w="666"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w:t>
            </w:r>
          </w:p>
        </w:tc>
        <w:tc>
          <w:tcPr>
            <w:tcW w:w="573"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w:t>
            </w:r>
          </w:p>
        </w:tc>
        <w:tc>
          <w:tcPr>
            <w:tcW w:w="798"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w:t>
            </w:r>
          </w:p>
        </w:tc>
        <w:tc>
          <w:tcPr>
            <w:tcW w:w="523"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 xml:space="preserve">PNG </w:t>
            </w:r>
          </w:p>
        </w:tc>
        <w:tc>
          <w:tcPr>
            <w:tcW w:w="589"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w:t>
            </w:r>
          </w:p>
        </w:tc>
        <w:tc>
          <w:tcPr>
            <w:tcW w:w="575" w:type="pct"/>
            <w:vAlign w:val="center"/>
          </w:tcPr>
          <w:p w:rsidR="002B5A16" w:rsidRPr="00EB01F3" w:rsidRDefault="002B5A16" w:rsidP="002B5A16">
            <w:pPr>
              <w:jc w:val="center"/>
              <w:rPr>
                <w:rFonts w:ascii="Arial" w:hAnsi="Arial" w:cs="Arial"/>
                <w:sz w:val="22"/>
                <w:szCs w:val="22"/>
              </w:rPr>
            </w:pPr>
            <w:r w:rsidRPr="00EB01F3">
              <w:rPr>
                <w:rFonts w:ascii="Arial" w:hAnsi="Arial" w:cs="Arial"/>
                <w:sz w:val="22"/>
                <w:szCs w:val="22"/>
              </w:rPr>
              <w:t>PNG</w:t>
            </w:r>
          </w:p>
        </w:tc>
      </w:tr>
    </w:tbl>
    <w:p w:rsidR="002B5A16" w:rsidRPr="00131B22" w:rsidRDefault="002B5A16" w:rsidP="000D5A34">
      <w:pPr>
        <w:pStyle w:val="ListParagraph"/>
        <w:numPr>
          <w:ilvl w:val="0"/>
          <w:numId w:val="58"/>
        </w:numPr>
        <w:suppressAutoHyphens/>
        <w:contextualSpacing w:val="0"/>
        <w:rPr>
          <w:rFonts w:ascii="Arial" w:hAnsi="Arial" w:cs="Arial"/>
          <w:sz w:val="18"/>
        </w:rPr>
      </w:pPr>
      <w:r>
        <w:rPr>
          <w:rFonts w:ascii="Arial" w:hAnsi="Arial" w:cs="Arial"/>
          <w:sz w:val="18"/>
        </w:rPr>
        <w:t>Includes increased sweetpotato demand and production cost savings</w:t>
      </w:r>
    </w:p>
    <w:p w:rsidR="002B5A16" w:rsidRDefault="002B5A16" w:rsidP="002B5A16">
      <w:pPr>
        <w:rPr>
          <w:rFonts w:ascii="Arial" w:hAnsi="Arial" w:cs="Arial"/>
        </w:rPr>
      </w:pPr>
    </w:p>
    <w:p w:rsidR="002B5A16" w:rsidRDefault="002B5A16" w:rsidP="002B5A16">
      <w:pPr>
        <w:rPr>
          <w:rFonts w:ascii="Arial" w:hAnsi="Arial" w:cs="Arial"/>
        </w:rPr>
      </w:pPr>
    </w:p>
    <w:p w:rsidR="002B5A16" w:rsidRDefault="002B5A16" w:rsidP="002B5A16">
      <w:pPr>
        <w:rPr>
          <w:rFonts w:ascii="Arial" w:hAnsi="Arial" w:cs="Arial"/>
        </w:rPr>
        <w:sectPr w:rsidR="002B5A16" w:rsidSect="002B5A16">
          <w:pgSz w:w="16838" w:h="11906" w:orient="landscape"/>
          <w:pgMar w:top="1440" w:right="1440" w:bottom="1440" w:left="1440" w:header="708" w:footer="708" w:gutter="0"/>
          <w:cols w:space="708"/>
          <w:docGrid w:linePitch="360"/>
        </w:sectPr>
      </w:pPr>
    </w:p>
    <w:p w:rsidR="002B5A16" w:rsidRPr="000A0AA1" w:rsidRDefault="002B5A16" w:rsidP="00AF6856">
      <w:pPr>
        <w:widowControl w:val="0"/>
        <w:spacing w:after="240"/>
        <w:rPr>
          <w:rFonts w:ascii="Arial" w:hAnsi="Arial" w:cs="Arial"/>
          <w:sz w:val="10"/>
          <w:szCs w:val="10"/>
        </w:rPr>
      </w:pPr>
      <w:r w:rsidRPr="00301118">
        <w:rPr>
          <w:rFonts w:ascii="Arial" w:hAnsi="Arial" w:cs="Arial"/>
        </w:rPr>
        <w:t xml:space="preserve">From the logical frameworks in Section 3 and the key impacts described in Table </w:t>
      </w:r>
      <w:r>
        <w:rPr>
          <w:rFonts w:ascii="Arial" w:hAnsi="Arial" w:cs="Arial"/>
        </w:rPr>
        <w:t>1</w:t>
      </w:r>
      <w:r w:rsidRPr="00301118">
        <w:rPr>
          <w:rFonts w:ascii="Arial" w:hAnsi="Arial" w:cs="Arial"/>
        </w:rPr>
        <w:t>6</w:t>
      </w:r>
      <w:r>
        <w:rPr>
          <w:rFonts w:ascii="Arial" w:hAnsi="Arial" w:cs="Arial"/>
        </w:rPr>
        <w:t xml:space="preserve"> and Table 17</w:t>
      </w:r>
      <w:r w:rsidRPr="00301118">
        <w:rPr>
          <w:rFonts w:ascii="Arial" w:hAnsi="Arial" w:cs="Arial"/>
        </w:rPr>
        <w:t xml:space="preserve">, potential impacts of the 11 projects were then condensed and described in a triple bottom line context in Table </w:t>
      </w:r>
      <w:r>
        <w:rPr>
          <w:rFonts w:ascii="Arial" w:hAnsi="Arial" w:cs="Arial"/>
        </w:rPr>
        <w:t>18</w:t>
      </w:r>
      <w:r w:rsidRPr="00301118">
        <w:rPr>
          <w:rFonts w:ascii="Arial" w:hAnsi="Arial" w:cs="Arial"/>
        </w:rPr>
        <w:t>.</w:t>
      </w:r>
    </w:p>
    <w:p w:rsidR="002B5A16" w:rsidRPr="00AF6856" w:rsidRDefault="002B5A16" w:rsidP="00AF6856">
      <w:pPr>
        <w:pStyle w:val="Caption"/>
        <w:spacing w:after="240"/>
        <w:jc w:val="center"/>
        <w:rPr>
          <w:rFonts w:ascii="Arial" w:hAnsi="Arial"/>
          <w:b w:val="0"/>
          <w:i/>
          <w:sz w:val="22"/>
          <w:szCs w:val="22"/>
        </w:rPr>
      </w:pPr>
      <w:bookmarkStart w:id="479" w:name="_Toc487091292"/>
      <w:r w:rsidRPr="00AF6856">
        <w:rPr>
          <w:rFonts w:ascii="Arial" w:hAnsi="Arial"/>
          <w:b w:val="0"/>
          <w:sz w:val="22"/>
          <w:szCs w:val="22"/>
        </w:rPr>
        <w:t xml:space="preserve">Table </w:t>
      </w:r>
      <w:r w:rsidR="00913E1D" w:rsidRPr="00EB01F3">
        <w:rPr>
          <w:rFonts w:ascii="Arial" w:hAnsi="Arial"/>
          <w:b w:val="0"/>
          <w:sz w:val="22"/>
          <w:szCs w:val="22"/>
        </w:rPr>
        <w:t>18</w:t>
      </w:r>
      <w:r w:rsidRPr="00EB01F3">
        <w:rPr>
          <w:rFonts w:ascii="Arial" w:hAnsi="Arial"/>
          <w:b w:val="0"/>
          <w:sz w:val="22"/>
          <w:szCs w:val="22"/>
        </w:rPr>
        <w:t>:</w:t>
      </w:r>
      <w:r w:rsidRPr="00AF6856">
        <w:rPr>
          <w:rFonts w:ascii="Arial" w:hAnsi="Arial"/>
          <w:b w:val="0"/>
          <w:sz w:val="22"/>
          <w:szCs w:val="22"/>
        </w:rPr>
        <w:t xml:space="preserve"> Triple Bottom Line Categories of Impacts from Sweetpotato Investment</w:t>
      </w:r>
      <w:bookmarkEnd w:id="479"/>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647"/>
        <w:gridCol w:w="7229"/>
      </w:tblGrid>
      <w:tr w:rsidR="002B5A16" w:rsidRPr="007D67C2" w:rsidTr="002B5A16">
        <w:trPr>
          <w:trHeight w:val="58"/>
        </w:trPr>
        <w:tc>
          <w:tcPr>
            <w:tcW w:w="1647" w:type="dxa"/>
            <w:tcBorders>
              <w:bottom w:val="single" w:sz="4" w:space="0" w:color="auto"/>
            </w:tcBorders>
          </w:tcPr>
          <w:p w:rsidR="002B5A16" w:rsidRPr="002202C5" w:rsidRDefault="002B5A16" w:rsidP="002B5A16">
            <w:pPr>
              <w:widowControl w:val="0"/>
              <w:rPr>
                <w:rFonts w:ascii="Arial" w:hAnsi="Arial" w:cs="Arial"/>
                <w:sz w:val="22"/>
                <w:szCs w:val="22"/>
              </w:rPr>
            </w:pPr>
            <w:r w:rsidRPr="002202C5">
              <w:rPr>
                <w:rFonts w:ascii="Arial" w:hAnsi="Arial" w:cs="Arial"/>
                <w:sz w:val="22"/>
                <w:szCs w:val="22"/>
              </w:rPr>
              <w:t>Economic</w:t>
            </w:r>
          </w:p>
        </w:tc>
        <w:tc>
          <w:tcPr>
            <w:tcW w:w="7229" w:type="dxa"/>
            <w:tcBorders>
              <w:bottom w:val="single" w:sz="4" w:space="0" w:color="auto"/>
            </w:tcBorders>
          </w:tcPr>
          <w:p w:rsidR="002B5A16" w:rsidRDefault="002B5A16" w:rsidP="002B5A16">
            <w:pPr>
              <w:pStyle w:val="ListParagraph"/>
              <w:widowControl w:val="0"/>
              <w:numPr>
                <w:ilvl w:val="0"/>
                <w:numId w:val="12"/>
              </w:numPr>
              <w:suppressAutoHyphens/>
              <w:contextualSpacing w:val="0"/>
              <w:rPr>
                <w:rFonts w:ascii="Arial" w:hAnsi="Arial" w:cs="Arial"/>
                <w:sz w:val="22"/>
                <w:szCs w:val="22"/>
              </w:rPr>
            </w:pPr>
            <w:r w:rsidRPr="00593027">
              <w:rPr>
                <w:rFonts w:ascii="Arial" w:hAnsi="Arial" w:cs="Arial"/>
                <w:sz w:val="22"/>
                <w:szCs w:val="22"/>
              </w:rPr>
              <w:t>Increased average yields</w:t>
            </w:r>
            <w:r>
              <w:rPr>
                <w:rFonts w:ascii="Arial" w:hAnsi="Arial" w:cs="Arial"/>
                <w:sz w:val="22"/>
                <w:szCs w:val="22"/>
              </w:rPr>
              <w:t xml:space="preserve"> through PT planting material, seedbed technology, insect control, agronomy and selection of more productive genetic material.</w:t>
            </w:r>
          </w:p>
          <w:p w:rsidR="002B5A16" w:rsidRPr="00593027" w:rsidRDefault="002B5A16" w:rsidP="002B5A16">
            <w:pPr>
              <w:pStyle w:val="ListParagraph"/>
              <w:widowControl w:val="0"/>
              <w:numPr>
                <w:ilvl w:val="0"/>
                <w:numId w:val="12"/>
              </w:numPr>
              <w:suppressAutoHyphens/>
              <w:contextualSpacing w:val="0"/>
              <w:rPr>
                <w:rFonts w:ascii="Arial" w:hAnsi="Arial" w:cs="Arial"/>
                <w:sz w:val="22"/>
                <w:szCs w:val="22"/>
              </w:rPr>
            </w:pPr>
            <w:r>
              <w:rPr>
                <w:rFonts w:ascii="Arial" w:hAnsi="Arial" w:cs="Arial"/>
                <w:sz w:val="22"/>
                <w:szCs w:val="22"/>
              </w:rPr>
              <w:t>Increased profitability through increased prices received for sweetpotatoes that better meet consumer requirements as well as input cost savings - planting material, chemicals and fertiliser.</w:t>
            </w:r>
          </w:p>
        </w:tc>
      </w:tr>
      <w:tr w:rsidR="002B5A16" w:rsidRPr="007D67C2" w:rsidTr="002B5A16">
        <w:trPr>
          <w:trHeight w:val="274"/>
        </w:trPr>
        <w:tc>
          <w:tcPr>
            <w:tcW w:w="1647" w:type="dxa"/>
          </w:tcPr>
          <w:p w:rsidR="002B5A16" w:rsidRPr="002202C5" w:rsidRDefault="002B5A16" w:rsidP="002B5A16">
            <w:pPr>
              <w:widowControl w:val="0"/>
              <w:rPr>
                <w:rFonts w:ascii="Arial" w:hAnsi="Arial" w:cs="Arial"/>
                <w:sz w:val="22"/>
                <w:szCs w:val="22"/>
              </w:rPr>
            </w:pPr>
            <w:r w:rsidRPr="002202C5">
              <w:rPr>
                <w:rFonts w:ascii="Arial" w:hAnsi="Arial" w:cs="Arial"/>
                <w:sz w:val="22"/>
                <w:szCs w:val="22"/>
              </w:rPr>
              <w:t>Environmental</w:t>
            </w:r>
          </w:p>
        </w:tc>
        <w:tc>
          <w:tcPr>
            <w:tcW w:w="7229" w:type="dxa"/>
          </w:tcPr>
          <w:p w:rsidR="002B5A16" w:rsidRPr="006C646F" w:rsidRDefault="002B5A16" w:rsidP="002B5A16">
            <w:pPr>
              <w:pStyle w:val="ListParagraph"/>
              <w:widowControl w:val="0"/>
              <w:numPr>
                <w:ilvl w:val="0"/>
                <w:numId w:val="11"/>
              </w:numPr>
              <w:contextualSpacing w:val="0"/>
              <w:rPr>
                <w:rFonts w:ascii="Arial" w:hAnsi="Arial" w:cs="Arial"/>
                <w:sz w:val="22"/>
                <w:szCs w:val="22"/>
              </w:rPr>
            </w:pPr>
            <w:r>
              <w:rPr>
                <w:rFonts w:ascii="Arial" w:hAnsi="Arial" w:cs="Arial"/>
                <w:sz w:val="22"/>
                <w:szCs w:val="22"/>
              </w:rPr>
              <w:t>Fewer chemicals in the farm and district environment with positive impacts on biodiversity and water quality</w:t>
            </w:r>
            <w:r w:rsidRPr="006C646F">
              <w:rPr>
                <w:rFonts w:ascii="Arial" w:hAnsi="Arial" w:cs="Arial"/>
                <w:color w:val="000000" w:themeColor="text1"/>
                <w:sz w:val="22"/>
                <w:szCs w:val="22"/>
              </w:rPr>
              <w:t>.</w:t>
            </w:r>
          </w:p>
        </w:tc>
      </w:tr>
      <w:tr w:rsidR="002B5A16" w:rsidRPr="007D67C2" w:rsidTr="002B5A16">
        <w:tc>
          <w:tcPr>
            <w:tcW w:w="1647" w:type="dxa"/>
            <w:tcBorders>
              <w:bottom w:val="single" w:sz="4" w:space="0" w:color="auto"/>
            </w:tcBorders>
          </w:tcPr>
          <w:p w:rsidR="002B5A16" w:rsidRPr="002202C5" w:rsidRDefault="002B5A16" w:rsidP="002B5A16">
            <w:pPr>
              <w:widowControl w:val="0"/>
              <w:rPr>
                <w:rFonts w:ascii="Arial" w:hAnsi="Arial" w:cs="Arial"/>
                <w:sz w:val="22"/>
                <w:szCs w:val="22"/>
              </w:rPr>
            </w:pPr>
            <w:r w:rsidRPr="002202C5">
              <w:rPr>
                <w:rFonts w:ascii="Arial" w:hAnsi="Arial" w:cs="Arial"/>
                <w:sz w:val="22"/>
                <w:szCs w:val="22"/>
              </w:rPr>
              <w:t>Social</w:t>
            </w:r>
          </w:p>
        </w:tc>
        <w:tc>
          <w:tcPr>
            <w:tcW w:w="7229" w:type="dxa"/>
            <w:tcBorders>
              <w:bottom w:val="single" w:sz="4" w:space="0" w:color="auto"/>
            </w:tcBorders>
          </w:tcPr>
          <w:p w:rsidR="002B5A16" w:rsidRPr="006C646F" w:rsidRDefault="002B5A16" w:rsidP="002B5A16">
            <w:pPr>
              <w:pStyle w:val="ListParagraph"/>
              <w:numPr>
                <w:ilvl w:val="0"/>
                <w:numId w:val="11"/>
              </w:numPr>
              <w:suppressAutoHyphens/>
              <w:contextualSpacing w:val="0"/>
              <w:rPr>
                <w:rFonts w:ascii="Arial" w:hAnsi="Arial" w:cs="Arial"/>
                <w:sz w:val="22"/>
                <w:szCs w:val="22"/>
              </w:rPr>
            </w:pPr>
            <w:r w:rsidRPr="006C646F">
              <w:rPr>
                <w:rFonts w:ascii="Arial" w:hAnsi="Arial" w:cs="Arial"/>
                <w:sz w:val="22"/>
                <w:szCs w:val="22"/>
              </w:rPr>
              <w:t>Increased research capacity</w:t>
            </w:r>
            <w:r>
              <w:rPr>
                <w:rFonts w:ascii="Arial" w:hAnsi="Arial" w:cs="Arial"/>
                <w:sz w:val="22"/>
                <w:szCs w:val="22"/>
              </w:rPr>
              <w:t xml:space="preserve"> including virus testing and biological control strategies for weevils (Australia and PNG), crop sampling (PNG), new agronomic experimental techniques (Australia), and virus diagnostic methods (Australia).</w:t>
            </w:r>
          </w:p>
          <w:p w:rsidR="002B5A16" w:rsidRPr="00001B12" w:rsidRDefault="002B5A16" w:rsidP="002B5A16">
            <w:pPr>
              <w:pStyle w:val="ListParagraph"/>
              <w:numPr>
                <w:ilvl w:val="0"/>
                <w:numId w:val="11"/>
              </w:numPr>
              <w:suppressAutoHyphens/>
              <w:contextualSpacing w:val="0"/>
              <w:rPr>
                <w:rFonts w:ascii="Arial" w:hAnsi="Arial" w:cs="Arial"/>
                <w:sz w:val="22"/>
                <w:szCs w:val="22"/>
              </w:rPr>
            </w:pPr>
            <w:r>
              <w:rPr>
                <w:rFonts w:ascii="Arial" w:hAnsi="Arial" w:cs="Arial"/>
                <w:sz w:val="22"/>
                <w:szCs w:val="22"/>
              </w:rPr>
              <w:t xml:space="preserve">Increased </w:t>
            </w:r>
            <w:r w:rsidRPr="006C646F">
              <w:rPr>
                <w:rFonts w:ascii="Arial" w:hAnsi="Arial" w:cs="Arial"/>
                <w:sz w:val="22"/>
                <w:szCs w:val="22"/>
              </w:rPr>
              <w:t>extension capacity</w:t>
            </w:r>
            <w:r>
              <w:rPr>
                <w:rFonts w:ascii="Arial" w:hAnsi="Arial" w:cs="Arial"/>
                <w:sz w:val="22"/>
                <w:szCs w:val="22"/>
              </w:rPr>
              <w:t xml:space="preserve"> including new skills and techniques for the successful uptake of new varieties and production technologies (PNG).</w:t>
            </w:r>
          </w:p>
          <w:p w:rsidR="002B5A16" w:rsidRPr="00C526F1" w:rsidRDefault="002B5A16" w:rsidP="002B5A16">
            <w:pPr>
              <w:pStyle w:val="ListParagraph"/>
              <w:numPr>
                <w:ilvl w:val="0"/>
                <w:numId w:val="11"/>
              </w:numPr>
              <w:suppressAutoHyphens/>
              <w:contextualSpacing w:val="0"/>
              <w:rPr>
                <w:rFonts w:ascii="Arial" w:hAnsi="Arial" w:cs="Arial"/>
                <w:sz w:val="22"/>
                <w:szCs w:val="22"/>
              </w:rPr>
            </w:pPr>
            <w:r>
              <w:rPr>
                <w:rFonts w:ascii="Arial" w:hAnsi="Arial" w:cs="Arial"/>
                <w:sz w:val="22"/>
                <w:szCs w:val="22"/>
              </w:rPr>
              <w:t>Increased industry capacity including understanding and implementation of sweetpotato IPM techniques (Australia).</w:t>
            </w:r>
          </w:p>
          <w:p w:rsidR="002B5A16" w:rsidRPr="00C526F1" w:rsidRDefault="002B5A16" w:rsidP="002B5A16">
            <w:pPr>
              <w:pStyle w:val="ListParagraph"/>
              <w:numPr>
                <w:ilvl w:val="0"/>
                <w:numId w:val="11"/>
              </w:numPr>
              <w:suppressAutoHyphens/>
              <w:contextualSpacing w:val="0"/>
              <w:rPr>
                <w:rFonts w:ascii="Arial" w:hAnsi="Arial" w:cs="Arial"/>
                <w:sz w:val="22"/>
                <w:szCs w:val="22"/>
              </w:rPr>
            </w:pPr>
            <w:r>
              <w:rPr>
                <w:rFonts w:ascii="Arial" w:hAnsi="Arial" w:cs="Arial"/>
                <w:sz w:val="22"/>
                <w:szCs w:val="22"/>
              </w:rPr>
              <w:t xml:space="preserve">Improved food security – sweetpotatoes are an important staple and increased yield addresses declining sweetpotato output combined with population growth (PNG and Solomon Islands). </w:t>
            </w:r>
          </w:p>
          <w:p w:rsidR="002B5A16" w:rsidRPr="00C526F1" w:rsidRDefault="002B5A16" w:rsidP="002B5A16">
            <w:pPr>
              <w:pStyle w:val="ListParagraph"/>
              <w:numPr>
                <w:ilvl w:val="0"/>
                <w:numId w:val="11"/>
              </w:numPr>
              <w:suppressAutoHyphens/>
              <w:contextualSpacing w:val="0"/>
              <w:rPr>
                <w:rFonts w:ascii="Arial" w:hAnsi="Arial" w:cs="Arial"/>
                <w:sz w:val="22"/>
                <w:szCs w:val="22"/>
              </w:rPr>
            </w:pPr>
            <w:r>
              <w:rPr>
                <w:rFonts w:ascii="Arial" w:hAnsi="Arial" w:cs="Arial"/>
                <w:sz w:val="22"/>
                <w:szCs w:val="22"/>
              </w:rPr>
              <w:t>Improved human health</w:t>
            </w:r>
            <w:r>
              <w:rPr>
                <w:rFonts w:ascii="Arial" w:hAnsi="Arial" w:cs="Arial"/>
                <w:sz w:val="22"/>
              </w:rPr>
              <w:t xml:space="preserve"> - new varieties established in PNG and the Solomon Islands have displaced poor quality varieties and offer improved vitamin intake, antioxidants and dietary fibre.</w:t>
            </w:r>
            <w:r>
              <w:rPr>
                <w:rFonts w:ascii="Arial" w:hAnsi="Arial" w:cs="Arial"/>
                <w:sz w:val="22"/>
                <w:szCs w:val="22"/>
              </w:rPr>
              <w:t xml:space="preserve"> </w:t>
            </w:r>
          </w:p>
          <w:p w:rsidR="002B5A16" w:rsidRPr="006C646F" w:rsidRDefault="002B5A16" w:rsidP="002B5A16">
            <w:pPr>
              <w:pStyle w:val="ListParagraph"/>
              <w:numPr>
                <w:ilvl w:val="0"/>
                <w:numId w:val="11"/>
              </w:numPr>
              <w:suppressAutoHyphens/>
              <w:contextualSpacing w:val="0"/>
              <w:rPr>
                <w:rFonts w:ascii="Arial" w:hAnsi="Arial" w:cs="Arial"/>
                <w:sz w:val="22"/>
                <w:szCs w:val="22"/>
              </w:rPr>
            </w:pPr>
            <w:r w:rsidRPr="006C646F">
              <w:rPr>
                <w:rFonts w:ascii="Arial" w:hAnsi="Arial" w:cs="Arial"/>
                <w:sz w:val="22"/>
                <w:szCs w:val="22"/>
              </w:rPr>
              <w:t xml:space="preserve">Increased regional incomes resulting from the increased profitability of </w:t>
            </w:r>
            <w:r>
              <w:rPr>
                <w:rFonts w:ascii="Arial" w:hAnsi="Arial" w:cs="Arial"/>
                <w:sz w:val="22"/>
                <w:szCs w:val="22"/>
              </w:rPr>
              <w:t>sweetpotato</w:t>
            </w:r>
            <w:r w:rsidRPr="006C646F">
              <w:rPr>
                <w:rFonts w:ascii="Arial" w:hAnsi="Arial" w:cs="Arial"/>
                <w:sz w:val="22"/>
                <w:szCs w:val="22"/>
              </w:rPr>
              <w:t xml:space="preserve"> production in </w:t>
            </w:r>
            <w:r>
              <w:rPr>
                <w:rFonts w:ascii="Arial" w:hAnsi="Arial" w:cs="Arial"/>
                <w:sz w:val="22"/>
                <w:szCs w:val="22"/>
              </w:rPr>
              <w:t xml:space="preserve">both </w:t>
            </w:r>
            <w:r w:rsidRPr="006C646F">
              <w:rPr>
                <w:rFonts w:ascii="Arial" w:hAnsi="Arial" w:cs="Arial"/>
                <w:sz w:val="22"/>
                <w:szCs w:val="22"/>
              </w:rPr>
              <w:t>PNG</w:t>
            </w:r>
            <w:r>
              <w:rPr>
                <w:rFonts w:ascii="Arial" w:hAnsi="Arial" w:cs="Arial"/>
                <w:sz w:val="22"/>
                <w:szCs w:val="22"/>
              </w:rPr>
              <w:t xml:space="preserve"> and Australia</w:t>
            </w:r>
            <w:r w:rsidRPr="006C646F">
              <w:rPr>
                <w:rFonts w:ascii="Arial" w:hAnsi="Arial" w:cs="Arial"/>
                <w:sz w:val="22"/>
                <w:szCs w:val="22"/>
              </w:rPr>
              <w:t>.</w:t>
            </w:r>
          </w:p>
        </w:tc>
      </w:tr>
    </w:tbl>
    <w:p w:rsidR="002B5A16" w:rsidRDefault="002B5A16" w:rsidP="00AF6856">
      <w:pPr>
        <w:rPr>
          <w:rFonts w:ascii="Arial" w:hAnsi="Arial" w:cs="Arial"/>
        </w:rPr>
      </w:pPr>
    </w:p>
    <w:p w:rsidR="00EB01F3" w:rsidRPr="00AF6856" w:rsidRDefault="00EB01F3" w:rsidP="00AF6856">
      <w:pPr>
        <w:rPr>
          <w:rFonts w:ascii="Arial" w:hAnsi="Arial" w:cs="Arial"/>
        </w:rPr>
      </w:pPr>
    </w:p>
    <w:p w:rsidR="002B5A16" w:rsidRPr="00D267A4" w:rsidRDefault="002B5A16" w:rsidP="00AF6856">
      <w:pPr>
        <w:widowControl w:val="0"/>
        <w:spacing w:after="240"/>
        <w:rPr>
          <w:rFonts w:ascii="Arial" w:hAnsi="Arial" w:cs="Arial"/>
          <w:b/>
        </w:rPr>
      </w:pPr>
      <w:r w:rsidRPr="00D267A4">
        <w:rPr>
          <w:rFonts w:ascii="Arial" w:hAnsi="Arial" w:cs="Arial"/>
          <w:b/>
        </w:rPr>
        <w:t xml:space="preserve">Public versus Private Impacts </w:t>
      </w:r>
    </w:p>
    <w:p w:rsidR="002B5A16" w:rsidRPr="00C10308" w:rsidRDefault="002B5A16" w:rsidP="00AF6856">
      <w:pPr>
        <w:spacing w:after="240"/>
        <w:rPr>
          <w:rFonts w:ascii="Arial" w:hAnsi="Arial" w:cs="Arial"/>
        </w:rPr>
      </w:pPr>
      <w:r w:rsidRPr="00C10308">
        <w:rPr>
          <w:rFonts w:ascii="Arial" w:hAnsi="Arial" w:cs="Arial"/>
        </w:rPr>
        <w:t xml:space="preserve">The majority of benefits identified in this evaluation are </w:t>
      </w:r>
      <w:r>
        <w:rPr>
          <w:rFonts w:ascii="Arial" w:hAnsi="Arial" w:cs="Arial"/>
        </w:rPr>
        <w:t xml:space="preserve">sweetpotato </w:t>
      </w:r>
      <w:r w:rsidRPr="00C10308">
        <w:rPr>
          <w:rFonts w:ascii="Arial" w:hAnsi="Arial" w:cs="Arial"/>
        </w:rPr>
        <w:t>industry related and therefore are considered private benefits. Public benefits have also been delivered, including environmental benefits and social benefits.</w:t>
      </w:r>
    </w:p>
    <w:p w:rsidR="002B5A16" w:rsidRPr="00C10308" w:rsidRDefault="002B5A16" w:rsidP="00AF6856">
      <w:pPr>
        <w:spacing w:after="240"/>
        <w:rPr>
          <w:rFonts w:ascii="Arial" w:hAnsi="Arial" w:cs="Arial"/>
        </w:rPr>
      </w:pPr>
      <w:r>
        <w:rPr>
          <w:rFonts w:ascii="Arial" w:hAnsi="Arial" w:cs="Arial"/>
        </w:rPr>
        <w:t>E</w:t>
      </w:r>
      <w:r w:rsidRPr="00C10308">
        <w:rPr>
          <w:rFonts w:ascii="Arial" w:hAnsi="Arial" w:cs="Arial"/>
        </w:rPr>
        <w:t xml:space="preserve">nvironmental and social impacts were reported in Tables </w:t>
      </w:r>
      <w:r>
        <w:rPr>
          <w:rFonts w:ascii="Arial" w:hAnsi="Arial" w:cs="Arial"/>
        </w:rPr>
        <w:t>16, 17 and 18. A principal environmental and social benefit was d</w:t>
      </w:r>
      <w:r w:rsidRPr="00C10308">
        <w:rPr>
          <w:rFonts w:ascii="Arial" w:hAnsi="Arial" w:cs="Arial"/>
        </w:rPr>
        <w:t xml:space="preserve">ecreased </w:t>
      </w:r>
      <w:r>
        <w:rPr>
          <w:rFonts w:ascii="Arial" w:hAnsi="Arial" w:cs="Arial"/>
        </w:rPr>
        <w:t>use of broadspectrum organophosphates which, if released to the environment, are potentially hazardous to human (social) and fauna (environmental) health</w:t>
      </w:r>
      <w:r w:rsidRPr="00C10308">
        <w:rPr>
          <w:rFonts w:ascii="Arial" w:hAnsi="Arial" w:cs="Arial"/>
        </w:rPr>
        <w:t>. S</w:t>
      </w:r>
      <w:r>
        <w:rPr>
          <w:rFonts w:ascii="Arial" w:hAnsi="Arial" w:cs="Arial"/>
        </w:rPr>
        <w:t xml:space="preserve">ocial </w:t>
      </w:r>
      <w:r w:rsidRPr="00C10308">
        <w:rPr>
          <w:rFonts w:ascii="Arial" w:hAnsi="Arial" w:cs="Arial"/>
        </w:rPr>
        <w:t xml:space="preserve">benefits delivered </w:t>
      </w:r>
      <w:r>
        <w:rPr>
          <w:rFonts w:ascii="Arial" w:hAnsi="Arial" w:cs="Arial"/>
        </w:rPr>
        <w:t xml:space="preserve">by the research included </w:t>
      </w:r>
      <w:r w:rsidRPr="00C10308">
        <w:rPr>
          <w:rFonts w:ascii="Arial" w:hAnsi="Arial" w:cs="Arial"/>
        </w:rPr>
        <w:t xml:space="preserve">increased </w:t>
      </w:r>
      <w:r>
        <w:rPr>
          <w:rFonts w:ascii="Arial" w:hAnsi="Arial" w:cs="Arial"/>
        </w:rPr>
        <w:t xml:space="preserve">capacity (research, extension and industry), improved food security, nutrition and human health in PNG and the Solomon Islands as well as additional regional </w:t>
      </w:r>
      <w:r w:rsidRPr="00C10308">
        <w:rPr>
          <w:rFonts w:ascii="Arial" w:hAnsi="Arial" w:cs="Arial"/>
        </w:rPr>
        <w:t>incomes</w:t>
      </w:r>
      <w:r>
        <w:rPr>
          <w:rFonts w:ascii="Arial" w:hAnsi="Arial" w:cs="Arial"/>
        </w:rPr>
        <w:t xml:space="preserve"> resulting from the increased profitability of sweetpotato production in PNG and regional income spillovers to Australian producing areas</w:t>
      </w:r>
      <w:r w:rsidRPr="00C10308">
        <w:rPr>
          <w:rFonts w:ascii="Arial" w:hAnsi="Arial" w:cs="Arial"/>
        </w:rPr>
        <w:t>.</w:t>
      </w:r>
    </w:p>
    <w:p w:rsidR="002B5A16" w:rsidRPr="00D267A4" w:rsidRDefault="002B5A16" w:rsidP="00AF6856">
      <w:pPr>
        <w:spacing w:after="240"/>
        <w:rPr>
          <w:rFonts w:ascii="Arial" w:hAnsi="Arial" w:cs="Arial"/>
          <w:b/>
        </w:rPr>
      </w:pPr>
      <w:r w:rsidRPr="00D267A4">
        <w:rPr>
          <w:rFonts w:ascii="Arial" w:hAnsi="Arial" w:cs="Arial"/>
          <w:b/>
        </w:rPr>
        <w:t xml:space="preserve">Distribution of Private Impacts </w:t>
      </w:r>
    </w:p>
    <w:p w:rsidR="002B5A16" w:rsidRDefault="002B5A16" w:rsidP="00AF6856">
      <w:pPr>
        <w:spacing w:after="240"/>
        <w:rPr>
          <w:rFonts w:ascii="Arial" w:hAnsi="Arial" w:cs="Arial"/>
        </w:rPr>
      </w:pPr>
      <w:r w:rsidRPr="00C10308">
        <w:rPr>
          <w:rFonts w:ascii="Arial" w:hAnsi="Arial" w:cs="Arial"/>
        </w:rPr>
        <w:t xml:space="preserve">The benefits to the </w:t>
      </w:r>
      <w:r>
        <w:rPr>
          <w:rFonts w:ascii="Arial" w:hAnsi="Arial" w:cs="Arial"/>
        </w:rPr>
        <w:t xml:space="preserve">sweetpotato </w:t>
      </w:r>
      <w:r w:rsidRPr="00C10308">
        <w:rPr>
          <w:rFonts w:ascii="Arial" w:hAnsi="Arial" w:cs="Arial"/>
        </w:rPr>
        <w:t>industry from investment in this project will be shared along the supply chain with growers, packers</w:t>
      </w:r>
      <w:r>
        <w:rPr>
          <w:rFonts w:ascii="Arial" w:hAnsi="Arial" w:cs="Arial"/>
        </w:rPr>
        <w:t>, transporters, wholesalers</w:t>
      </w:r>
      <w:r w:rsidRPr="00C10308">
        <w:rPr>
          <w:rFonts w:ascii="Arial" w:hAnsi="Arial" w:cs="Arial"/>
        </w:rPr>
        <w:t xml:space="preserve"> and </w:t>
      </w:r>
      <w:r>
        <w:rPr>
          <w:rFonts w:ascii="Arial" w:hAnsi="Arial" w:cs="Arial"/>
        </w:rPr>
        <w:t xml:space="preserve">retailers </w:t>
      </w:r>
      <w:r w:rsidRPr="00C10308">
        <w:rPr>
          <w:rFonts w:ascii="Arial" w:hAnsi="Arial" w:cs="Arial"/>
        </w:rPr>
        <w:t xml:space="preserve">all sharing impacts produced by the project. </w:t>
      </w:r>
      <w:r>
        <w:rPr>
          <w:rFonts w:ascii="Arial" w:hAnsi="Arial" w:cs="Arial"/>
        </w:rPr>
        <w:t>These impacts are relevant to sweetpotato industries in Australia, PNG and the Solomon Islands.</w:t>
      </w:r>
    </w:p>
    <w:p w:rsidR="002B5A16" w:rsidRPr="00826F3B" w:rsidRDefault="002B5A16" w:rsidP="00AF6856">
      <w:pPr>
        <w:widowControl w:val="0"/>
        <w:spacing w:after="240"/>
        <w:rPr>
          <w:rFonts w:ascii="Arial" w:hAnsi="Arial" w:cs="Arial"/>
          <w:b/>
          <w:sz w:val="24"/>
        </w:rPr>
      </w:pPr>
      <w:r w:rsidRPr="00826F3B">
        <w:rPr>
          <w:rFonts w:ascii="Arial" w:hAnsi="Arial" w:cs="Arial"/>
          <w:b/>
          <w:sz w:val="24"/>
        </w:rPr>
        <w:t xml:space="preserve">Impacts on other </w:t>
      </w:r>
      <w:r>
        <w:rPr>
          <w:rFonts w:ascii="Arial" w:hAnsi="Arial" w:cs="Arial"/>
          <w:b/>
          <w:sz w:val="24"/>
        </w:rPr>
        <w:t>Australian I</w:t>
      </w:r>
      <w:r w:rsidRPr="00826F3B">
        <w:rPr>
          <w:rFonts w:ascii="Arial" w:hAnsi="Arial" w:cs="Arial"/>
          <w:b/>
          <w:sz w:val="24"/>
        </w:rPr>
        <w:t>ndustries</w:t>
      </w:r>
    </w:p>
    <w:p w:rsidR="002B5A16" w:rsidRPr="00C10308" w:rsidRDefault="002B5A16" w:rsidP="00AF6856">
      <w:pPr>
        <w:spacing w:after="240"/>
        <w:rPr>
          <w:rFonts w:ascii="Arial" w:hAnsi="Arial" w:cs="Arial"/>
        </w:rPr>
      </w:pPr>
      <w:r>
        <w:rPr>
          <w:rFonts w:ascii="Arial" w:hAnsi="Arial" w:cs="Arial"/>
        </w:rPr>
        <w:t>Impacts on industries other than the sweetpotato industry and its associated sectors may include potential gains to other industries via any future spillovers from the increases in research and extension capacity</w:t>
      </w:r>
      <w:r w:rsidRPr="00C10308">
        <w:rPr>
          <w:rFonts w:ascii="Arial" w:hAnsi="Arial" w:cs="Arial"/>
        </w:rPr>
        <w:t>.</w:t>
      </w:r>
    </w:p>
    <w:p w:rsidR="002B5A16" w:rsidRPr="00826F3B" w:rsidRDefault="002B5A16" w:rsidP="00AF6856">
      <w:pPr>
        <w:widowControl w:val="0"/>
        <w:spacing w:after="240"/>
        <w:rPr>
          <w:rFonts w:ascii="Arial" w:hAnsi="Arial" w:cs="Arial"/>
          <w:b/>
          <w:sz w:val="24"/>
        </w:rPr>
      </w:pPr>
      <w:r w:rsidRPr="00826F3B">
        <w:rPr>
          <w:rFonts w:ascii="Arial" w:hAnsi="Arial" w:cs="Arial"/>
          <w:b/>
          <w:sz w:val="24"/>
        </w:rPr>
        <w:t xml:space="preserve">Impacts Overseas </w:t>
      </w:r>
    </w:p>
    <w:p w:rsidR="002B5A16" w:rsidRPr="00B07B3C" w:rsidRDefault="002B5A16" w:rsidP="00AF6856">
      <w:pPr>
        <w:spacing w:after="240"/>
        <w:rPr>
          <w:rFonts w:ascii="Arial" w:hAnsi="Arial" w:cs="Arial"/>
        </w:rPr>
      </w:pPr>
      <w:r w:rsidRPr="00B07B3C">
        <w:rPr>
          <w:rFonts w:ascii="Arial" w:hAnsi="Arial" w:cs="Arial"/>
        </w:rPr>
        <w:t>Th</w:t>
      </w:r>
      <w:r>
        <w:rPr>
          <w:rFonts w:ascii="Arial" w:hAnsi="Arial" w:cs="Arial"/>
        </w:rPr>
        <w:t>e primary impacts overseas will arise from the th</w:t>
      </w:r>
      <w:r w:rsidRPr="00B07B3C">
        <w:rPr>
          <w:rFonts w:ascii="Arial" w:hAnsi="Arial" w:cs="Arial"/>
        </w:rPr>
        <w:t xml:space="preserve">ree </w:t>
      </w:r>
      <w:r>
        <w:rPr>
          <w:rFonts w:ascii="Arial" w:hAnsi="Arial" w:cs="Arial"/>
        </w:rPr>
        <w:t xml:space="preserve">projects that target yield gain in sweetpotato production in PNG and the Solomon Islands. Potential impacts include improved food security, human health, research and extension capacity and regional income. </w:t>
      </w:r>
    </w:p>
    <w:p w:rsidR="002B5A16" w:rsidRPr="00523208" w:rsidRDefault="002B5A16" w:rsidP="00AF6856">
      <w:pPr>
        <w:widowControl w:val="0"/>
        <w:spacing w:after="240"/>
        <w:rPr>
          <w:rFonts w:ascii="Arial" w:hAnsi="Arial" w:cs="Arial"/>
          <w:b/>
        </w:rPr>
      </w:pPr>
      <w:r w:rsidRPr="00AF6856">
        <w:rPr>
          <w:rFonts w:ascii="Arial" w:hAnsi="Arial" w:cs="Arial"/>
          <w:b/>
          <w:sz w:val="24"/>
        </w:rPr>
        <w:t>Match</w:t>
      </w:r>
      <w:r w:rsidRPr="00523208">
        <w:rPr>
          <w:rFonts w:ascii="Arial" w:hAnsi="Arial" w:cs="Arial"/>
          <w:b/>
        </w:rPr>
        <w:t xml:space="preserve"> with National and State Priorities</w:t>
      </w:r>
    </w:p>
    <w:p w:rsidR="002B5A16" w:rsidRDefault="002B5A16" w:rsidP="00AF6856">
      <w:pPr>
        <w:spacing w:after="240"/>
        <w:rPr>
          <w:rFonts w:ascii="Arial" w:hAnsi="Arial" w:cs="Arial"/>
          <w:bCs/>
          <w:lang w:val="en-GB"/>
        </w:rPr>
      </w:pPr>
      <w:r w:rsidRPr="00523208">
        <w:rPr>
          <w:rFonts w:ascii="Arial" w:hAnsi="Arial" w:cs="Arial"/>
          <w:bCs/>
          <w:lang w:val="en-GB"/>
        </w:rPr>
        <w:t xml:space="preserve">The Australian </w:t>
      </w:r>
      <w:r w:rsidRPr="00AF6856">
        <w:rPr>
          <w:rFonts w:ascii="Arial" w:hAnsi="Arial" w:cs="Arial"/>
        </w:rPr>
        <w:t>Government’s</w:t>
      </w:r>
      <w:r w:rsidRPr="00523208">
        <w:rPr>
          <w:rFonts w:ascii="Arial" w:hAnsi="Arial" w:cs="Arial"/>
          <w:bCs/>
          <w:lang w:val="en-GB"/>
        </w:rPr>
        <w:t xml:space="preserve"> Science and Research Priorities and Rural RD&amp;E priorities are reproduced in Table </w:t>
      </w:r>
      <w:r>
        <w:rPr>
          <w:rFonts w:ascii="Arial" w:hAnsi="Arial" w:cs="Arial"/>
          <w:bCs/>
          <w:lang w:val="en-GB"/>
        </w:rPr>
        <w:t>19</w:t>
      </w:r>
      <w:r w:rsidRPr="00523208">
        <w:rPr>
          <w:rFonts w:ascii="Arial" w:hAnsi="Arial" w:cs="Arial"/>
          <w:bCs/>
          <w:lang w:val="en-GB"/>
        </w:rPr>
        <w:t xml:space="preserve">. </w:t>
      </w:r>
      <w:r w:rsidRPr="00107BF6">
        <w:rPr>
          <w:rFonts w:ascii="Arial" w:hAnsi="Arial" w:cs="Arial"/>
          <w:bCs/>
          <w:lang w:val="en-GB"/>
        </w:rPr>
        <w:t xml:space="preserve">Investment in </w:t>
      </w:r>
      <w:r>
        <w:rPr>
          <w:rFonts w:ascii="Arial" w:hAnsi="Arial" w:cs="Arial"/>
          <w:bCs/>
          <w:lang w:val="en-GB"/>
        </w:rPr>
        <w:t>sweetpotato PT planting material, seedbed technology, insect control, agronomy and more productive genetic material</w:t>
      </w:r>
      <w:r w:rsidRPr="00523208">
        <w:rPr>
          <w:rFonts w:ascii="Arial" w:hAnsi="Arial" w:cs="Arial"/>
          <w:bCs/>
          <w:lang w:val="en-GB"/>
        </w:rPr>
        <w:t xml:space="preserve"> contributes to Rural RD&amp;E </w:t>
      </w:r>
      <w:r>
        <w:rPr>
          <w:rFonts w:ascii="Arial" w:hAnsi="Arial" w:cs="Arial"/>
          <w:bCs/>
          <w:lang w:val="en-GB"/>
        </w:rPr>
        <w:t>P</w:t>
      </w:r>
      <w:r w:rsidRPr="00523208">
        <w:rPr>
          <w:rFonts w:ascii="Arial" w:hAnsi="Arial" w:cs="Arial"/>
          <w:bCs/>
          <w:lang w:val="en-GB"/>
        </w:rPr>
        <w:t>riorit</w:t>
      </w:r>
      <w:r>
        <w:rPr>
          <w:rFonts w:ascii="Arial" w:hAnsi="Arial" w:cs="Arial"/>
          <w:bCs/>
          <w:lang w:val="en-GB"/>
        </w:rPr>
        <w:t>ies</w:t>
      </w:r>
      <w:r w:rsidRPr="00523208">
        <w:rPr>
          <w:rFonts w:ascii="Arial" w:hAnsi="Arial" w:cs="Arial"/>
          <w:bCs/>
          <w:lang w:val="en-GB"/>
        </w:rPr>
        <w:t xml:space="preserve"> </w:t>
      </w:r>
      <w:r>
        <w:rPr>
          <w:rFonts w:ascii="Arial" w:hAnsi="Arial" w:cs="Arial"/>
          <w:bCs/>
          <w:lang w:val="en-GB"/>
        </w:rPr>
        <w:t>1, 2, 3 and 4</w:t>
      </w:r>
      <w:r w:rsidRPr="00523208">
        <w:rPr>
          <w:rFonts w:ascii="Arial" w:hAnsi="Arial" w:cs="Arial"/>
          <w:bCs/>
          <w:lang w:val="en-GB"/>
        </w:rPr>
        <w:t xml:space="preserve"> and to Science and Research </w:t>
      </w:r>
      <w:r>
        <w:rPr>
          <w:rFonts w:ascii="Arial" w:hAnsi="Arial" w:cs="Arial"/>
          <w:bCs/>
          <w:lang w:val="en-GB"/>
        </w:rPr>
        <w:t>P</w:t>
      </w:r>
      <w:r w:rsidRPr="00523208">
        <w:rPr>
          <w:rFonts w:ascii="Arial" w:hAnsi="Arial" w:cs="Arial"/>
          <w:bCs/>
          <w:lang w:val="en-GB"/>
        </w:rPr>
        <w:t>riority</w:t>
      </w:r>
      <w:r>
        <w:rPr>
          <w:rFonts w:ascii="Arial" w:hAnsi="Arial" w:cs="Arial"/>
          <w:bCs/>
          <w:lang w:val="en-GB"/>
        </w:rPr>
        <w:t> </w:t>
      </w:r>
      <w:r w:rsidRPr="00523208">
        <w:rPr>
          <w:rFonts w:ascii="Arial" w:hAnsi="Arial" w:cs="Arial"/>
          <w:bCs/>
          <w:lang w:val="en-GB"/>
        </w:rPr>
        <w:t>1.</w:t>
      </w:r>
    </w:p>
    <w:p w:rsidR="002B5A16" w:rsidRPr="00AF6856" w:rsidRDefault="002B5A16" w:rsidP="00AF6856">
      <w:pPr>
        <w:pStyle w:val="Caption"/>
        <w:spacing w:after="240"/>
        <w:jc w:val="center"/>
        <w:rPr>
          <w:rFonts w:ascii="Arial" w:hAnsi="Arial"/>
          <w:b w:val="0"/>
          <w:i/>
          <w:color w:val="000000" w:themeColor="text1"/>
          <w:sz w:val="22"/>
          <w:szCs w:val="22"/>
        </w:rPr>
      </w:pPr>
      <w:bookmarkStart w:id="480" w:name="_Toc487091293"/>
      <w:r w:rsidRPr="00AF6856">
        <w:rPr>
          <w:rFonts w:ascii="Arial" w:hAnsi="Arial"/>
          <w:b w:val="0"/>
          <w:sz w:val="22"/>
          <w:szCs w:val="22"/>
        </w:rPr>
        <w:t xml:space="preserve">Table </w:t>
      </w:r>
      <w:r w:rsidR="00913E1D">
        <w:rPr>
          <w:rFonts w:ascii="Arial" w:hAnsi="Arial"/>
          <w:b w:val="0"/>
          <w:i/>
          <w:sz w:val="22"/>
          <w:szCs w:val="22"/>
        </w:rPr>
        <w:t>19</w:t>
      </w:r>
      <w:r w:rsidRPr="00AF6856">
        <w:rPr>
          <w:rFonts w:ascii="Arial" w:hAnsi="Arial"/>
          <w:b w:val="0"/>
          <w:sz w:val="22"/>
          <w:szCs w:val="22"/>
        </w:rPr>
        <w:t xml:space="preserve">: </w:t>
      </w:r>
      <w:r w:rsidRPr="00AF6856">
        <w:rPr>
          <w:rFonts w:ascii="Arial" w:hAnsi="Arial"/>
          <w:b w:val="0"/>
          <w:color w:val="000000" w:themeColor="text1"/>
          <w:sz w:val="22"/>
          <w:szCs w:val="22"/>
        </w:rPr>
        <w:t>Australian Government Research Priorities</w:t>
      </w:r>
      <w:bookmarkEnd w:id="480"/>
    </w:p>
    <w:tbl>
      <w:tblPr>
        <w:tblStyle w:val="TableGrid"/>
        <w:tblW w:w="0" w:type="auto"/>
        <w:tblInd w:w="988" w:type="dxa"/>
        <w:tblLook w:val="04A0" w:firstRow="1" w:lastRow="0" w:firstColumn="1" w:lastColumn="0" w:noHBand="0" w:noVBand="1"/>
      </w:tblPr>
      <w:tblGrid>
        <w:gridCol w:w="3520"/>
        <w:gridCol w:w="3425"/>
      </w:tblGrid>
      <w:tr w:rsidR="002B5A16" w:rsidRPr="00EB01F3" w:rsidTr="002B5A16">
        <w:tc>
          <w:tcPr>
            <w:tcW w:w="6945" w:type="dxa"/>
            <w:gridSpan w:val="2"/>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Australian Government</w:t>
            </w:r>
          </w:p>
        </w:tc>
      </w:tr>
      <w:tr w:rsidR="002B5A16" w:rsidRPr="00EB01F3" w:rsidTr="002B5A16">
        <w:tc>
          <w:tcPr>
            <w:tcW w:w="3520" w:type="dxa"/>
          </w:tcPr>
          <w:p w:rsidR="00EB01F3" w:rsidRDefault="002B5A16" w:rsidP="002B5A16">
            <w:pPr>
              <w:jc w:val="center"/>
              <w:rPr>
                <w:rFonts w:ascii="Arial" w:hAnsi="Arial" w:cs="Arial"/>
                <w:b/>
                <w:sz w:val="22"/>
                <w:szCs w:val="22"/>
              </w:rPr>
            </w:pPr>
            <w:r w:rsidRPr="00EB01F3">
              <w:rPr>
                <w:rFonts w:ascii="Arial" w:hAnsi="Arial" w:cs="Arial"/>
                <w:b/>
                <w:sz w:val="22"/>
                <w:szCs w:val="22"/>
              </w:rPr>
              <w:t xml:space="preserve">Rural RD&amp;E Priorities </w:t>
            </w:r>
          </w:p>
          <w:p w:rsidR="002B5A16" w:rsidRPr="00EB01F3" w:rsidRDefault="002B5A16" w:rsidP="002B5A16">
            <w:pPr>
              <w:jc w:val="center"/>
              <w:rPr>
                <w:rFonts w:ascii="Arial" w:hAnsi="Arial" w:cs="Arial"/>
                <w:b/>
                <w:sz w:val="22"/>
                <w:szCs w:val="22"/>
              </w:rPr>
            </w:pPr>
            <w:r w:rsidRPr="00EB01F3">
              <w:rPr>
                <w:rFonts w:ascii="Arial" w:hAnsi="Arial" w:cs="Arial"/>
                <w:b/>
                <w:sz w:val="22"/>
                <w:szCs w:val="22"/>
              </w:rPr>
              <w:t>(est. 2015)</w:t>
            </w:r>
          </w:p>
        </w:tc>
        <w:tc>
          <w:tcPr>
            <w:tcW w:w="3425" w:type="dxa"/>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Science and Research Priorities (est. 2015)</w:t>
            </w:r>
          </w:p>
        </w:tc>
      </w:tr>
      <w:tr w:rsidR="002B5A16" w:rsidRPr="00EB01F3" w:rsidTr="002B5A16">
        <w:tc>
          <w:tcPr>
            <w:tcW w:w="3520" w:type="dxa"/>
          </w:tcPr>
          <w:p w:rsidR="002B5A16" w:rsidRPr="00EB01F3" w:rsidRDefault="002B5A16" w:rsidP="000D5A34">
            <w:pPr>
              <w:pStyle w:val="ListParagraph"/>
              <w:numPr>
                <w:ilvl w:val="0"/>
                <w:numId w:val="71"/>
              </w:numPr>
              <w:ind w:left="454"/>
              <w:rPr>
                <w:rFonts w:ascii="Arial" w:hAnsi="Arial" w:cs="Arial"/>
                <w:sz w:val="22"/>
                <w:szCs w:val="22"/>
              </w:rPr>
            </w:pPr>
            <w:r w:rsidRPr="00EB01F3">
              <w:rPr>
                <w:rFonts w:ascii="Arial" w:hAnsi="Arial" w:cs="Arial"/>
                <w:sz w:val="22"/>
                <w:szCs w:val="22"/>
              </w:rPr>
              <w:t xml:space="preserve">Advanced technology </w:t>
            </w:r>
          </w:p>
          <w:p w:rsidR="002B5A16" w:rsidRPr="00EB01F3" w:rsidRDefault="002B5A16" w:rsidP="000D5A34">
            <w:pPr>
              <w:pStyle w:val="ListParagraph"/>
              <w:numPr>
                <w:ilvl w:val="0"/>
                <w:numId w:val="71"/>
              </w:numPr>
              <w:ind w:left="459"/>
              <w:rPr>
                <w:rFonts w:ascii="Arial" w:hAnsi="Arial" w:cs="Arial"/>
                <w:sz w:val="22"/>
                <w:szCs w:val="22"/>
              </w:rPr>
            </w:pPr>
            <w:r w:rsidRPr="00EB01F3">
              <w:rPr>
                <w:rFonts w:ascii="Arial" w:hAnsi="Arial" w:cs="Arial"/>
                <w:sz w:val="22"/>
                <w:szCs w:val="22"/>
              </w:rPr>
              <w:t>Biosecurity</w:t>
            </w:r>
          </w:p>
          <w:p w:rsidR="002B5A16" w:rsidRPr="00EB01F3" w:rsidRDefault="002B5A16" w:rsidP="000D5A34">
            <w:pPr>
              <w:pStyle w:val="ListParagraph"/>
              <w:numPr>
                <w:ilvl w:val="0"/>
                <w:numId w:val="71"/>
              </w:numPr>
              <w:ind w:left="459"/>
              <w:rPr>
                <w:rFonts w:ascii="Arial" w:hAnsi="Arial" w:cs="Arial"/>
                <w:sz w:val="22"/>
                <w:szCs w:val="22"/>
              </w:rPr>
            </w:pPr>
            <w:r w:rsidRPr="00EB01F3">
              <w:rPr>
                <w:rFonts w:ascii="Arial" w:hAnsi="Arial" w:cs="Arial"/>
                <w:sz w:val="22"/>
                <w:szCs w:val="22"/>
              </w:rPr>
              <w:t>Soil, water and managing natural resources</w:t>
            </w:r>
          </w:p>
          <w:p w:rsidR="002B5A16" w:rsidRPr="00EB01F3" w:rsidRDefault="002B5A16" w:rsidP="000D5A34">
            <w:pPr>
              <w:pStyle w:val="ListParagraph"/>
              <w:numPr>
                <w:ilvl w:val="0"/>
                <w:numId w:val="71"/>
              </w:numPr>
              <w:ind w:left="459"/>
              <w:rPr>
                <w:rFonts w:ascii="Arial" w:hAnsi="Arial" w:cs="Arial"/>
                <w:sz w:val="22"/>
                <w:szCs w:val="22"/>
              </w:rPr>
            </w:pPr>
            <w:r w:rsidRPr="00EB01F3">
              <w:rPr>
                <w:rFonts w:ascii="Arial" w:hAnsi="Arial" w:cs="Arial"/>
                <w:sz w:val="22"/>
                <w:szCs w:val="22"/>
              </w:rPr>
              <w:t>Adoption of R&amp;D</w:t>
            </w:r>
          </w:p>
        </w:tc>
        <w:tc>
          <w:tcPr>
            <w:tcW w:w="3425" w:type="dxa"/>
          </w:tcPr>
          <w:p w:rsidR="002B5A16" w:rsidRPr="00EB01F3" w:rsidRDefault="002B5A16" w:rsidP="000D5A34">
            <w:pPr>
              <w:pStyle w:val="ListParagraph"/>
              <w:numPr>
                <w:ilvl w:val="0"/>
                <w:numId w:val="72"/>
              </w:numPr>
              <w:ind w:left="483"/>
              <w:rPr>
                <w:rFonts w:ascii="Arial" w:hAnsi="Arial" w:cs="Arial"/>
                <w:sz w:val="22"/>
                <w:szCs w:val="22"/>
              </w:rPr>
            </w:pPr>
            <w:r w:rsidRPr="00EB01F3">
              <w:rPr>
                <w:rFonts w:ascii="Arial" w:hAnsi="Arial" w:cs="Arial"/>
                <w:sz w:val="22"/>
                <w:szCs w:val="22"/>
              </w:rPr>
              <w:t>Food</w:t>
            </w:r>
          </w:p>
          <w:p w:rsidR="002B5A16" w:rsidRPr="00EB01F3" w:rsidRDefault="002B5A16" w:rsidP="000D5A34">
            <w:pPr>
              <w:pStyle w:val="ListParagraph"/>
              <w:numPr>
                <w:ilvl w:val="0"/>
                <w:numId w:val="72"/>
              </w:numPr>
              <w:ind w:left="482"/>
              <w:rPr>
                <w:rFonts w:ascii="Arial" w:hAnsi="Arial" w:cs="Arial"/>
                <w:sz w:val="22"/>
                <w:szCs w:val="22"/>
              </w:rPr>
            </w:pPr>
            <w:r w:rsidRPr="00EB01F3">
              <w:rPr>
                <w:rFonts w:ascii="Arial" w:hAnsi="Arial" w:cs="Arial"/>
                <w:sz w:val="22"/>
                <w:szCs w:val="22"/>
              </w:rPr>
              <w:t xml:space="preserve">Soil and Water </w:t>
            </w:r>
          </w:p>
          <w:p w:rsidR="002B5A16" w:rsidRPr="00EB01F3" w:rsidRDefault="002B5A16" w:rsidP="000D5A34">
            <w:pPr>
              <w:pStyle w:val="ListParagraph"/>
              <w:numPr>
                <w:ilvl w:val="0"/>
                <w:numId w:val="72"/>
              </w:numPr>
              <w:ind w:left="482"/>
              <w:rPr>
                <w:rFonts w:ascii="Arial" w:hAnsi="Arial" w:cs="Arial"/>
                <w:sz w:val="22"/>
                <w:szCs w:val="22"/>
              </w:rPr>
            </w:pPr>
            <w:r w:rsidRPr="00EB01F3">
              <w:rPr>
                <w:rFonts w:ascii="Arial" w:hAnsi="Arial" w:cs="Arial"/>
                <w:sz w:val="22"/>
                <w:szCs w:val="22"/>
              </w:rPr>
              <w:t>Transport</w:t>
            </w:r>
          </w:p>
          <w:p w:rsidR="002B5A16" w:rsidRPr="00EB01F3" w:rsidRDefault="002B5A16" w:rsidP="000D5A34">
            <w:pPr>
              <w:pStyle w:val="ListParagraph"/>
              <w:numPr>
                <w:ilvl w:val="0"/>
                <w:numId w:val="72"/>
              </w:numPr>
              <w:ind w:left="482"/>
              <w:rPr>
                <w:rFonts w:ascii="Arial" w:hAnsi="Arial" w:cs="Arial"/>
                <w:sz w:val="22"/>
                <w:szCs w:val="22"/>
              </w:rPr>
            </w:pPr>
            <w:r w:rsidRPr="00EB01F3">
              <w:rPr>
                <w:rFonts w:ascii="Arial" w:hAnsi="Arial" w:cs="Arial"/>
                <w:sz w:val="22"/>
                <w:szCs w:val="22"/>
              </w:rPr>
              <w:t xml:space="preserve">Cybersecurity </w:t>
            </w:r>
          </w:p>
          <w:p w:rsidR="002B5A16" w:rsidRPr="00EB01F3" w:rsidRDefault="002B5A16" w:rsidP="000D5A34">
            <w:pPr>
              <w:pStyle w:val="ListParagraph"/>
              <w:numPr>
                <w:ilvl w:val="0"/>
                <w:numId w:val="72"/>
              </w:numPr>
              <w:ind w:left="482"/>
              <w:rPr>
                <w:rFonts w:ascii="Arial" w:hAnsi="Arial" w:cs="Arial"/>
                <w:sz w:val="22"/>
                <w:szCs w:val="22"/>
              </w:rPr>
            </w:pPr>
            <w:r w:rsidRPr="00EB01F3">
              <w:rPr>
                <w:rFonts w:ascii="Arial" w:hAnsi="Arial" w:cs="Arial"/>
                <w:sz w:val="22"/>
                <w:szCs w:val="22"/>
              </w:rPr>
              <w:t xml:space="preserve">Energy and Resources </w:t>
            </w:r>
          </w:p>
          <w:p w:rsidR="002B5A16" w:rsidRPr="00EB01F3" w:rsidRDefault="002B5A16" w:rsidP="000D5A34">
            <w:pPr>
              <w:pStyle w:val="ListParagraph"/>
              <w:numPr>
                <w:ilvl w:val="0"/>
                <w:numId w:val="72"/>
              </w:numPr>
              <w:ind w:left="482"/>
              <w:rPr>
                <w:rFonts w:ascii="Arial" w:hAnsi="Arial" w:cs="Arial"/>
                <w:sz w:val="22"/>
                <w:szCs w:val="22"/>
              </w:rPr>
            </w:pPr>
            <w:r w:rsidRPr="00EB01F3">
              <w:rPr>
                <w:rFonts w:ascii="Arial" w:hAnsi="Arial" w:cs="Arial"/>
                <w:sz w:val="22"/>
                <w:szCs w:val="22"/>
              </w:rPr>
              <w:t xml:space="preserve">Manufacturing </w:t>
            </w:r>
          </w:p>
          <w:p w:rsidR="002B5A16" w:rsidRPr="00EB01F3" w:rsidRDefault="002B5A16" w:rsidP="000D5A34">
            <w:pPr>
              <w:pStyle w:val="ListParagraph"/>
              <w:numPr>
                <w:ilvl w:val="0"/>
                <w:numId w:val="72"/>
              </w:numPr>
              <w:ind w:left="482"/>
              <w:rPr>
                <w:rFonts w:ascii="Arial" w:hAnsi="Arial" w:cs="Arial"/>
                <w:sz w:val="22"/>
                <w:szCs w:val="22"/>
              </w:rPr>
            </w:pPr>
            <w:r w:rsidRPr="00EB01F3">
              <w:rPr>
                <w:rFonts w:ascii="Arial" w:hAnsi="Arial" w:cs="Arial"/>
                <w:sz w:val="22"/>
                <w:szCs w:val="22"/>
              </w:rPr>
              <w:t>Environmental Change</w:t>
            </w:r>
          </w:p>
          <w:p w:rsidR="002B5A16" w:rsidRPr="00EB01F3" w:rsidRDefault="002B5A16" w:rsidP="000D5A34">
            <w:pPr>
              <w:pStyle w:val="ListParagraph"/>
              <w:keepNext/>
              <w:numPr>
                <w:ilvl w:val="0"/>
                <w:numId w:val="72"/>
              </w:numPr>
              <w:ind w:left="482"/>
              <w:rPr>
                <w:rFonts w:ascii="Arial" w:hAnsi="Arial" w:cs="Arial"/>
                <w:sz w:val="22"/>
                <w:szCs w:val="22"/>
              </w:rPr>
            </w:pPr>
            <w:r w:rsidRPr="00EB01F3">
              <w:rPr>
                <w:rFonts w:ascii="Arial" w:hAnsi="Arial" w:cs="Arial"/>
                <w:sz w:val="22"/>
                <w:szCs w:val="22"/>
              </w:rPr>
              <w:t>Health</w:t>
            </w:r>
          </w:p>
        </w:tc>
      </w:tr>
    </w:tbl>
    <w:p w:rsidR="002B5A16" w:rsidRPr="00FF5C71" w:rsidRDefault="002B5A16" w:rsidP="002B5A16">
      <w:pPr>
        <w:pStyle w:val="Table"/>
        <w:rPr>
          <w:rFonts w:ascii="Arial" w:hAnsi="Arial"/>
          <w:sz w:val="20"/>
          <w:szCs w:val="22"/>
          <w:lang w:val="en-GB"/>
        </w:rPr>
      </w:pPr>
      <w:r w:rsidRPr="00FF5C71">
        <w:rPr>
          <w:rFonts w:ascii="Arial" w:hAnsi="Arial"/>
          <w:sz w:val="20"/>
          <w:szCs w:val="22"/>
          <w:lang w:val="en-GB"/>
        </w:rPr>
        <w:t>Sources: DAWR (2015) and OCS (2016)</w:t>
      </w:r>
    </w:p>
    <w:p w:rsidR="002B5A16" w:rsidRDefault="002B5A16" w:rsidP="00AF6856">
      <w:pPr>
        <w:spacing w:before="240" w:after="240"/>
        <w:rPr>
          <w:rFonts w:ascii="Arial" w:hAnsi="Arial" w:cs="Arial"/>
          <w:bCs/>
          <w:lang w:val="en-GB"/>
        </w:rPr>
      </w:pPr>
      <w:r w:rsidRPr="00523208">
        <w:rPr>
          <w:rFonts w:ascii="Arial" w:hAnsi="Arial" w:cs="Arial"/>
          <w:bCs/>
          <w:lang w:val="en-GB"/>
        </w:rPr>
        <w:t>The Queensland Government’s Science and Research Priorities, together with the four decision rules for investment that guide evaluation, prioritisation and decision making around future investment</w:t>
      </w:r>
      <w:r>
        <w:rPr>
          <w:rFonts w:ascii="Arial" w:hAnsi="Arial" w:cs="Arial"/>
          <w:bCs/>
          <w:lang w:val="en-GB"/>
        </w:rPr>
        <w:t>, are reproduced in Table 20</w:t>
      </w:r>
      <w:r w:rsidRPr="00523208">
        <w:rPr>
          <w:rFonts w:ascii="Arial" w:hAnsi="Arial" w:cs="Arial"/>
          <w:bCs/>
          <w:lang w:val="en-GB"/>
        </w:rPr>
        <w:t xml:space="preserve">. </w:t>
      </w:r>
      <w:r>
        <w:rPr>
          <w:rFonts w:ascii="Arial" w:hAnsi="Arial" w:cs="Arial"/>
          <w:bCs/>
          <w:lang w:val="en-GB"/>
        </w:rPr>
        <w:t>Sweetpotato investments addressed Science and Research Priorities 1 and 3. In terms of the guides to investment, the projects will have a real future impact through additional profitable sales of sweetpotato, was supported and funded by others external to Queensland, had a distinctive angle with the targeting of the only increasing fresh vegetable sector in Australia and is scaling towards critical production mass on a year-round basis.</w:t>
      </w:r>
    </w:p>
    <w:p w:rsidR="00EB01F3" w:rsidRDefault="00EB01F3" w:rsidP="00AF6856">
      <w:pPr>
        <w:spacing w:before="240" w:after="240"/>
        <w:rPr>
          <w:rFonts w:ascii="Arial" w:hAnsi="Arial" w:cs="Arial"/>
          <w:bCs/>
          <w:lang w:val="en-GB"/>
        </w:rPr>
      </w:pPr>
    </w:p>
    <w:p w:rsidR="00EB01F3" w:rsidRDefault="00EB01F3" w:rsidP="00AF6856">
      <w:pPr>
        <w:spacing w:before="240" w:after="240"/>
        <w:rPr>
          <w:rFonts w:ascii="Arial" w:hAnsi="Arial" w:cs="Arial"/>
          <w:bCs/>
          <w:lang w:val="en-GB"/>
        </w:rPr>
      </w:pPr>
    </w:p>
    <w:p w:rsidR="00EB01F3" w:rsidRDefault="00EB01F3" w:rsidP="00AF6856">
      <w:pPr>
        <w:spacing w:before="240" w:after="240"/>
        <w:rPr>
          <w:rFonts w:ascii="Arial" w:hAnsi="Arial" w:cs="Arial"/>
          <w:bCs/>
          <w:lang w:val="en-GB"/>
        </w:rPr>
      </w:pPr>
    </w:p>
    <w:p w:rsidR="00EB01F3" w:rsidRDefault="00EB01F3" w:rsidP="00AF6856">
      <w:pPr>
        <w:spacing w:before="240" w:after="240"/>
        <w:rPr>
          <w:rFonts w:ascii="Arial" w:hAnsi="Arial" w:cs="Arial"/>
          <w:bCs/>
          <w:lang w:val="en-GB"/>
        </w:rPr>
      </w:pPr>
    </w:p>
    <w:p w:rsidR="00EB01F3" w:rsidRDefault="00EB01F3" w:rsidP="00AF6856">
      <w:pPr>
        <w:spacing w:before="240" w:after="240"/>
        <w:rPr>
          <w:rFonts w:ascii="Arial" w:hAnsi="Arial" w:cs="Arial"/>
          <w:bCs/>
          <w:lang w:val="en-GB"/>
        </w:rPr>
      </w:pPr>
    </w:p>
    <w:p w:rsidR="00EB01F3" w:rsidRDefault="00EB01F3" w:rsidP="00AF6856">
      <w:pPr>
        <w:spacing w:before="240" w:after="240"/>
        <w:rPr>
          <w:rFonts w:ascii="Arial" w:hAnsi="Arial" w:cs="Arial"/>
          <w:bCs/>
          <w:lang w:val="en-GB"/>
        </w:rPr>
      </w:pPr>
    </w:p>
    <w:p w:rsidR="002B5A16" w:rsidRPr="00AF6856" w:rsidRDefault="002B5A16" w:rsidP="00AF6856">
      <w:pPr>
        <w:pStyle w:val="Caption"/>
        <w:spacing w:after="240"/>
        <w:jc w:val="center"/>
        <w:rPr>
          <w:rFonts w:ascii="Arial" w:hAnsi="Arial"/>
          <w:b w:val="0"/>
          <w:bCs w:val="0"/>
          <w:i/>
          <w:color w:val="000000" w:themeColor="text1"/>
          <w:sz w:val="22"/>
          <w:szCs w:val="22"/>
          <w:lang w:val="en-GB"/>
        </w:rPr>
      </w:pPr>
      <w:bookmarkStart w:id="481" w:name="_Toc487091294"/>
      <w:r w:rsidRPr="00AF6856">
        <w:rPr>
          <w:rFonts w:ascii="Arial" w:hAnsi="Arial"/>
          <w:b w:val="0"/>
          <w:sz w:val="22"/>
          <w:szCs w:val="22"/>
        </w:rPr>
        <w:t xml:space="preserve">Table </w:t>
      </w:r>
      <w:r w:rsidR="00913E1D" w:rsidRPr="00EB01F3">
        <w:rPr>
          <w:rFonts w:ascii="Arial" w:hAnsi="Arial"/>
          <w:b w:val="0"/>
          <w:sz w:val="22"/>
          <w:szCs w:val="22"/>
        </w:rPr>
        <w:t>20</w:t>
      </w:r>
      <w:r w:rsidRPr="00AF6856">
        <w:rPr>
          <w:rFonts w:ascii="Arial" w:hAnsi="Arial"/>
          <w:b w:val="0"/>
          <w:sz w:val="22"/>
          <w:szCs w:val="22"/>
        </w:rPr>
        <w:t xml:space="preserve">: </w:t>
      </w:r>
      <w:r w:rsidRPr="00AF6856">
        <w:rPr>
          <w:rFonts w:ascii="Arial" w:hAnsi="Arial"/>
          <w:b w:val="0"/>
          <w:color w:val="000000" w:themeColor="text1"/>
          <w:sz w:val="22"/>
          <w:szCs w:val="22"/>
        </w:rPr>
        <w:t>Queensland Government Research Priorities</w:t>
      </w:r>
      <w:bookmarkEnd w:id="481"/>
    </w:p>
    <w:tbl>
      <w:tblPr>
        <w:tblStyle w:val="TableGrid"/>
        <w:tblW w:w="0" w:type="auto"/>
        <w:tblInd w:w="108" w:type="dxa"/>
        <w:tblLook w:val="04A0" w:firstRow="1" w:lastRow="0" w:firstColumn="1" w:lastColumn="0" w:noHBand="0" w:noVBand="1"/>
      </w:tblPr>
      <w:tblGrid>
        <w:gridCol w:w="5581"/>
        <w:gridCol w:w="3327"/>
      </w:tblGrid>
      <w:tr w:rsidR="002B5A16" w:rsidRPr="00AF6856" w:rsidTr="002B5A16">
        <w:tc>
          <w:tcPr>
            <w:tcW w:w="9072" w:type="dxa"/>
            <w:gridSpan w:val="2"/>
          </w:tcPr>
          <w:p w:rsidR="002B5A16" w:rsidRPr="00AF6856" w:rsidRDefault="002B5A16" w:rsidP="002B5A16">
            <w:pPr>
              <w:jc w:val="center"/>
              <w:rPr>
                <w:rFonts w:ascii="Arial" w:hAnsi="Arial" w:cs="Arial"/>
                <w:b/>
                <w:sz w:val="22"/>
                <w:szCs w:val="22"/>
              </w:rPr>
            </w:pPr>
            <w:r w:rsidRPr="00AF6856">
              <w:rPr>
                <w:rFonts w:ascii="Arial" w:hAnsi="Arial" w:cs="Arial"/>
                <w:b/>
                <w:sz w:val="22"/>
                <w:szCs w:val="22"/>
              </w:rPr>
              <w:t>Queensland Government</w:t>
            </w:r>
          </w:p>
        </w:tc>
      </w:tr>
      <w:tr w:rsidR="002B5A16" w:rsidRPr="00AF6856" w:rsidTr="002B5A16">
        <w:tc>
          <w:tcPr>
            <w:tcW w:w="5699" w:type="dxa"/>
          </w:tcPr>
          <w:p w:rsidR="002B5A16" w:rsidRPr="00AF6856" w:rsidRDefault="002B5A16" w:rsidP="002B5A16">
            <w:pPr>
              <w:jc w:val="center"/>
              <w:rPr>
                <w:rFonts w:ascii="Arial" w:hAnsi="Arial" w:cs="Arial"/>
                <w:b/>
                <w:sz w:val="22"/>
                <w:szCs w:val="22"/>
              </w:rPr>
            </w:pPr>
            <w:r w:rsidRPr="00AF6856">
              <w:rPr>
                <w:rFonts w:ascii="Arial" w:hAnsi="Arial" w:cs="Arial"/>
                <w:b/>
                <w:sz w:val="22"/>
                <w:szCs w:val="22"/>
              </w:rPr>
              <w:t>Science and Research Priorities (est. 2015)</w:t>
            </w:r>
          </w:p>
        </w:tc>
        <w:tc>
          <w:tcPr>
            <w:tcW w:w="3373" w:type="dxa"/>
          </w:tcPr>
          <w:p w:rsidR="002B5A16" w:rsidRPr="00AF6856" w:rsidRDefault="002B5A16" w:rsidP="002B5A16">
            <w:pPr>
              <w:jc w:val="center"/>
              <w:rPr>
                <w:rFonts w:ascii="Arial" w:hAnsi="Arial" w:cs="Arial"/>
                <w:b/>
                <w:sz w:val="22"/>
                <w:szCs w:val="22"/>
              </w:rPr>
            </w:pPr>
            <w:r w:rsidRPr="00AF6856">
              <w:rPr>
                <w:rFonts w:ascii="Arial" w:hAnsi="Arial" w:cs="Arial"/>
                <w:b/>
                <w:sz w:val="22"/>
                <w:szCs w:val="22"/>
              </w:rPr>
              <w:t>Investment Decision Rule Guides (est. 2015)</w:t>
            </w:r>
          </w:p>
        </w:tc>
      </w:tr>
      <w:tr w:rsidR="002B5A16" w:rsidRPr="00AF6856" w:rsidTr="002B5A16">
        <w:tc>
          <w:tcPr>
            <w:tcW w:w="5699" w:type="dxa"/>
          </w:tcPr>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 xml:space="preserve">Delivering productivity growth </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Growing knowledge intensive services</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Protecting biodiversity and heritage, both marine and terrestrial</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Cleaner and renewable energy technologies</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Ensuring sustainability of physical and especially digital infrastructure critical for research</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Building resilience and managing climate risk</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Supporting the translation of health and biotechnology research</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Improving health data management and services delivery</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Ensuring sustainable water use and delivering quality water and water security</w:t>
            </w:r>
          </w:p>
          <w:p w:rsidR="002B5A16" w:rsidRPr="00AF6856" w:rsidRDefault="002B5A16" w:rsidP="000D5A34">
            <w:pPr>
              <w:pStyle w:val="ListParagraph"/>
              <w:numPr>
                <w:ilvl w:val="0"/>
                <w:numId w:val="52"/>
              </w:numPr>
              <w:suppressAutoHyphens/>
              <w:ind w:left="318"/>
              <w:contextualSpacing w:val="0"/>
              <w:rPr>
                <w:rFonts w:ascii="Arial" w:hAnsi="Arial" w:cs="Arial"/>
                <w:sz w:val="22"/>
                <w:szCs w:val="22"/>
              </w:rPr>
            </w:pPr>
            <w:r w:rsidRPr="00AF6856">
              <w:rPr>
                <w:rFonts w:ascii="Arial" w:hAnsi="Arial" w:cs="Arial"/>
                <w:sz w:val="22"/>
                <w:szCs w:val="22"/>
              </w:rPr>
              <w:t xml:space="preserve">The development and application of digitally-enabled technologies. </w:t>
            </w:r>
          </w:p>
        </w:tc>
        <w:tc>
          <w:tcPr>
            <w:tcW w:w="3373" w:type="dxa"/>
          </w:tcPr>
          <w:p w:rsidR="002B5A16" w:rsidRPr="00AF6856" w:rsidRDefault="002B5A16" w:rsidP="000D5A34">
            <w:pPr>
              <w:pStyle w:val="ListParagraph"/>
              <w:numPr>
                <w:ilvl w:val="0"/>
                <w:numId w:val="53"/>
              </w:numPr>
              <w:suppressAutoHyphens/>
              <w:ind w:left="430"/>
              <w:contextualSpacing w:val="0"/>
              <w:rPr>
                <w:rFonts w:ascii="Arial" w:hAnsi="Arial" w:cs="Arial"/>
                <w:sz w:val="22"/>
                <w:szCs w:val="22"/>
              </w:rPr>
            </w:pPr>
            <w:r w:rsidRPr="00AF6856">
              <w:rPr>
                <w:rFonts w:ascii="Arial" w:hAnsi="Arial" w:cs="Arial"/>
                <w:sz w:val="22"/>
                <w:szCs w:val="22"/>
              </w:rPr>
              <w:t>Real Future Impact</w:t>
            </w:r>
          </w:p>
          <w:p w:rsidR="002B5A16" w:rsidRPr="00AF6856" w:rsidRDefault="002B5A16" w:rsidP="000D5A34">
            <w:pPr>
              <w:pStyle w:val="ListParagraph"/>
              <w:numPr>
                <w:ilvl w:val="0"/>
                <w:numId w:val="53"/>
              </w:numPr>
              <w:suppressAutoHyphens/>
              <w:ind w:left="430"/>
              <w:contextualSpacing w:val="0"/>
              <w:rPr>
                <w:rFonts w:ascii="Arial" w:hAnsi="Arial" w:cs="Arial"/>
                <w:sz w:val="22"/>
                <w:szCs w:val="22"/>
              </w:rPr>
            </w:pPr>
            <w:r w:rsidRPr="00AF6856">
              <w:rPr>
                <w:rFonts w:ascii="Arial" w:hAnsi="Arial" w:cs="Arial"/>
                <w:sz w:val="22"/>
                <w:szCs w:val="22"/>
              </w:rPr>
              <w:t xml:space="preserve">External Commitment </w:t>
            </w:r>
          </w:p>
          <w:p w:rsidR="002B5A16" w:rsidRPr="00AF6856" w:rsidRDefault="002B5A16" w:rsidP="000D5A34">
            <w:pPr>
              <w:pStyle w:val="ListParagraph"/>
              <w:numPr>
                <w:ilvl w:val="0"/>
                <w:numId w:val="53"/>
              </w:numPr>
              <w:suppressAutoHyphens/>
              <w:ind w:left="430"/>
              <w:contextualSpacing w:val="0"/>
              <w:rPr>
                <w:rFonts w:ascii="Arial" w:hAnsi="Arial" w:cs="Arial"/>
                <w:sz w:val="22"/>
                <w:szCs w:val="22"/>
              </w:rPr>
            </w:pPr>
            <w:r w:rsidRPr="00AF6856">
              <w:rPr>
                <w:rFonts w:ascii="Arial" w:hAnsi="Arial" w:cs="Arial"/>
                <w:sz w:val="22"/>
                <w:szCs w:val="22"/>
              </w:rPr>
              <w:t>Distinctive Angle</w:t>
            </w:r>
          </w:p>
          <w:p w:rsidR="002B5A16" w:rsidRPr="00AF6856" w:rsidRDefault="002B5A16" w:rsidP="000D5A34">
            <w:pPr>
              <w:pStyle w:val="ListParagraph"/>
              <w:numPr>
                <w:ilvl w:val="0"/>
                <w:numId w:val="53"/>
              </w:numPr>
              <w:suppressAutoHyphens/>
              <w:ind w:left="430"/>
              <w:contextualSpacing w:val="0"/>
              <w:rPr>
                <w:rFonts w:ascii="Arial" w:hAnsi="Arial" w:cs="Arial"/>
                <w:sz w:val="22"/>
                <w:szCs w:val="22"/>
              </w:rPr>
            </w:pPr>
            <w:r w:rsidRPr="00AF6856">
              <w:rPr>
                <w:rFonts w:ascii="Arial" w:hAnsi="Arial" w:cs="Arial"/>
                <w:sz w:val="22"/>
                <w:szCs w:val="22"/>
              </w:rPr>
              <w:t xml:space="preserve">Scaling towards Critical Mass  </w:t>
            </w:r>
          </w:p>
          <w:p w:rsidR="002B5A16" w:rsidRPr="00AF6856" w:rsidRDefault="002B5A16" w:rsidP="002B5A16">
            <w:pPr>
              <w:rPr>
                <w:rFonts w:ascii="Arial" w:hAnsi="Arial" w:cs="Arial"/>
                <w:sz w:val="22"/>
                <w:szCs w:val="22"/>
              </w:rPr>
            </w:pPr>
          </w:p>
        </w:tc>
      </w:tr>
    </w:tbl>
    <w:p w:rsidR="002B5A16" w:rsidRDefault="002B5A16" w:rsidP="00AF6856">
      <w:pPr>
        <w:spacing w:after="240"/>
        <w:jc w:val="center"/>
        <w:rPr>
          <w:rFonts w:ascii="Arial" w:hAnsi="Arial"/>
          <w:sz w:val="20"/>
          <w:lang w:val="en-GB"/>
        </w:rPr>
      </w:pPr>
      <w:r w:rsidRPr="00FF5C71">
        <w:rPr>
          <w:rFonts w:ascii="Arial" w:hAnsi="Arial"/>
          <w:sz w:val="20"/>
          <w:lang w:val="en-GB"/>
        </w:rPr>
        <w:t>Source: Office of the Chief Scientist Queensland (2015)</w:t>
      </w:r>
    </w:p>
    <w:p w:rsidR="00AF6856" w:rsidRDefault="00AF6856" w:rsidP="00EB01F3">
      <w:pPr>
        <w:rPr>
          <w:rFonts w:ascii="Arial" w:hAnsi="Arial"/>
          <w:sz w:val="20"/>
          <w:lang w:val="en-GB"/>
        </w:rPr>
      </w:pPr>
    </w:p>
    <w:p w:rsidR="002B5A16" w:rsidRPr="00AF6856" w:rsidRDefault="002B5A16" w:rsidP="00AF6856">
      <w:pPr>
        <w:spacing w:after="240"/>
        <w:rPr>
          <w:rFonts w:ascii="Arial" w:hAnsi="Arial" w:cs="Arial"/>
          <w:b/>
          <w:sz w:val="40"/>
          <w:szCs w:val="40"/>
        </w:rPr>
      </w:pPr>
      <w:bookmarkStart w:id="482" w:name="_Toc487091263"/>
      <w:r w:rsidRPr="00AF6856">
        <w:rPr>
          <w:rFonts w:ascii="Arial" w:hAnsi="Arial" w:cs="Arial"/>
          <w:b/>
          <w:sz w:val="40"/>
          <w:szCs w:val="40"/>
        </w:rPr>
        <w:t>6. Valuation of Impacts</w:t>
      </w:r>
      <w:bookmarkEnd w:id="482"/>
      <w:r w:rsidRPr="00AF6856">
        <w:rPr>
          <w:rFonts w:ascii="Arial" w:hAnsi="Arial" w:cs="Arial"/>
          <w:b/>
          <w:sz w:val="40"/>
          <w:szCs w:val="40"/>
        </w:rPr>
        <w:t xml:space="preserve"> </w:t>
      </w:r>
    </w:p>
    <w:p w:rsidR="002B5A16" w:rsidRDefault="002B5A16" w:rsidP="00AF6856">
      <w:pPr>
        <w:spacing w:after="240"/>
        <w:rPr>
          <w:rFonts w:ascii="Arial" w:hAnsi="Arial" w:cs="Arial"/>
          <w:bCs/>
          <w:lang w:val="en-GB"/>
        </w:rPr>
      </w:pPr>
      <w:r>
        <w:rPr>
          <w:rFonts w:ascii="Arial" w:hAnsi="Arial" w:cs="Arial"/>
          <w:bCs/>
          <w:lang w:val="en-GB"/>
        </w:rPr>
        <w:t>Investment analyses were undertaken for total benefits that included future expected benefits. A degree of conservatism was used when finalising assumptions, particularly when some uncertainty was involved. Sensitivity analyses were undertaken for those variables where there was greatest uncertainty or for those that were identified as key drivers of the investment criteria.</w:t>
      </w:r>
    </w:p>
    <w:p w:rsidR="002B5A16" w:rsidRPr="007013B8" w:rsidRDefault="002B5A16" w:rsidP="00AF6856">
      <w:pPr>
        <w:spacing w:after="240"/>
        <w:rPr>
          <w:rFonts w:ascii="Arial" w:hAnsi="Arial" w:cs="Arial"/>
          <w:b/>
          <w:sz w:val="24"/>
        </w:rPr>
      </w:pPr>
      <w:r w:rsidRPr="007013B8">
        <w:rPr>
          <w:rFonts w:ascii="Arial" w:hAnsi="Arial" w:cs="Arial"/>
          <w:b/>
          <w:sz w:val="24"/>
        </w:rPr>
        <w:t xml:space="preserve">Impacts Valued </w:t>
      </w:r>
    </w:p>
    <w:p w:rsidR="002B5A16" w:rsidRDefault="002B5A16" w:rsidP="00AF6856">
      <w:pPr>
        <w:spacing w:after="240"/>
        <w:rPr>
          <w:rFonts w:ascii="Arial" w:hAnsi="Arial" w:cs="Arial"/>
        </w:rPr>
      </w:pPr>
      <w:r>
        <w:rPr>
          <w:rFonts w:ascii="Arial" w:hAnsi="Arial" w:cs="Arial"/>
        </w:rPr>
        <w:t>Valuation focusses on impacts on the Australian sweetpotato industry as well as on the general Australian community. This is consistent with CBA processes used by the CRRDC whereby costs and benefits ref</w:t>
      </w:r>
      <w:r w:rsidRPr="00DD4CEE">
        <w:rPr>
          <w:rFonts w:ascii="Arial" w:hAnsi="Arial" w:cs="Arial"/>
        </w:rPr>
        <w:t xml:space="preserve">er to </w:t>
      </w:r>
      <w:r>
        <w:rPr>
          <w:rFonts w:ascii="Arial" w:hAnsi="Arial" w:cs="Arial"/>
        </w:rPr>
        <w:t xml:space="preserve">those usually incurred or captured within Australian borders. A </w:t>
      </w:r>
      <w:r w:rsidRPr="00AF6856">
        <w:rPr>
          <w:rFonts w:ascii="Arial" w:hAnsi="Arial" w:cs="Arial"/>
          <w:bCs/>
          <w:lang w:val="en-GB"/>
        </w:rPr>
        <w:t>separate</w:t>
      </w:r>
      <w:r>
        <w:rPr>
          <w:rFonts w:ascii="Arial" w:hAnsi="Arial" w:cs="Arial"/>
        </w:rPr>
        <w:t xml:space="preserve"> evaluation of project impacts on PNG and the Solomon Islands was completed in June 2017 and was commissioned by ACIAR (Dr Andrew Alford, Research Program Manager – Impact Assessment, ACIAR, personal communication, March 2017).</w:t>
      </w:r>
    </w:p>
    <w:p w:rsidR="002B5A16" w:rsidRDefault="002B5A16" w:rsidP="002B5A16">
      <w:pPr>
        <w:rPr>
          <w:rFonts w:ascii="Arial" w:hAnsi="Arial" w:cs="Arial"/>
        </w:rPr>
      </w:pPr>
      <w:r>
        <w:rPr>
          <w:rFonts w:ascii="Arial" w:hAnsi="Arial" w:cs="Arial"/>
        </w:rPr>
        <w:t>Three sets of impacts were valued in this assessment:</w:t>
      </w:r>
    </w:p>
    <w:p w:rsidR="002B5A16" w:rsidRPr="004E1655" w:rsidRDefault="002B5A16" w:rsidP="000D5A34">
      <w:pPr>
        <w:pStyle w:val="ListParagraph"/>
        <w:numPr>
          <w:ilvl w:val="0"/>
          <w:numId w:val="56"/>
        </w:numPr>
        <w:suppressAutoHyphens/>
        <w:contextualSpacing w:val="0"/>
        <w:rPr>
          <w:rFonts w:ascii="Arial" w:hAnsi="Arial" w:cs="Arial"/>
          <w:color w:val="000000" w:themeColor="text1"/>
        </w:rPr>
      </w:pPr>
      <w:r>
        <w:rPr>
          <w:rFonts w:ascii="Arial" w:hAnsi="Arial" w:cs="Arial"/>
        </w:rPr>
        <w:t>I</w:t>
      </w:r>
      <w:r w:rsidRPr="004E1655">
        <w:rPr>
          <w:rFonts w:ascii="Arial" w:hAnsi="Arial" w:cs="Arial"/>
        </w:rPr>
        <w:t xml:space="preserve">ncreased average yield </w:t>
      </w:r>
      <w:r>
        <w:rPr>
          <w:rFonts w:ascii="Arial" w:hAnsi="Arial" w:cs="Arial"/>
        </w:rPr>
        <w:t xml:space="preserve">- </w:t>
      </w:r>
      <w:r w:rsidRPr="004E1655">
        <w:rPr>
          <w:rFonts w:ascii="Arial" w:hAnsi="Arial" w:cs="Arial"/>
        </w:rPr>
        <w:t>through PT planting material, seedbed technology, insect control, agronomy and selection of more productive genetic material.</w:t>
      </w:r>
    </w:p>
    <w:p w:rsidR="00AF6856" w:rsidRPr="00AF6856" w:rsidRDefault="002B5A16" w:rsidP="000D5A34">
      <w:pPr>
        <w:pStyle w:val="ListParagraph"/>
        <w:numPr>
          <w:ilvl w:val="0"/>
          <w:numId w:val="56"/>
        </w:numPr>
        <w:suppressAutoHyphens/>
        <w:contextualSpacing w:val="0"/>
        <w:rPr>
          <w:rFonts w:ascii="Arial" w:hAnsi="Arial" w:cs="Arial"/>
          <w:color w:val="000000" w:themeColor="text1"/>
        </w:rPr>
      </w:pPr>
      <w:r>
        <w:rPr>
          <w:rFonts w:ascii="Arial" w:hAnsi="Arial" w:cs="Arial"/>
        </w:rPr>
        <w:t>I</w:t>
      </w:r>
      <w:r w:rsidRPr="004E1655">
        <w:rPr>
          <w:rFonts w:ascii="Arial" w:hAnsi="Arial" w:cs="Arial"/>
        </w:rPr>
        <w:t xml:space="preserve">ncreased profitability through </w:t>
      </w:r>
      <w:r>
        <w:rPr>
          <w:rFonts w:ascii="Arial" w:hAnsi="Arial" w:cs="Arial"/>
        </w:rPr>
        <w:t xml:space="preserve">higher prices achieved for better quality sweetpotatoes along with </w:t>
      </w:r>
      <w:r w:rsidRPr="004E1655">
        <w:rPr>
          <w:rFonts w:ascii="Arial" w:hAnsi="Arial" w:cs="Arial"/>
        </w:rPr>
        <w:t>input cost savings including planting material, chemicals and fertiliser.</w:t>
      </w:r>
    </w:p>
    <w:p w:rsidR="002B5A16" w:rsidRPr="00AF6856" w:rsidRDefault="002B5A16" w:rsidP="000D5A34">
      <w:pPr>
        <w:pStyle w:val="ListParagraph"/>
        <w:numPr>
          <w:ilvl w:val="0"/>
          <w:numId w:val="56"/>
        </w:numPr>
        <w:suppressAutoHyphens/>
        <w:spacing w:after="240"/>
        <w:contextualSpacing w:val="0"/>
        <w:rPr>
          <w:rFonts w:ascii="Arial" w:hAnsi="Arial" w:cs="Arial"/>
          <w:color w:val="000000" w:themeColor="text1"/>
        </w:rPr>
      </w:pPr>
      <w:r w:rsidRPr="00AF6856">
        <w:rPr>
          <w:rFonts w:ascii="Arial" w:hAnsi="Arial" w:cs="Arial"/>
        </w:rPr>
        <w:t>Increased area of sweetpotato grown due to the increased profitability of the crop.</w:t>
      </w:r>
    </w:p>
    <w:p w:rsidR="002B5A16" w:rsidRPr="007013B8" w:rsidRDefault="002B5A16" w:rsidP="00AF6856">
      <w:pPr>
        <w:spacing w:after="240"/>
        <w:rPr>
          <w:rFonts w:ascii="Arial" w:hAnsi="Arial" w:cs="Arial"/>
          <w:b/>
          <w:sz w:val="24"/>
        </w:rPr>
      </w:pPr>
      <w:r w:rsidRPr="007013B8">
        <w:rPr>
          <w:rFonts w:ascii="Arial" w:hAnsi="Arial" w:cs="Arial"/>
          <w:b/>
          <w:sz w:val="24"/>
        </w:rPr>
        <w:t xml:space="preserve">Impacts </w:t>
      </w:r>
      <w:r>
        <w:rPr>
          <w:rFonts w:ascii="Arial" w:hAnsi="Arial" w:cs="Arial"/>
          <w:b/>
          <w:sz w:val="24"/>
        </w:rPr>
        <w:t>Not</w:t>
      </w:r>
      <w:r w:rsidRPr="007013B8">
        <w:rPr>
          <w:rFonts w:ascii="Arial" w:hAnsi="Arial" w:cs="Arial"/>
          <w:b/>
          <w:sz w:val="24"/>
        </w:rPr>
        <w:t xml:space="preserve"> Valued</w:t>
      </w:r>
    </w:p>
    <w:p w:rsidR="002B5A16" w:rsidRPr="00CD02AA" w:rsidRDefault="002B5A16" w:rsidP="00AF6856">
      <w:pPr>
        <w:spacing w:after="240"/>
        <w:rPr>
          <w:rFonts w:ascii="Arial" w:hAnsi="Arial" w:cs="Arial"/>
        </w:rPr>
      </w:pPr>
      <w:r w:rsidRPr="00CD02AA">
        <w:rPr>
          <w:rFonts w:ascii="Arial" w:hAnsi="Arial" w:cs="Arial"/>
        </w:rPr>
        <w:t xml:space="preserve">Not all impacts identified in Table </w:t>
      </w:r>
      <w:r>
        <w:rPr>
          <w:rFonts w:ascii="Arial" w:hAnsi="Arial" w:cs="Arial"/>
        </w:rPr>
        <w:t>17</w:t>
      </w:r>
      <w:r w:rsidRPr="00CD02AA">
        <w:rPr>
          <w:rFonts w:ascii="Arial" w:hAnsi="Arial" w:cs="Arial"/>
        </w:rPr>
        <w:t xml:space="preserve"> could be valued in the assessment. This was for various reasons including time and resources, availability of baseline data, difficulty in quantifying the causal relationships between the research outputs and the specific impact, and the difficulty of placing credible monetary values on some of the environmental and social benefits.</w:t>
      </w:r>
    </w:p>
    <w:p w:rsidR="002B5A16" w:rsidRDefault="002B5A16" w:rsidP="002B5A16">
      <w:pPr>
        <w:rPr>
          <w:rFonts w:ascii="Arial" w:hAnsi="Arial" w:cs="Arial"/>
        </w:rPr>
      </w:pPr>
      <w:r w:rsidRPr="00CD02AA">
        <w:rPr>
          <w:rFonts w:ascii="Arial" w:hAnsi="Arial" w:cs="Arial"/>
        </w:rPr>
        <w:t>The environmental impact</w:t>
      </w:r>
      <w:r>
        <w:rPr>
          <w:rFonts w:ascii="Arial" w:hAnsi="Arial" w:cs="Arial"/>
        </w:rPr>
        <w:t>s</w:t>
      </w:r>
      <w:r w:rsidRPr="00CD02AA">
        <w:rPr>
          <w:rFonts w:ascii="Arial" w:hAnsi="Arial" w:cs="Arial"/>
        </w:rPr>
        <w:t xml:space="preserve"> identified but not valued </w:t>
      </w:r>
      <w:r>
        <w:rPr>
          <w:rFonts w:ascii="Arial" w:hAnsi="Arial" w:cs="Arial"/>
        </w:rPr>
        <w:t>included:</w:t>
      </w:r>
    </w:p>
    <w:p w:rsidR="002B5A16" w:rsidRPr="005B03BF" w:rsidRDefault="002B5A16" w:rsidP="000D5A34">
      <w:pPr>
        <w:pStyle w:val="ListParagraph"/>
        <w:numPr>
          <w:ilvl w:val="0"/>
          <w:numId w:val="54"/>
        </w:numPr>
        <w:suppressAutoHyphens/>
        <w:spacing w:after="240"/>
        <w:contextualSpacing w:val="0"/>
        <w:rPr>
          <w:rFonts w:ascii="Arial" w:hAnsi="Arial" w:cs="Arial"/>
        </w:rPr>
      </w:pPr>
      <w:r w:rsidRPr="005B03BF">
        <w:rPr>
          <w:rFonts w:ascii="Arial" w:hAnsi="Arial" w:cs="Arial"/>
        </w:rPr>
        <w:t>Increased biodiversity and improved water quality from the increased and more effective use of IPM that has reduced the quantity of agro-chemicals used.</w:t>
      </w:r>
    </w:p>
    <w:p w:rsidR="002B5A16" w:rsidRDefault="002B5A16" w:rsidP="002B5A16">
      <w:pPr>
        <w:rPr>
          <w:rFonts w:ascii="Arial" w:hAnsi="Arial" w:cs="Arial"/>
        </w:rPr>
      </w:pPr>
      <w:r w:rsidRPr="002202C5">
        <w:rPr>
          <w:rFonts w:ascii="Arial" w:hAnsi="Arial" w:cs="Arial"/>
        </w:rPr>
        <w:t>The social impacts identified but not valued included</w:t>
      </w:r>
      <w:r>
        <w:rPr>
          <w:rFonts w:ascii="Arial" w:hAnsi="Arial" w:cs="Arial"/>
        </w:rPr>
        <w:t>:</w:t>
      </w:r>
    </w:p>
    <w:p w:rsidR="002B5A16" w:rsidRDefault="002B5A16" w:rsidP="000D5A34">
      <w:pPr>
        <w:pStyle w:val="ListParagraph"/>
        <w:numPr>
          <w:ilvl w:val="0"/>
          <w:numId w:val="55"/>
        </w:numPr>
        <w:suppressAutoHyphens/>
        <w:contextualSpacing w:val="0"/>
        <w:rPr>
          <w:rFonts w:ascii="Arial" w:hAnsi="Arial" w:cs="Arial"/>
        </w:rPr>
      </w:pPr>
      <w:r w:rsidRPr="0003716C">
        <w:rPr>
          <w:rFonts w:ascii="Arial" w:hAnsi="Arial" w:cs="Arial"/>
        </w:rPr>
        <w:t>Increased research capacity</w:t>
      </w:r>
      <w:r>
        <w:rPr>
          <w:rFonts w:ascii="Arial" w:hAnsi="Arial" w:cs="Arial"/>
        </w:rPr>
        <w:t xml:space="preserve"> including virus testing, identification of biological controls, crop sampling and experiment design</w:t>
      </w:r>
      <w:r w:rsidRPr="0003716C">
        <w:rPr>
          <w:rFonts w:ascii="Arial" w:hAnsi="Arial" w:cs="Arial"/>
        </w:rPr>
        <w:t>.</w:t>
      </w:r>
    </w:p>
    <w:p w:rsidR="002B5A16" w:rsidRDefault="002B5A16" w:rsidP="000D5A34">
      <w:pPr>
        <w:pStyle w:val="ListParagraph"/>
        <w:numPr>
          <w:ilvl w:val="0"/>
          <w:numId w:val="55"/>
        </w:numPr>
        <w:suppressAutoHyphens/>
        <w:contextualSpacing w:val="0"/>
        <w:rPr>
          <w:rFonts w:ascii="Arial" w:hAnsi="Arial" w:cs="Arial"/>
        </w:rPr>
      </w:pPr>
      <w:r w:rsidRPr="0003716C">
        <w:rPr>
          <w:rFonts w:ascii="Arial" w:hAnsi="Arial" w:cs="Arial"/>
        </w:rPr>
        <w:t xml:space="preserve">Increased </w:t>
      </w:r>
      <w:r>
        <w:rPr>
          <w:rFonts w:ascii="Arial" w:hAnsi="Arial" w:cs="Arial"/>
        </w:rPr>
        <w:t xml:space="preserve">industry </w:t>
      </w:r>
      <w:r w:rsidRPr="0003716C">
        <w:rPr>
          <w:rFonts w:ascii="Arial" w:hAnsi="Arial" w:cs="Arial"/>
        </w:rPr>
        <w:t>capacity</w:t>
      </w:r>
      <w:r>
        <w:rPr>
          <w:rFonts w:ascii="Arial" w:hAnsi="Arial" w:cs="Arial"/>
        </w:rPr>
        <w:t xml:space="preserve"> including understanding and implementation of sweetpotato IPM techniques</w:t>
      </w:r>
      <w:r w:rsidRPr="0003716C">
        <w:rPr>
          <w:rFonts w:ascii="Arial" w:hAnsi="Arial" w:cs="Arial"/>
        </w:rPr>
        <w:t>.</w:t>
      </w:r>
    </w:p>
    <w:p w:rsidR="002B5A16" w:rsidRPr="0003716C" w:rsidRDefault="002B5A16" w:rsidP="000D5A34">
      <w:pPr>
        <w:pStyle w:val="ListParagraph"/>
        <w:numPr>
          <w:ilvl w:val="0"/>
          <w:numId w:val="55"/>
        </w:numPr>
        <w:suppressAutoHyphens/>
        <w:spacing w:after="240"/>
        <w:contextualSpacing w:val="0"/>
        <w:rPr>
          <w:rFonts w:ascii="Arial" w:hAnsi="Arial" w:cs="Arial"/>
        </w:rPr>
      </w:pPr>
      <w:r>
        <w:rPr>
          <w:rFonts w:ascii="Arial" w:hAnsi="Arial" w:cs="Arial"/>
        </w:rPr>
        <w:t>Increased regional incomes resulting from the increased profitability of sweetpotato production.</w:t>
      </w:r>
    </w:p>
    <w:p w:rsidR="002B5A16" w:rsidRPr="00A943DB" w:rsidRDefault="002B5A16" w:rsidP="00AF6856">
      <w:pPr>
        <w:spacing w:before="240" w:after="240"/>
        <w:rPr>
          <w:rFonts w:ascii="Arial" w:hAnsi="Arial" w:cs="Arial"/>
          <w:b/>
          <w:color w:val="000000" w:themeColor="text1"/>
          <w:sz w:val="24"/>
        </w:rPr>
      </w:pPr>
      <w:r w:rsidRPr="00A943DB">
        <w:rPr>
          <w:rFonts w:ascii="Arial" w:hAnsi="Arial" w:cs="Arial"/>
          <w:b/>
          <w:color w:val="000000" w:themeColor="text1"/>
          <w:sz w:val="24"/>
        </w:rPr>
        <w:t>Valuation of Benefit</w:t>
      </w:r>
      <w:r>
        <w:rPr>
          <w:rFonts w:ascii="Arial" w:hAnsi="Arial" w:cs="Arial"/>
          <w:b/>
          <w:color w:val="000000" w:themeColor="text1"/>
          <w:sz w:val="24"/>
        </w:rPr>
        <w:t xml:space="preserve"> 1: Increased Average Yield</w:t>
      </w:r>
      <w:r w:rsidRPr="00A943DB">
        <w:rPr>
          <w:rFonts w:ascii="Arial" w:hAnsi="Arial" w:cs="Arial"/>
          <w:b/>
          <w:color w:val="000000" w:themeColor="text1"/>
          <w:sz w:val="24"/>
        </w:rPr>
        <w:t>s</w:t>
      </w:r>
    </w:p>
    <w:p w:rsidR="002B5A16" w:rsidRDefault="002B5A16" w:rsidP="00AF6856">
      <w:pPr>
        <w:spacing w:after="240"/>
        <w:rPr>
          <w:rFonts w:ascii="Arial" w:hAnsi="Arial" w:cs="Arial"/>
        </w:rPr>
      </w:pPr>
      <w:r>
        <w:rPr>
          <w:rFonts w:ascii="Arial" w:hAnsi="Arial" w:cs="Arial"/>
        </w:rPr>
        <w:t xml:space="preserve">Investments in this cluster span the period 1998 to 2018. At the commencement of DAF investment in year ending June 1998, the Australian sweetpotato industry had an annual GVP of $4.5 million. Beauregard planting material was virus affected and usually sourced on-farm. Sweetpotatoes were not widely consumed and some regarded the product as only suitable for pig food. </w:t>
      </w:r>
      <w:r w:rsidRPr="00BA4E7A">
        <w:rPr>
          <w:rFonts w:ascii="Arial" w:hAnsi="Arial" w:cs="Arial"/>
        </w:rPr>
        <w:t xml:space="preserve">Average industry yield was </w:t>
      </w:r>
      <w:r w:rsidRPr="00252141">
        <w:rPr>
          <w:rFonts w:ascii="Arial" w:hAnsi="Arial" w:cs="Arial"/>
        </w:rPr>
        <w:t>1</w:t>
      </w:r>
      <w:r>
        <w:rPr>
          <w:rFonts w:ascii="Arial" w:hAnsi="Arial" w:cs="Arial"/>
        </w:rPr>
        <w:t>,</w:t>
      </w:r>
      <w:r w:rsidRPr="00252141">
        <w:rPr>
          <w:rFonts w:ascii="Arial" w:hAnsi="Arial" w:cs="Arial"/>
        </w:rPr>
        <w:t xml:space="preserve">600 </w:t>
      </w:r>
      <w:r w:rsidRPr="00BA4E7A">
        <w:rPr>
          <w:rFonts w:ascii="Arial" w:hAnsi="Arial" w:cs="Arial"/>
        </w:rPr>
        <w:t>cartons/</w:t>
      </w:r>
      <w:r w:rsidRPr="00252141">
        <w:rPr>
          <w:rFonts w:ascii="Arial" w:hAnsi="Arial" w:cs="Arial"/>
        </w:rPr>
        <w:t>ha (650 cartons/ acre) (Eric Coleman, ASPG</w:t>
      </w:r>
      <w:r>
        <w:rPr>
          <w:rFonts w:ascii="Arial" w:hAnsi="Arial" w:cs="Arial"/>
        </w:rPr>
        <w:t>,</w:t>
      </w:r>
      <w:r w:rsidRPr="00252141">
        <w:rPr>
          <w:rFonts w:ascii="Arial" w:hAnsi="Arial" w:cs="Arial"/>
        </w:rPr>
        <w:t xml:space="preserve"> pers. comm</w:t>
      </w:r>
      <w:r>
        <w:rPr>
          <w:rFonts w:ascii="Arial" w:hAnsi="Arial" w:cs="Arial"/>
        </w:rPr>
        <w:t xml:space="preserve">., </w:t>
      </w:r>
      <w:r w:rsidRPr="00252141">
        <w:rPr>
          <w:rFonts w:ascii="Arial" w:hAnsi="Arial" w:cs="Arial"/>
        </w:rPr>
        <w:t>June 2017)</w:t>
      </w:r>
      <w:r>
        <w:rPr>
          <w:rFonts w:ascii="Arial" w:hAnsi="Arial" w:cs="Arial"/>
        </w:rPr>
        <w:t>.</w:t>
      </w:r>
    </w:p>
    <w:p w:rsidR="002B5A16" w:rsidRDefault="002B5A16" w:rsidP="00AF6856">
      <w:pPr>
        <w:spacing w:after="240"/>
        <w:rPr>
          <w:rFonts w:ascii="Arial" w:hAnsi="Arial" w:cs="Arial"/>
        </w:rPr>
      </w:pPr>
      <w:r>
        <w:rPr>
          <w:rFonts w:ascii="Arial" w:hAnsi="Arial" w:cs="Arial"/>
        </w:rPr>
        <w:t>The industry had an annual GVP that had risen from $4.5 million in 1998 to $100 million in 2016. Virus free planting material, pest control and selection of more productive lines of gold varieties has resulted in an average industry yield of 6,175 cartons/ha (2,500 cartons/acre) and the product is well regarded by Australian consumers and enjoys growing domestic demand (Sandra Dennien, Experimentalist, DAF Gatton, pers. comm., April 2017).</w:t>
      </w:r>
    </w:p>
    <w:p w:rsidR="002B5A16" w:rsidRPr="00A943DB" w:rsidRDefault="002B5A16" w:rsidP="00AF6856">
      <w:pPr>
        <w:spacing w:before="240" w:after="240"/>
        <w:rPr>
          <w:rFonts w:ascii="Arial" w:hAnsi="Arial" w:cs="Arial"/>
          <w:b/>
          <w:color w:val="000000" w:themeColor="text1"/>
          <w:sz w:val="24"/>
        </w:rPr>
      </w:pPr>
      <w:r w:rsidRPr="00A943DB">
        <w:rPr>
          <w:rFonts w:ascii="Arial" w:hAnsi="Arial" w:cs="Arial"/>
          <w:b/>
          <w:color w:val="000000" w:themeColor="text1"/>
          <w:sz w:val="24"/>
        </w:rPr>
        <w:t>Valuation of Benefit</w:t>
      </w:r>
      <w:r>
        <w:rPr>
          <w:rFonts w:ascii="Arial" w:hAnsi="Arial" w:cs="Arial"/>
          <w:b/>
          <w:color w:val="000000" w:themeColor="text1"/>
          <w:sz w:val="24"/>
        </w:rPr>
        <w:t xml:space="preserve"> 2: Increased Profitability</w:t>
      </w:r>
    </w:p>
    <w:p w:rsidR="002B5A16" w:rsidRPr="0012736E" w:rsidRDefault="002B5A16" w:rsidP="00AF6856">
      <w:pPr>
        <w:spacing w:after="240"/>
        <w:rPr>
          <w:rFonts w:ascii="Arial" w:hAnsi="Arial" w:cs="Arial"/>
        </w:rPr>
      </w:pPr>
      <w:r>
        <w:rPr>
          <w:rFonts w:ascii="Arial" w:hAnsi="Arial" w:cs="Arial"/>
        </w:rPr>
        <w:t xml:space="preserve">In addition to yield increases, investment in this cluster has improved the profitability of growing sweetpotato through other mechanisms. Improved quality and an even shape with easy to peel smooth bright skins, has enhanced consumer willingness to pay for the product and the average price received by growers has increased. The profitability of growing sweetpotatoes has also benefited from research outcomes that have resulted in production cost savings including lower cost planting material and savings in </w:t>
      </w:r>
      <w:r w:rsidRPr="0012736E">
        <w:rPr>
          <w:rFonts w:ascii="Arial" w:hAnsi="Arial" w:cs="Arial"/>
        </w:rPr>
        <w:t xml:space="preserve">chemicals and fertilisers. Overall gross margin per hectare is estimated to have increased 25% between 2007 and 2016. </w:t>
      </w:r>
    </w:p>
    <w:p w:rsidR="002B5A16" w:rsidRPr="0012736E" w:rsidRDefault="002B5A16" w:rsidP="00AF6856">
      <w:pPr>
        <w:spacing w:before="240" w:after="240"/>
        <w:rPr>
          <w:rFonts w:ascii="Arial" w:hAnsi="Arial" w:cs="Arial"/>
          <w:b/>
          <w:color w:val="000000" w:themeColor="text1"/>
          <w:sz w:val="24"/>
        </w:rPr>
      </w:pPr>
      <w:r w:rsidRPr="0012736E">
        <w:rPr>
          <w:rFonts w:ascii="Arial" w:hAnsi="Arial" w:cs="Arial"/>
          <w:b/>
          <w:color w:val="000000" w:themeColor="text1"/>
          <w:sz w:val="24"/>
        </w:rPr>
        <w:t>Valuation of Benefit 3: Increased Area Grown</w:t>
      </w:r>
    </w:p>
    <w:p w:rsidR="002B5A16" w:rsidRDefault="002B5A16" w:rsidP="00AF6856">
      <w:pPr>
        <w:spacing w:after="240"/>
        <w:rPr>
          <w:rFonts w:ascii="Arial" w:hAnsi="Arial" w:cs="Arial"/>
        </w:rPr>
      </w:pPr>
      <w:r w:rsidRPr="0012736E">
        <w:rPr>
          <w:rFonts w:ascii="Arial" w:hAnsi="Arial" w:cs="Arial"/>
        </w:rPr>
        <w:t xml:space="preserve">The increase in the profitability of growing </w:t>
      </w:r>
      <w:r>
        <w:rPr>
          <w:rFonts w:ascii="Arial" w:hAnsi="Arial" w:cs="Arial"/>
        </w:rPr>
        <w:t>sweetpotato</w:t>
      </w:r>
      <w:r w:rsidRPr="0012736E">
        <w:rPr>
          <w:rFonts w:ascii="Arial" w:hAnsi="Arial" w:cs="Arial"/>
        </w:rPr>
        <w:t xml:space="preserve">es has resulted in an increase in </w:t>
      </w:r>
      <w:r>
        <w:rPr>
          <w:rFonts w:ascii="Arial" w:hAnsi="Arial" w:cs="Arial"/>
        </w:rPr>
        <w:t>sweetpotato</w:t>
      </w:r>
      <w:r w:rsidRPr="0012736E">
        <w:rPr>
          <w:rFonts w:ascii="Arial" w:hAnsi="Arial" w:cs="Arial"/>
        </w:rPr>
        <w:t xml:space="preserve"> production area. The area of </w:t>
      </w:r>
      <w:r>
        <w:rPr>
          <w:rFonts w:ascii="Arial" w:hAnsi="Arial" w:cs="Arial"/>
        </w:rPr>
        <w:t>sweetpotato</w:t>
      </w:r>
      <w:r w:rsidRPr="0012736E">
        <w:rPr>
          <w:rFonts w:ascii="Arial" w:hAnsi="Arial" w:cs="Arial"/>
        </w:rPr>
        <w:t xml:space="preserve"> production has increased from an estimated </w:t>
      </w:r>
      <w:r w:rsidRPr="00371432">
        <w:rPr>
          <w:rFonts w:ascii="Arial" w:hAnsi="Arial" w:cs="Arial"/>
        </w:rPr>
        <w:t>210 ha in 1998 to 900 ha in 2016.</w:t>
      </w:r>
      <w:r w:rsidRPr="0012736E">
        <w:rPr>
          <w:rFonts w:ascii="Arial" w:hAnsi="Arial" w:cs="Arial"/>
        </w:rPr>
        <w:t xml:space="preserve"> The benefit of this additional area of production is the gross margin for </w:t>
      </w:r>
      <w:r>
        <w:rPr>
          <w:rFonts w:ascii="Arial" w:hAnsi="Arial" w:cs="Arial"/>
        </w:rPr>
        <w:t>sweetpotato</w:t>
      </w:r>
      <w:r w:rsidRPr="0012736E">
        <w:rPr>
          <w:rFonts w:ascii="Arial" w:hAnsi="Arial" w:cs="Arial"/>
        </w:rPr>
        <w:t>es less the value of the next best use of the land resource. In this instance, the next best use is the district average horticultural return and was assessed at a gross margin of $2,500/ha after</w:t>
      </w:r>
      <w:r>
        <w:rPr>
          <w:rFonts w:ascii="Arial" w:hAnsi="Arial" w:cs="Arial"/>
        </w:rPr>
        <w:t xml:space="preserve"> considering a range of DAF and NSW Department of Primary Industries (DPI) vegetable enterprise gross margins.</w:t>
      </w:r>
    </w:p>
    <w:p w:rsidR="002B5A16" w:rsidRPr="006B0F06" w:rsidRDefault="002B5A16" w:rsidP="00AF6856">
      <w:pPr>
        <w:spacing w:before="240" w:after="240"/>
        <w:rPr>
          <w:rFonts w:ascii="Arial" w:hAnsi="Arial" w:cs="Arial"/>
          <w:b/>
          <w:color w:val="000000" w:themeColor="text1"/>
          <w:sz w:val="24"/>
        </w:rPr>
      </w:pPr>
      <w:r w:rsidRPr="006B0F06">
        <w:rPr>
          <w:rFonts w:ascii="Arial" w:hAnsi="Arial" w:cs="Arial"/>
          <w:b/>
          <w:color w:val="000000" w:themeColor="text1"/>
          <w:sz w:val="24"/>
        </w:rPr>
        <w:t xml:space="preserve">Counterfactual </w:t>
      </w:r>
    </w:p>
    <w:p w:rsidR="002B5A16" w:rsidRDefault="002B5A16" w:rsidP="002B5A16">
      <w:pPr>
        <w:rPr>
          <w:rFonts w:ascii="Arial" w:hAnsi="Arial" w:cs="Arial"/>
        </w:rPr>
      </w:pPr>
      <w:r>
        <w:rPr>
          <w:rFonts w:ascii="Arial" w:hAnsi="Arial" w:cs="Arial"/>
        </w:rPr>
        <w:t>I</w:t>
      </w:r>
      <w:r w:rsidRPr="006C2CF5">
        <w:rPr>
          <w:rFonts w:ascii="Arial" w:hAnsi="Arial" w:cs="Arial"/>
        </w:rPr>
        <w:t>f these projects had not been funded</w:t>
      </w:r>
      <w:r>
        <w:rPr>
          <w:rFonts w:ascii="Arial" w:hAnsi="Arial" w:cs="Arial"/>
        </w:rPr>
        <w:t xml:space="preserve"> some progress with yield, profitability and area grown would have been made. ACIAR would have funded projects in PNG and the Solomon Islands</w:t>
      </w:r>
      <w:r w:rsidRPr="006C2CF5">
        <w:rPr>
          <w:rFonts w:ascii="Arial" w:hAnsi="Arial" w:cs="Arial"/>
        </w:rPr>
        <w:t xml:space="preserve">, </w:t>
      </w:r>
      <w:r>
        <w:rPr>
          <w:rFonts w:ascii="Arial" w:hAnsi="Arial" w:cs="Arial"/>
        </w:rPr>
        <w:t xml:space="preserve">where sweetpotato is an essential staple with falling yields. It is a requirement of ACIAR funding that there are also benefits for Australia. Under the counterfactual, it is assumed </w:t>
      </w:r>
      <w:r w:rsidRPr="00C75EFE">
        <w:rPr>
          <w:rFonts w:ascii="Arial" w:hAnsi="Arial" w:cs="Arial"/>
        </w:rPr>
        <w:t xml:space="preserve">that 15% of the yield, profit and area increase would have occurred regardless of investment by DAF in the cluster. An alternative counterfactual is </w:t>
      </w:r>
      <w:r w:rsidRPr="00371432">
        <w:rPr>
          <w:rFonts w:ascii="Arial" w:hAnsi="Arial" w:cs="Arial"/>
        </w:rPr>
        <w:t>that 25% of the</w:t>
      </w:r>
      <w:r>
        <w:rPr>
          <w:rFonts w:ascii="Arial" w:hAnsi="Arial" w:cs="Arial"/>
        </w:rPr>
        <w:t xml:space="preserve"> gain in Australian sweetpotato yield, profit and area gr</w:t>
      </w:r>
      <w:r w:rsidR="00AF6856">
        <w:rPr>
          <w:rFonts w:ascii="Arial" w:hAnsi="Arial" w:cs="Arial"/>
        </w:rPr>
        <w:t>own would have occurred anyway.</w:t>
      </w:r>
    </w:p>
    <w:p w:rsidR="002B5A16" w:rsidRPr="00297886" w:rsidRDefault="002B5A16" w:rsidP="00AF6856">
      <w:pPr>
        <w:spacing w:before="240" w:after="240"/>
        <w:rPr>
          <w:rFonts w:ascii="Arial" w:hAnsi="Arial" w:cs="Arial"/>
          <w:b/>
          <w:color w:val="000000" w:themeColor="text1"/>
          <w:sz w:val="24"/>
        </w:rPr>
      </w:pPr>
      <w:r>
        <w:rPr>
          <w:rFonts w:ascii="Arial" w:hAnsi="Arial" w:cs="Arial"/>
          <w:b/>
          <w:color w:val="000000" w:themeColor="text1"/>
          <w:sz w:val="24"/>
        </w:rPr>
        <w:t>Attribution</w:t>
      </w:r>
    </w:p>
    <w:p w:rsidR="002B5A16" w:rsidRPr="00AF6856" w:rsidRDefault="002B5A16" w:rsidP="00AF6856">
      <w:pPr>
        <w:spacing w:after="240"/>
        <w:rPr>
          <w:rFonts w:ascii="Arial" w:hAnsi="Arial" w:cs="Arial"/>
          <w:color w:val="000000" w:themeColor="text1"/>
        </w:rPr>
      </w:pPr>
      <w:r w:rsidRPr="00A943DB">
        <w:rPr>
          <w:rFonts w:ascii="Arial" w:hAnsi="Arial" w:cs="Arial"/>
          <w:color w:val="000000" w:themeColor="text1"/>
        </w:rPr>
        <w:t xml:space="preserve">There was </w:t>
      </w:r>
      <w:r>
        <w:rPr>
          <w:rFonts w:ascii="Arial" w:hAnsi="Arial" w:cs="Arial"/>
          <w:color w:val="000000" w:themeColor="text1"/>
        </w:rPr>
        <w:t xml:space="preserve">some additional </w:t>
      </w:r>
      <w:r w:rsidRPr="00A943DB">
        <w:rPr>
          <w:rFonts w:ascii="Arial" w:hAnsi="Arial" w:cs="Arial"/>
          <w:color w:val="000000" w:themeColor="text1"/>
        </w:rPr>
        <w:t xml:space="preserve">research </w:t>
      </w:r>
      <w:r>
        <w:rPr>
          <w:rFonts w:ascii="Arial" w:hAnsi="Arial" w:cs="Arial"/>
          <w:color w:val="000000" w:themeColor="text1"/>
        </w:rPr>
        <w:t xml:space="preserve">that </w:t>
      </w:r>
      <w:r w:rsidRPr="00A943DB">
        <w:rPr>
          <w:rFonts w:ascii="Arial" w:hAnsi="Arial" w:cs="Arial"/>
          <w:color w:val="000000" w:themeColor="text1"/>
        </w:rPr>
        <w:t>contribut</w:t>
      </w:r>
      <w:r>
        <w:rPr>
          <w:rFonts w:ascii="Arial" w:hAnsi="Arial" w:cs="Arial"/>
          <w:color w:val="000000" w:themeColor="text1"/>
        </w:rPr>
        <w:t>ed</w:t>
      </w:r>
      <w:r w:rsidRPr="00A943DB">
        <w:rPr>
          <w:rFonts w:ascii="Arial" w:hAnsi="Arial" w:cs="Arial"/>
          <w:color w:val="000000" w:themeColor="text1"/>
        </w:rPr>
        <w:t xml:space="preserve"> to </w:t>
      </w:r>
      <w:r>
        <w:rPr>
          <w:rFonts w:ascii="Arial" w:hAnsi="Arial" w:cs="Arial"/>
          <w:color w:val="000000" w:themeColor="text1"/>
        </w:rPr>
        <w:t>the i</w:t>
      </w:r>
      <w:r w:rsidRPr="00A943DB">
        <w:rPr>
          <w:rFonts w:ascii="Arial" w:hAnsi="Arial" w:cs="Arial"/>
          <w:color w:val="000000" w:themeColor="text1"/>
        </w:rPr>
        <w:t xml:space="preserve">mpacts </w:t>
      </w:r>
      <w:r>
        <w:rPr>
          <w:rFonts w:ascii="Arial" w:hAnsi="Arial" w:cs="Arial"/>
          <w:color w:val="000000" w:themeColor="text1"/>
        </w:rPr>
        <w:t>defined including prior research and other research projects completed in PNG that were relevant but not included in the cluster. A</w:t>
      </w:r>
      <w:r w:rsidRPr="00A943DB">
        <w:rPr>
          <w:rFonts w:ascii="Arial" w:hAnsi="Arial" w:cs="Arial"/>
          <w:color w:val="000000" w:themeColor="text1"/>
        </w:rPr>
        <w:t xml:space="preserve">ttribution </w:t>
      </w:r>
      <w:r>
        <w:rPr>
          <w:rFonts w:ascii="Arial" w:hAnsi="Arial" w:cs="Arial"/>
          <w:color w:val="000000" w:themeColor="text1"/>
        </w:rPr>
        <w:t xml:space="preserve">of quantified benefits to </w:t>
      </w:r>
      <w:r w:rsidRPr="00A943DB">
        <w:rPr>
          <w:rFonts w:ascii="Arial" w:hAnsi="Arial" w:cs="Arial"/>
          <w:color w:val="000000" w:themeColor="text1"/>
        </w:rPr>
        <w:t xml:space="preserve">the </w:t>
      </w:r>
      <w:r>
        <w:rPr>
          <w:rFonts w:ascii="Arial" w:hAnsi="Arial" w:cs="Arial"/>
          <w:color w:val="000000" w:themeColor="text1"/>
        </w:rPr>
        <w:t xml:space="preserve">projects being assessed has been </w:t>
      </w:r>
      <w:r w:rsidRPr="00A943DB">
        <w:rPr>
          <w:rFonts w:ascii="Arial" w:hAnsi="Arial" w:cs="Arial"/>
          <w:color w:val="000000" w:themeColor="text1"/>
        </w:rPr>
        <w:t xml:space="preserve">assumed </w:t>
      </w:r>
      <w:r>
        <w:rPr>
          <w:rFonts w:ascii="Arial" w:hAnsi="Arial" w:cs="Arial"/>
          <w:color w:val="000000" w:themeColor="text1"/>
        </w:rPr>
        <w:t xml:space="preserve">at </w:t>
      </w:r>
      <w:r w:rsidRPr="00161416">
        <w:rPr>
          <w:rFonts w:ascii="Arial" w:hAnsi="Arial" w:cs="Arial"/>
          <w:color w:val="000000" w:themeColor="text1"/>
        </w:rPr>
        <w:t>75%.</w:t>
      </w:r>
    </w:p>
    <w:p w:rsidR="002B5A16" w:rsidRPr="000F4ABC" w:rsidRDefault="002B5A16" w:rsidP="00AF6856">
      <w:pPr>
        <w:spacing w:after="240"/>
        <w:rPr>
          <w:rFonts w:ascii="Arial" w:hAnsi="Arial" w:cs="Arial"/>
          <w:b/>
          <w:color w:val="000000" w:themeColor="text1"/>
          <w:sz w:val="24"/>
        </w:rPr>
      </w:pPr>
      <w:r w:rsidRPr="000F4ABC">
        <w:rPr>
          <w:rFonts w:ascii="Arial" w:hAnsi="Arial" w:cs="Arial"/>
          <w:b/>
          <w:color w:val="000000" w:themeColor="text1"/>
          <w:sz w:val="24"/>
        </w:rPr>
        <w:t>Summary of Assumptions</w:t>
      </w:r>
    </w:p>
    <w:p w:rsidR="002B5A16" w:rsidRDefault="002B5A16" w:rsidP="00AF6856">
      <w:pPr>
        <w:spacing w:after="240"/>
        <w:rPr>
          <w:rFonts w:ascii="Arial" w:hAnsi="Arial" w:cs="Arial"/>
          <w:color w:val="000000" w:themeColor="text1"/>
        </w:rPr>
      </w:pPr>
      <w:r w:rsidRPr="000F4ABC">
        <w:rPr>
          <w:rFonts w:ascii="Arial" w:hAnsi="Arial" w:cs="Arial"/>
          <w:color w:val="000000" w:themeColor="text1"/>
        </w:rPr>
        <w:t xml:space="preserve">A summary of the key assumptions made for valuation of the impacts is shown in </w:t>
      </w:r>
      <w:r w:rsidRPr="000F4ABC">
        <w:rPr>
          <w:rFonts w:ascii="Arial" w:hAnsi="Arial" w:cs="Arial"/>
        </w:rPr>
        <w:t xml:space="preserve">Table </w:t>
      </w:r>
      <w:r>
        <w:rPr>
          <w:rFonts w:ascii="Arial" w:hAnsi="Arial" w:cs="Arial"/>
        </w:rPr>
        <w:t>21</w:t>
      </w:r>
      <w:r w:rsidRPr="000F4ABC">
        <w:rPr>
          <w:rFonts w:ascii="Arial" w:hAnsi="Arial" w:cs="Arial"/>
        </w:rPr>
        <w:t>.</w:t>
      </w:r>
      <w:r w:rsidRPr="000F4ABC">
        <w:rPr>
          <w:rFonts w:ascii="Arial" w:hAnsi="Arial" w:cs="Arial"/>
          <w:color w:val="000000" w:themeColor="text1"/>
        </w:rPr>
        <w:t xml:space="preserve"> </w:t>
      </w:r>
    </w:p>
    <w:p w:rsidR="002B5A16" w:rsidRPr="00AF6856" w:rsidRDefault="002B5A16" w:rsidP="00AF6856">
      <w:pPr>
        <w:pStyle w:val="Caption"/>
        <w:spacing w:after="240"/>
        <w:jc w:val="center"/>
        <w:rPr>
          <w:rFonts w:ascii="Arial" w:hAnsi="Arial"/>
          <w:b w:val="0"/>
          <w:i/>
          <w:color w:val="000000" w:themeColor="text1"/>
          <w:sz w:val="22"/>
          <w:szCs w:val="22"/>
        </w:rPr>
      </w:pPr>
      <w:bookmarkStart w:id="483" w:name="_Toc487091295"/>
      <w:r w:rsidRPr="00AF6856">
        <w:rPr>
          <w:rFonts w:ascii="Arial" w:hAnsi="Arial"/>
          <w:b w:val="0"/>
          <w:sz w:val="22"/>
          <w:szCs w:val="22"/>
        </w:rPr>
        <w:t xml:space="preserve">Table </w:t>
      </w:r>
      <w:r w:rsidR="00913E1D" w:rsidRPr="00EB01F3">
        <w:rPr>
          <w:rFonts w:ascii="Arial" w:hAnsi="Arial"/>
          <w:b w:val="0"/>
          <w:sz w:val="22"/>
          <w:szCs w:val="22"/>
        </w:rPr>
        <w:t>21</w:t>
      </w:r>
      <w:r w:rsidRPr="00EB01F3">
        <w:rPr>
          <w:rFonts w:ascii="Arial" w:hAnsi="Arial"/>
          <w:b w:val="0"/>
          <w:sz w:val="22"/>
          <w:szCs w:val="22"/>
        </w:rPr>
        <w:t>:</w:t>
      </w:r>
      <w:r w:rsidRPr="00AF6856">
        <w:rPr>
          <w:rFonts w:ascii="Arial" w:hAnsi="Arial"/>
          <w:b w:val="0"/>
          <w:sz w:val="22"/>
          <w:szCs w:val="22"/>
        </w:rPr>
        <w:t xml:space="preserve"> </w:t>
      </w:r>
      <w:r w:rsidRPr="00AF6856">
        <w:rPr>
          <w:rFonts w:ascii="Arial" w:hAnsi="Arial"/>
          <w:b w:val="0"/>
          <w:color w:val="000000" w:themeColor="text1"/>
          <w:sz w:val="22"/>
          <w:szCs w:val="22"/>
        </w:rPr>
        <w:t>Summary of Assumptions</w:t>
      </w:r>
      <w:bookmarkEnd w:id="483"/>
    </w:p>
    <w:tbl>
      <w:tblPr>
        <w:tblStyle w:val="TableGrid"/>
        <w:tblW w:w="9586" w:type="dxa"/>
        <w:jc w:val="center"/>
        <w:tblLook w:val="04A0" w:firstRow="1" w:lastRow="0" w:firstColumn="1" w:lastColumn="0" w:noHBand="0" w:noVBand="1"/>
      </w:tblPr>
      <w:tblGrid>
        <w:gridCol w:w="3883"/>
        <w:gridCol w:w="2066"/>
        <w:gridCol w:w="3637"/>
      </w:tblGrid>
      <w:tr w:rsidR="002B5A16" w:rsidRPr="001D6660" w:rsidTr="002B5A16">
        <w:trPr>
          <w:jc w:val="center"/>
        </w:trPr>
        <w:tc>
          <w:tcPr>
            <w:tcW w:w="3883" w:type="dxa"/>
          </w:tcPr>
          <w:p w:rsidR="002B5A16" w:rsidRPr="001D6660" w:rsidRDefault="002B5A16" w:rsidP="002B5A16">
            <w:pPr>
              <w:rPr>
                <w:rFonts w:ascii="Arial" w:hAnsi="Arial" w:cs="Arial"/>
                <w:b/>
                <w:color w:val="000000" w:themeColor="text1"/>
                <w:sz w:val="22"/>
                <w:szCs w:val="22"/>
              </w:rPr>
            </w:pPr>
            <w:r w:rsidRPr="001D6660">
              <w:rPr>
                <w:rFonts w:ascii="Arial" w:hAnsi="Arial" w:cs="Arial"/>
                <w:b/>
                <w:color w:val="000000" w:themeColor="text1"/>
                <w:sz w:val="22"/>
                <w:szCs w:val="22"/>
              </w:rPr>
              <w:t xml:space="preserve">Variable </w:t>
            </w:r>
          </w:p>
        </w:tc>
        <w:tc>
          <w:tcPr>
            <w:tcW w:w="2066" w:type="dxa"/>
          </w:tcPr>
          <w:p w:rsidR="002B5A16" w:rsidRPr="001D6660" w:rsidRDefault="002B5A16" w:rsidP="002B5A16">
            <w:pPr>
              <w:jc w:val="center"/>
              <w:rPr>
                <w:rFonts w:ascii="Arial" w:hAnsi="Arial" w:cs="Arial"/>
                <w:b/>
                <w:color w:val="000000" w:themeColor="text1"/>
                <w:sz w:val="22"/>
                <w:szCs w:val="22"/>
              </w:rPr>
            </w:pPr>
            <w:r w:rsidRPr="001D6660">
              <w:rPr>
                <w:rFonts w:ascii="Arial" w:hAnsi="Arial" w:cs="Arial"/>
                <w:b/>
                <w:color w:val="000000" w:themeColor="text1"/>
                <w:sz w:val="22"/>
                <w:szCs w:val="22"/>
              </w:rPr>
              <w:t>Assumption</w:t>
            </w:r>
          </w:p>
        </w:tc>
        <w:tc>
          <w:tcPr>
            <w:tcW w:w="3637" w:type="dxa"/>
          </w:tcPr>
          <w:p w:rsidR="002B5A16" w:rsidRPr="001D6660" w:rsidRDefault="002B5A16" w:rsidP="002B5A16">
            <w:pPr>
              <w:jc w:val="center"/>
              <w:rPr>
                <w:rFonts w:ascii="Arial" w:hAnsi="Arial" w:cs="Arial"/>
                <w:b/>
                <w:color w:val="000000" w:themeColor="text1"/>
                <w:sz w:val="22"/>
                <w:szCs w:val="22"/>
              </w:rPr>
            </w:pPr>
            <w:r w:rsidRPr="001D6660">
              <w:rPr>
                <w:rFonts w:ascii="Arial" w:hAnsi="Arial" w:cs="Arial"/>
                <w:b/>
                <w:color w:val="000000" w:themeColor="text1"/>
                <w:sz w:val="22"/>
                <w:szCs w:val="22"/>
              </w:rPr>
              <w:t>Source</w:t>
            </w:r>
          </w:p>
        </w:tc>
      </w:tr>
      <w:tr w:rsidR="002B5A16" w:rsidRPr="004A7CFA" w:rsidTr="002B5A16">
        <w:trPr>
          <w:jc w:val="center"/>
        </w:trPr>
        <w:tc>
          <w:tcPr>
            <w:tcW w:w="9586" w:type="dxa"/>
            <w:gridSpan w:val="3"/>
          </w:tcPr>
          <w:p w:rsidR="002B5A16" w:rsidRPr="001D6660" w:rsidRDefault="002B5A16" w:rsidP="002B5A16">
            <w:pPr>
              <w:rPr>
                <w:rFonts w:ascii="Arial" w:hAnsi="Arial" w:cs="Arial"/>
                <w:b/>
                <w:color w:val="000000" w:themeColor="text1"/>
                <w:sz w:val="22"/>
                <w:szCs w:val="22"/>
              </w:rPr>
            </w:pPr>
            <w:r w:rsidRPr="005237DC">
              <w:rPr>
                <w:rFonts w:ascii="Arial" w:hAnsi="Arial" w:cs="Arial"/>
                <w:b/>
                <w:color w:val="000000" w:themeColor="text1"/>
                <w:sz w:val="22"/>
                <w:szCs w:val="22"/>
              </w:rPr>
              <w:t xml:space="preserve">BASE COUNTERFACTUAL: </w:t>
            </w:r>
            <w:r w:rsidRPr="005237DC">
              <w:rPr>
                <w:rFonts w:ascii="Arial" w:hAnsi="Arial" w:cs="Arial"/>
                <w:color w:val="000000" w:themeColor="text1"/>
                <w:sz w:val="22"/>
                <w:szCs w:val="22"/>
              </w:rPr>
              <w:t xml:space="preserve">In the absence of DAF investment in </w:t>
            </w:r>
            <w:r>
              <w:rPr>
                <w:rFonts w:ascii="Arial" w:hAnsi="Arial" w:cs="Arial"/>
                <w:color w:val="000000" w:themeColor="text1"/>
                <w:sz w:val="22"/>
                <w:szCs w:val="22"/>
              </w:rPr>
              <w:t>sweetpotato</w:t>
            </w:r>
            <w:r w:rsidRPr="005237DC">
              <w:rPr>
                <w:rFonts w:ascii="Arial" w:hAnsi="Arial" w:cs="Arial"/>
                <w:color w:val="000000" w:themeColor="text1"/>
                <w:sz w:val="22"/>
                <w:szCs w:val="22"/>
              </w:rPr>
              <w:t xml:space="preserve"> projects, </w:t>
            </w:r>
            <w:r>
              <w:rPr>
                <w:rFonts w:ascii="Arial" w:hAnsi="Arial" w:cs="Arial"/>
                <w:color w:val="000000" w:themeColor="text1"/>
                <w:sz w:val="22"/>
                <w:szCs w:val="22"/>
              </w:rPr>
              <w:t xml:space="preserve">only 15% of the increase in </w:t>
            </w:r>
            <w:r w:rsidRPr="005237DC">
              <w:rPr>
                <w:rFonts w:ascii="Arial" w:hAnsi="Arial" w:cs="Arial"/>
                <w:color w:val="000000" w:themeColor="text1"/>
                <w:sz w:val="22"/>
                <w:szCs w:val="22"/>
              </w:rPr>
              <w:t xml:space="preserve">industry yield, profitability and area grown would have </w:t>
            </w:r>
            <w:r>
              <w:rPr>
                <w:rFonts w:ascii="Arial" w:hAnsi="Arial" w:cs="Arial"/>
                <w:color w:val="000000" w:themeColor="text1"/>
                <w:sz w:val="22"/>
                <w:szCs w:val="22"/>
              </w:rPr>
              <w:t>been realised</w:t>
            </w:r>
            <w:r w:rsidRPr="00C75EFE">
              <w:rPr>
                <w:rFonts w:ascii="Arial" w:hAnsi="Arial" w:cs="Arial"/>
                <w:color w:val="000000" w:themeColor="text1"/>
                <w:sz w:val="22"/>
                <w:szCs w:val="22"/>
              </w:rPr>
              <w:t>.</w:t>
            </w:r>
            <w:r w:rsidRPr="001D6660">
              <w:rPr>
                <w:rFonts w:ascii="Arial" w:hAnsi="Arial" w:cs="Arial"/>
                <w:b/>
                <w:color w:val="000000" w:themeColor="text1"/>
                <w:sz w:val="22"/>
                <w:szCs w:val="22"/>
              </w:rPr>
              <w:t xml:space="preserve"> </w:t>
            </w:r>
          </w:p>
        </w:tc>
      </w:tr>
      <w:tr w:rsidR="002B5A16" w:rsidRPr="004A7CFA" w:rsidTr="002B5A16">
        <w:trPr>
          <w:jc w:val="center"/>
        </w:trPr>
        <w:tc>
          <w:tcPr>
            <w:tcW w:w="9586" w:type="dxa"/>
            <w:gridSpan w:val="3"/>
          </w:tcPr>
          <w:p w:rsidR="002B5A16" w:rsidRPr="004A7CFA" w:rsidRDefault="002B5A16" w:rsidP="002B5A16">
            <w:pPr>
              <w:rPr>
                <w:rFonts w:ascii="Arial" w:hAnsi="Arial" w:cs="Arial"/>
                <w:b/>
                <w:color w:val="000000" w:themeColor="text1"/>
                <w:sz w:val="22"/>
                <w:szCs w:val="22"/>
                <w:highlight w:val="yellow"/>
              </w:rPr>
            </w:pPr>
            <w:r w:rsidRPr="00584B05">
              <w:rPr>
                <w:rFonts w:ascii="Arial" w:hAnsi="Arial" w:cs="Arial"/>
                <w:b/>
                <w:color w:val="000000" w:themeColor="text1"/>
                <w:sz w:val="22"/>
                <w:szCs w:val="22"/>
              </w:rPr>
              <w:t>Benefit</w:t>
            </w:r>
            <w:r>
              <w:rPr>
                <w:rFonts w:ascii="Arial" w:hAnsi="Arial" w:cs="Arial"/>
                <w:b/>
                <w:color w:val="000000" w:themeColor="text1"/>
                <w:sz w:val="22"/>
                <w:szCs w:val="22"/>
              </w:rPr>
              <w:t xml:space="preserve"> 1</w:t>
            </w:r>
            <w:r w:rsidRPr="00584B05">
              <w:rPr>
                <w:rFonts w:ascii="Arial" w:hAnsi="Arial" w:cs="Arial"/>
                <w:b/>
                <w:color w:val="000000" w:themeColor="text1"/>
                <w:sz w:val="22"/>
                <w:szCs w:val="22"/>
              </w:rPr>
              <w:t xml:space="preserve">: </w:t>
            </w:r>
            <w:r>
              <w:rPr>
                <w:rFonts w:ascii="Arial" w:hAnsi="Arial" w:cs="Arial"/>
                <w:b/>
                <w:color w:val="000000" w:themeColor="text1"/>
                <w:sz w:val="22"/>
                <w:szCs w:val="22"/>
              </w:rPr>
              <w:t xml:space="preserve">Increased Average Yields </w:t>
            </w:r>
          </w:p>
        </w:tc>
      </w:tr>
      <w:tr w:rsidR="002B5A16" w:rsidRPr="004A7CFA" w:rsidTr="002B5A16">
        <w:trPr>
          <w:jc w:val="center"/>
        </w:trPr>
        <w:tc>
          <w:tcPr>
            <w:tcW w:w="3883" w:type="dxa"/>
          </w:tcPr>
          <w:p w:rsidR="002B5A16" w:rsidRPr="006502C0" w:rsidRDefault="002B5A16" w:rsidP="002B5A16">
            <w:pPr>
              <w:rPr>
                <w:rFonts w:ascii="Arial" w:hAnsi="Arial" w:cs="Arial"/>
                <w:color w:val="000000" w:themeColor="text1"/>
                <w:sz w:val="22"/>
              </w:rPr>
            </w:pPr>
            <w:r w:rsidRPr="006502C0">
              <w:rPr>
                <w:rFonts w:ascii="Arial" w:hAnsi="Arial" w:cs="Arial"/>
                <w:color w:val="000000" w:themeColor="text1"/>
                <w:sz w:val="22"/>
              </w:rPr>
              <w:t xml:space="preserve">Average industry </w:t>
            </w:r>
            <w:r>
              <w:rPr>
                <w:rFonts w:ascii="Arial" w:hAnsi="Arial" w:cs="Arial"/>
                <w:color w:val="000000" w:themeColor="text1"/>
                <w:sz w:val="22"/>
              </w:rPr>
              <w:t>sweetpotato</w:t>
            </w:r>
            <w:r w:rsidRPr="006502C0">
              <w:rPr>
                <w:rFonts w:ascii="Arial" w:hAnsi="Arial" w:cs="Arial"/>
                <w:color w:val="000000" w:themeColor="text1"/>
                <w:sz w:val="22"/>
              </w:rPr>
              <w:t xml:space="preserve"> yield prior to DAF investment in projects</w:t>
            </w:r>
          </w:p>
        </w:tc>
        <w:tc>
          <w:tcPr>
            <w:tcW w:w="2066" w:type="dxa"/>
          </w:tcPr>
          <w:p w:rsidR="002B5A16" w:rsidRPr="006502C0" w:rsidRDefault="002B5A16" w:rsidP="002B5A16">
            <w:pPr>
              <w:jc w:val="center"/>
              <w:rPr>
                <w:rFonts w:ascii="Arial" w:hAnsi="Arial" w:cs="Arial"/>
                <w:color w:val="000000" w:themeColor="text1"/>
                <w:sz w:val="22"/>
              </w:rPr>
            </w:pPr>
            <w:r>
              <w:rPr>
                <w:rFonts w:ascii="Arial" w:hAnsi="Arial" w:cs="Arial"/>
                <w:color w:val="000000" w:themeColor="text1"/>
                <w:sz w:val="22"/>
              </w:rPr>
              <w:t xml:space="preserve">28.8 t/ha </w:t>
            </w:r>
          </w:p>
        </w:tc>
        <w:tc>
          <w:tcPr>
            <w:tcW w:w="3637" w:type="dxa"/>
          </w:tcPr>
          <w:p w:rsidR="002B5A16" w:rsidRPr="006502C0" w:rsidRDefault="002B5A16" w:rsidP="002B5A16">
            <w:pPr>
              <w:rPr>
                <w:rFonts w:ascii="Arial" w:hAnsi="Arial" w:cs="Arial"/>
                <w:color w:val="000000" w:themeColor="text1"/>
                <w:sz w:val="22"/>
              </w:rPr>
            </w:pPr>
            <w:r>
              <w:rPr>
                <w:rFonts w:ascii="Arial" w:hAnsi="Arial" w:cs="Arial"/>
                <w:color w:val="000000" w:themeColor="text1"/>
                <w:sz w:val="22"/>
              </w:rPr>
              <w:t>1,600 cartons/</w:t>
            </w:r>
            <w:r w:rsidRPr="006502C0">
              <w:rPr>
                <w:rFonts w:ascii="Arial" w:hAnsi="Arial" w:cs="Arial"/>
                <w:color w:val="000000" w:themeColor="text1"/>
                <w:sz w:val="22"/>
              </w:rPr>
              <w:t xml:space="preserve">ha with 18kg of </w:t>
            </w:r>
            <w:r>
              <w:rPr>
                <w:rFonts w:ascii="Arial" w:hAnsi="Arial" w:cs="Arial"/>
                <w:color w:val="000000" w:themeColor="text1"/>
                <w:sz w:val="22"/>
              </w:rPr>
              <w:t>sweetpotato</w:t>
            </w:r>
            <w:r w:rsidRPr="006502C0">
              <w:rPr>
                <w:rFonts w:ascii="Arial" w:hAnsi="Arial" w:cs="Arial"/>
                <w:color w:val="000000" w:themeColor="text1"/>
                <w:sz w:val="22"/>
              </w:rPr>
              <w:t xml:space="preserve"> in each carton (</w:t>
            </w:r>
            <w:r>
              <w:rPr>
                <w:rFonts w:ascii="Arial" w:hAnsi="Arial" w:cs="Arial"/>
                <w:color w:val="000000" w:themeColor="text1"/>
                <w:sz w:val="22"/>
              </w:rPr>
              <w:t>Michael Hughes</w:t>
            </w:r>
            <w:r w:rsidRPr="006502C0">
              <w:rPr>
                <w:rFonts w:ascii="Arial" w:hAnsi="Arial" w:cs="Arial"/>
                <w:color w:val="000000" w:themeColor="text1"/>
                <w:sz w:val="22"/>
              </w:rPr>
              <w:t xml:space="preserve">, pers. </w:t>
            </w:r>
            <w:r>
              <w:rPr>
                <w:rFonts w:ascii="Arial" w:hAnsi="Arial" w:cs="Arial"/>
                <w:color w:val="000000" w:themeColor="text1"/>
                <w:sz w:val="22"/>
              </w:rPr>
              <w:t>c</w:t>
            </w:r>
            <w:r w:rsidRPr="006502C0">
              <w:rPr>
                <w:rFonts w:ascii="Arial" w:hAnsi="Arial" w:cs="Arial"/>
                <w:color w:val="000000" w:themeColor="text1"/>
                <w:sz w:val="22"/>
              </w:rPr>
              <w:t>omm</w:t>
            </w:r>
            <w:r>
              <w:rPr>
                <w:rFonts w:ascii="Arial" w:hAnsi="Arial" w:cs="Arial"/>
                <w:color w:val="000000" w:themeColor="text1"/>
                <w:sz w:val="22"/>
              </w:rPr>
              <w:t>.,</w:t>
            </w:r>
            <w:r w:rsidRPr="006502C0">
              <w:rPr>
                <w:rFonts w:ascii="Arial" w:hAnsi="Arial" w:cs="Arial"/>
                <w:color w:val="000000" w:themeColor="text1"/>
                <w:sz w:val="22"/>
              </w:rPr>
              <w:t xml:space="preserve"> </w:t>
            </w:r>
            <w:r>
              <w:rPr>
                <w:rFonts w:ascii="Arial" w:hAnsi="Arial" w:cs="Arial"/>
                <w:color w:val="000000" w:themeColor="text1"/>
                <w:sz w:val="22"/>
              </w:rPr>
              <w:t xml:space="preserve">June </w:t>
            </w:r>
            <w:r w:rsidRPr="006502C0">
              <w:rPr>
                <w:rFonts w:ascii="Arial" w:hAnsi="Arial" w:cs="Arial"/>
                <w:color w:val="000000" w:themeColor="text1"/>
                <w:sz w:val="22"/>
              </w:rPr>
              <w:t>2017).</w:t>
            </w:r>
          </w:p>
        </w:tc>
      </w:tr>
      <w:tr w:rsidR="002B5A16" w:rsidRPr="004A7CFA" w:rsidTr="002B5A16">
        <w:trPr>
          <w:jc w:val="center"/>
        </w:trPr>
        <w:tc>
          <w:tcPr>
            <w:tcW w:w="3883" w:type="dxa"/>
          </w:tcPr>
          <w:p w:rsidR="002B5A16" w:rsidRPr="006502C0" w:rsidRDefault="002B5A16" w:rsidP="002B5A16">
            <w:pPr>
              <w:rPr>
                <w:rFonts w:ascii="Arial" w:hAnsi="Arial" w:cs="Arial"/>
                <w:color w:val="000000" w:themeColor="text1"/>
                <w:sz w:val="22"/>
              </w:rPr>
            </w:pPr>
            <w:r w:rsidRPr="006502C0">
              <w:rPr>
                <w:rFonts w:ascii="Arial" w:hAnsi="Arial" w:cs="Arial"/>
                <w:color w:val="000000" w:themeColor="text1"/>
                <w:sz w:val="22"/>
              </w:rPr>
              <w:t xml:space="preserve">Average industry </w:t>
            </w:r>
            <w:r>
              <w:rPr>
                <w:rFonts w:ascii="Arial" w:hAnsi="Arial" w:cs="Arial"/>
                <w:color w:val="000000" w:themeColor="text1"/>
                <w:sz w:val="22"/>
              </w:rPr>
              <w:t>sweetpotato</w:t>
            </w:r>
            <w:r w:rsidRPr="006502C0">
              <w:rPr>
                <w:rFonts w:ascii="Arial" w:hAnsi="Arial" w:cs="Arial"/>
                <w:color w:val="000000" w:themeColor="text1"/>
                <w:sz w:val="22"/>
              </w:rPr>
              <w:t xml:space="preserve"> yield post DAF investment in projects</w:t>
            </w:r>
          </w:p>
        </w:tc>
        <w:tc>
          <w:tcPr>
            <w:tcW w:w="2066" w:type="dxa"/>
          </w:tcPr>
          <w:p w:rsidR="002B5A16" w:rsidRPr="006502C0" w:rsidRDefault="002B5A16" w:rsidP="002B5A16">
            <w:pPr>
              <w:jc w:val="center"/>
              <w:rPr>
                <w:rFonts w:ascii="Arial" w:hAnsi="Arial" w:cs="Arial"/>
                <w:color w:val="000000" w:themeColor="text1"/>
                <w:sz w:val="22"/>
              </w:rPr>
            </w:pPr>
            <w:r>
              <w:rPr>
                <w:rFonts w:ascii="Arial" w:hAnsi="Arial" w:cs="Arial"/>
                <w:color w:val="000000" w:themeColor="text1"/>
                <w:sz w:val="22"/>
              </w:rPr>
              <w:t>111.2 t</w:t>
            </w:r>
            <w:r w:rsidRPr="006502C0">
              <w:rPr>
                <w:rFonts w:ascii="Arial" w:hAnsi="Arial" w:cs="Arial"/>
                <w:color w:val="000000" w:themeColor="text1"/>
                <w:sz w:val="22"/>
              </w:rPr>
              <w:t>/ha</w:t>
            </w:r>
          </w:p>
        </w:tc>
        <w:tc>
          <w:tcPr>
            <w:tcW w:w="3637" w:type="dxa"/>
          </w:tcPr>
          <w:p w:rsidR="002B5A16" w:rsidRPr="006502C0" w:rsidRDefault="002B5A16" w:rsidP="002B5A16">
            <w:pPr>
              <w:rPr>
                <w:rFonts w:ascii="Arial" w:hAnsi="Arial" w:cs="Arial"/>
                <w:color w:val="000000" w:themeColor="text1"/>
                <w:sz w:val="22"/>
              </w:rPr>
            </w:pPr>
            <w:r>
              <w:rPr>
                <w:rFonts w:ascii="Arial" w:hAnsi="Arial" w:cs="Arial"/>
                <w:color w:val="000000" w:themeColor="text1"/>
                <w:sz w:val="22"/>
              </w:rPr>
              <w:t>6,175</w:t>
            </w:r>
            <w:r w:rsidRPr="006502C0">
              <w:rPr>
                <w:rFonts w:ascii="Arial" w:hAnsi="Arial" w:cs="Arial"/>
                <w:color w:val="000000" w:themeColor="text1"/>
                <w:sz w:val="22"/>
              </w:rPr>
              <w:t xml:space="preserve"> cartons/ha</w:t>
            </w:r>
            <w:r>
              <w:rPr>
                <w:rFonts w:ascii="Arial" w:hAnsi="Arial" w:cs="Arial"/>
                <w:color w:val="000000" w:themeColor="text1"/>
                <w:sz w:val="22"/>
              </w:rPr>
              <w:t xml:space="preserve"> </w:t>
            </w:r>
            <w:r w:rsidRPr="006502C0">
              <w:rPr>
                <w:rFonts w:ascii="Arial" w:hAnsi="Arial" w:cs="Arial"/>
                <w:color w:val="000000" w:themeColor="text1"/>
                <w:sz w:val="22"/>
              </w:rPr>
              <w:t xml:space="preserve">with 18kg of </w:t>
            </w:r>
            <w:r>
              <w:rPr>
                <w:rFonts w:ascii="Arial" w:hAnsi="Arial" w:cs="Arial"/>
                <w:color w:val="000000" w:themeColor="text1"/>
                <w:sz w:val="22"/>
              </w:rPr>
              <w:t>sweetpotato</w:t>
            </w:r>
            <w:r w:rsidRPr="006502C0">
              <w:rPr>
                <w:rFonts w:ascii="Arial" w:hAnsi="Arial" w:cs="Arial"/>
                <w:color w:val="000000" w:themeColor="text1"/>
                <w:sz w:val="22"/>
              </w:rPr>
              <w:t xml:space="preserve"> in each carton (</w:t>
            </w:r>
            <w:r>
              <w:rPr>
                <w:rFonts w:ascii="Arial" w:hAnsi="Arial" w:cs="Arial"/>
                <w:color w:val="000000" w:themeColor="text1"/>
                <w:sz w:val="22"/>
              </w:rPr>
              <w:t>Michael Hughes</w:t>
            </w:r>
            <w:r w:rsidRPr="006502C0">
              <w:rPr>
                <w:rFonts w:ascii="Arial" w:hAnsi="Arial" w:cs="Arial"/>
                <w:color w:val="000000" w:themeColor="text1"/>
                <w:sz w:val="22"/>
              </w:rPr>
              <w:t xml:space="preserve">, pers. </w:t>
            </w:r>
            <w:r>
              <w:rPr>
                <w:rFonts w:ascii="Arial" w:hAnsi="Arial" w:cs="Arial"/>
                <w:color w:val="000000" w:themeColor="text1"/>
                <w:sz w:val="22"/>
              </w:rPr>
              <w:t>c</w:t>
            </w:r>
            <w:r w:rsidRPr="006502C0">
              <w:rPr>
                <w:rFonts w:ascii="Arial" w:hAnsi="Arial" w:cs="Arial"/>
                <w:color w:val="000000" w:themeColor="text1"/>
                <w:sz w:val="22"/>
              </w:rPr>
              <w:t>omm</w:t>
            </w:r>
            <w:r>
              <w:rPr>
                <w:rFonts w:ascii="Arial" w:hAnsi="Arial" w:cs="Arial"/>
                <w:color w:val="000000" w:themeColor="text1"/>
                <w:sz w:val="22"/>
              </w:rPr>
              <w:t>.,</w:t>
            </w:r>
            <w:r w:rsidRPr="006502C0">
              <w:rPr>
                <w:rFonts w:ascii="Arial" w:hAnsi="Arial" w:cs="Arial"/>
                <w:color w:val="000000" w:themeColor="text1"/>
                <w:sz w:val="22"/>
              </w:rPr>
              <w:t xml:space="preserve"> </w:t>
            </w:r>
            <w:r>
              <w:rPr>
                <w:rFonts w:ascii="Arial" w:hAnsi="Arial" w:cs="Arial"/>
                <w:color w:val="000000" w:themeColor="text1"/>
                <w:sz w:val="22"/>
              </w:rPr>
              <w:t>June</w:t>
            </w:r>
            <w:r w:rsidRPr="006502C0">
              <w:rPr>
                <w:rFonts w:ascii="Arial" w:hAnsi="Arial" w:cs="Arial"/>
                <w:color w:val="000000" w:themeColor="text1"/>
                <w:sz w:val="22"/>
              </w:rPr>
              <w:t xml:space="preserve"> 2017).</w:t>
            </w:r>
          </w:p>
        </w:tc>
      </w:tr>
      <w:tr w:rsidR="002B5A16" w:rsidRPr="004A7CFA" w:rsidTr="002B5A16">
        <w:trPr>
          <w:jc w:val="center"/>
        </w:trPr>
        <w:tc>
          <w:tcPr>
            <w:tcW w:w="3883" w:type="dxa"/>
          </w:tcPr>
          <w:p w:rsidR="002B5A16" w:rsidRPr="006502C0" w:rsidRDefault="002B5A16" w:rsidP="002B5A16">
            <w:pPr>
              <w:rPr>
                <w:rFonts w:ascii="Arial" w:hAnsi="Arial" w:cs="Arial"/>
                <w:color w:val="000000" w:themeColor="text1"/>
                <w:sz w:val="22"/>
              </w:rPr>
            </w:pPr>
            <w:r w:rsidRPr="006502C0">
              <w:rPr>
                <w:rFonts w:ascii="Arial" w:hAnsi="Arial" w:cs="Arial"/>
                <w:color w:val="000000" w:themeColor="text1"/>
                <w:sz w:val="22"/>
              </w:rPr>
              <w:t xml:space="preserve">Year in which yield gain </w:t>
            </w:r>
            <w:r>
              <w:rPr>
                <w:rFonts w:ascii="Arial" w:hAnsi="Arial" w:cs="Arial"/>
                <w:color w:val="000000" w:themeColor="text1"/>
                <w:sz w:val="22"/>
              </w:rPr>
              <w:t xml:space="preserve">due to cluster investment </w:t>
            </w:r>
            <w:r w:rsidRPr="006502C0">
              <w:rPr>
                <w:rFonts w:ascii="Arial" w:hAnsi="Arial" w:cs="Arial"/>
                <w:color w:val="000000" w:themeColor="text1"/>
                <w:sz w:val="22"/>
              </w:rPr>
              <w:t>commences</w:t>
            </w:r>
            <w:r>
              <w:rPr>
                <w:rFonts w:ascii="Arial" w:hAnsi="Arial" w:cs="Arial"/>
                <w:color w:val="000000" w:themeColor="text1"/>
                <w:sz w:val="22"/>
              </w:rPr>
              <w:t xml:space="preserve"> </w:t>
            </w:r>
          </w:p>
        </w:tc>
        <w:tc>
          <w:tcPr>
            <w:tcW w:w="2066" w:type="dxa"/>
          </w:tcPr>
          <w:p w:rsidR="002B5A16" w:rsidRPr="006502C0" w:rsidRDefault="002B5A16" w:rsidP="002B5A16">
            <w:pPr>
              <w:jc w:val="center"/>
              <w:rPr>
                <w:rFonts w:ascii="Arial" w:hAnsi="Arial" w:cs="Arial"/>
                <w:color w:val="000000" w:themeColor="text1"/>
                <w:sz w:val="22"/>
              </w:rPr>
            </w:pPr>
            <w:r w:rsidRPr="006502C0">
              <w:rPr>
                <w:rFonts w:ascii="Arial" w:hAnsi="Arial" w:cs="Arial"/>
                <w:color w:val="000000" w:themeColor="text1"/>
                <w:sz w:val="22"/>
              </w:rPr>
              <w:t>2001</w:t>
            </w:r>
          </w:p>
        </w:tc>
        <w:tc>
          <w:tcPr>
            <w:tcW w:w="3637" w:type="dxa"/>
          </w:tcPr>
          <w:p w:rsidR="002B5A16" w:rsidRPr="006502C0" w:rsidRDefault="002B5A16" w:rsidP="002B5A16">
            <w:pPr>
              <w:rPr>
                <w:rFonts w:ascii="Arial" w:hAnsi="Arial" w:cs="Arial"/>
                <w:color w:val="000000" w:themeColor="text1"/>
                <w:sz w:val="22"/>
              </w:rPr>
            </w:pPr>
            <w:r w:rsidRPr="006502C0">
              <w:rPr>
                <w:rFonts w:ascii="Arial" w:hAnsi="Arial" w:cs="Arial"/>
                <w:color w:val="000000" w:themeColor="text1"/>
                <w:sz w:val="22"/>
              </w:rPr>
              <w:t>1 year after completion of the first DAF project (VG97023) which deliver</w:t>
            </w:r>
            <w:r>
              <w:rPr>
                <w:rFonts w:ascii="Arial" w:hAnsi="Arial" w:cs="Arial"/>
                <w:color w:val="000000" w:themeColor="text1"/>
                <w:sz w:val="22"/>
              </w:rPr>
              <w:t>ed</w:t>
            </w:r>
            <w:r w:rsidRPr="006502C0">
              <w:rPr>
                <w:rFonts w:ascii="Arial" w:hAnsi="Arial" w:cs="Arial"/>
                <w:color w:val="000000" w:themeColor="text1"/>
                <w:sz w:val="22"/>
              </w:rPr>
              <w:t xml:space="preserve"> more productive lines of Beauregard to growers.</w:t>
            </w:r>
          </w:p>
        </w:tc>
      </w:tr>
      <w:tr w:rsidR="002B5A16" w:rsidRPr="004A7CFA" w:rsidTr="002B5A16">
        <w:trPr>
          <w:jc w:val="center"/>
        </w:trPr>
        <w:tc>
          <w:tcPr>
            <w:tcW w:w="3883" w:type="dxa"/>
          </w:tcPr>
          <w:p w:rsidR="002B5A16" w:rsidRPr="006502C0" w:rsidRDefault="002B5A16" w:rsidP="002B5A16">
            <w:pPr>
              <w:rPr>
                <w:rFonts w:ascii="Arial" w:hAnsi="Arial" w:cs="Arial"/>
                <w:color w:val="000000" w:themeColor="text1"/>
                <w:sz w:val="22"/>
              </w:rPr>
            </w:pPr>
            <w:r w:rsidRPr="006502C0">
              <w:rPr>
                <w:rFonts w:ascii="Arial" w:hAnsi="Arial" w:cs="Arial"/>
                <w:color w:val="000000" w:themeColor="text1"/>
                <w:sz w:val="22"/>
              </w:rPr>
              <w:t>Year in which yield increase stabilises</w:t>
            </w:r>
          </w:p>
        </w:tc>
        <w:tc>
          <w:tcPr>
            <w:tcW w:w="2066" w:type="dxa"/>
          </w:tcPr>
          <w:p w:rsidR="002B5A16" w:rsidRPr="006502C0" w:rsidRDefault="002B5A16" w:rsidP="002B5A16">
            <w:pPr>
              <w:jc w:val="center"/>
              <w:rPr>
                <w:rFonts w:ascii="Arial" w:hAnsi="Arial" w:cs="Arial"/>
                <w:color w:val="000000" w:themeColor="text1"/>
                <w:sz w:val="22"/>
              </w:rPr>
            </w:pPr>
            <w:r w:rsidRPr="006502C0">
              <w:rPr>
                <w:rFonts w:ascii="Arial" w:hAnsi="Arial" w:cs="Arial"/>
                <w:color w:val="000000" w:themeColor="text1"/>
                <w:sz w:val="22"/>
              </w:rPr>
              <w:t>2019</w:t>
            </w:r>
          </w:p>
        </w:tc>
        <w:tc>
          <w:tcPr>
            <w:tcW w:w="3637" w:type="dxa"/>
          </w:tcPr>
          <w:p w:rsidR="002B5A16" w:rsidRPr="006502C0" w:rsidRDefault="002B5A16" w:rsidP="002B5A16">
            <w:pPr>
              <w:rPr>
                <w:rFonts w:ascii="Arial" w:hAnsi="Arial" w:cs="Arial"/>
                <w:color w:val="000000" w:themeColor="text1"/>
                <w:sz w:val="22"/>
              </w:rPr>
            </w:pPr>
            <w:r w:rsidRPr="006502C0">
              <w:rPr>
                <w:rFonts w:ascii="Arial" w:hAnsi="Arial" w:cs="Arial"/>
                <w:color w:val="000000" w:themeColor="text1"/>
                <w:sz w:val="22"/>
              </w:rPr>
              <w:t>1 year after completion of</w:t>
            </w:r>
            <w:r>
              <w:rPr>
                <w:rFonts w:ascii="Arial" w:hAnsi="Arial" w:cs="Arial"/>
                <w:color w:val="000000" w:themeColor="text1"/>
                <w:sz w:val="22"/>
              </w:rPr>
              <w:t xml:space="preserve"> the last DAF project (VG13004).</w:t>
            </w:r>
          </w:p>
        </w:tc>
      </w:tr>
      <w:tr w:rsidR="002B5A16" w:rsidRPr="002F0618" w:rsidTr="002B5A16">
        <w:trPr>
          <w:jc w:val="center"/>
        </w:trPr>
        <w:tc>
          <w:tcPr>
            <w:tcW w:w="3883" w:type="dxa"/>
          </w:tcPr>
          <w:p w:rsidR="002B5A16" w:rsidRPr="002F0618" w:rsidRDefault="002B5A16" w:rsidP="002B5A16">
            <w:pPr>
              <w:rPr>
                <w:rFonts w:ascii="Arial" w:hAnsi="Arial" w:cs="Arial"/>
                <w:color w:val="000000" w:themeColor="text1"/>
                <w:sz w:val="22"/>
              </w:rPr>
            </w:pPr>
            <w:r w:rsidRPr="002F0618">
              <w:rPr>
                <w:rFonts w:ascii="Arial" w:hAnsi="Arial" w:cs="Arial"/>
                <w:color w:val="000000" w:themeColor="text1"/>
                <w:sz w:val="22"/>
              </w:rPr>
              <w:t>Value of additional yield</w:t>
            </w:r>
          </w:p>
        </w:tc>
        <w:tc>
          <w:tcPr>
            <w:tcW w:w="2066" w:type="dxa"/>
          </w:tcPr>
          <w:p w:rsidR="002B5A16" w:rsidRPr="002F0618" w:rsidRDefault="002B5A16" w:rsidP="002B5A16">
            <w:pPr>
              <w:jc w:val="center"/>
              <w:rPr>
                <w:rFonts w:ascii="Arial" w:hAnsi="Arial" w:cs="Arial"/>
                <w:color w:val="000000" w:themeColor="text1"/>
                <w:sz w:val="22"/>
              </w:rPr>
            </w:pPr>
            <w:r>
              <w:rPr>
                <w:rFonts w:ascii="Arial" w:hAnsi="Arial" w:cs="Arial"/>
                <w:color w:val="000000" w:themeColor="text1"/>
                <w:sz w:val="22"/>
              </w:rPr>
              <w:t>$400/tonne</w:t>
            </w:r>
          </w:p>
        </w:tc>
        <w:tc>
          <w:tcPr>
            <w:tcW w:w="3637" w:type="dxa"/>
          </w:tcPr>
          <w:p w:rsidR="002B5A16" w:rsidRPr="002F0618" w:rsidRDefault="002B5A16" w:rsidP="002B5A16">
            <w:pPr>
              <w:rPr>
                <w:rFonts w:ascii="Arial" w:hAnsi="Arial" w:cs="Arial"/>
                <w:color w:val="000000" w:themeColor="text1"/>
                <w:sz w:val="22"/>
              </w:rPr>
            </w:pPr>
            <w:r>
              <w:rPr>
                <w:rFonts w:ascii="Arial" w:hAnsi="Arial" w:cs="Arial"/>
                <w:color w:val="000000" w:themeColor="text1"/>
                <w:sz w:val="22"/>
              </w:rPr>
              <w:t>Derived from the DAF sweetpotato gross margin updated 2016 (DAF 2016) and based on a farm price $756/tonne adjusted to $400/tonne after considering additional harvesting, packing and transport costs.</w:t>
            </w:r>
          </w:p>
        </w:tc>
      </w:tr>
      <w:tr w:rsidR="002B5A16" w:rsidRPr="004A7CFA" w:rsidTr="002B5A16">
        <w:trPr>
          <w:trHeight w:val="381"/>
          <w:jc w:val="center"/>
        </w:trPr>
        <w:tc>
          <w:tcPr>
            <w:tcW w:w="9586" w:type="dxa"/>
            <w:gridSpan w:val="3"/>
          </w:tcPr>
          <w:p w:rsidR="002B5A16" w:rsidRPr="004A7CFA" w:rsidRDefault="002B5A16" w:rsidP="002B5A16">
            <w:pPr>
              <w:rPr>
                <w:rFonts w:ascii="Arial" w:hAnsi="Arial" w:cs="Arial"/>
                <w:b/>
                <w:color w:val="000000" w:themeColor="text1"/>
                <w:sz w:val="22"/>
                <w:szCs w:val="22"/>
                <w:highlight w:val="yellow"/>
              </w:rPr>
            </w:pPr>
            <w:r w:rsidRPr="00584B05">
              <w:rPr>
                <w:rFonts w:ascii="Arial" w:hAnsi="Arial" w:cs="Arial"/>
                <w:b/>
                <w:color w:val="000000" w:themeColor="text1"/>
                <w:sz w:val="22"/>
                <w:szCs w:val="22"/>
              </w:rPr>
              <w:t>Benefit</w:t>
            </w:r>
            <w:r>
              <w:rPr>
                <w:rFonts w:ascii="Arial" w:hAnsi="Arial" w:cs="Arial"/>
                <w:b/>
                <w:color w:val="000000" w:themeColor="text1"/>
                <w:sz w:val="22"/>
                <w:szCs w:val="22"/>
              </w:rPr>
              <w:t xml:space="preserve"> 2</w:t>
            </w:r>
            <w:r w:rsidRPr="00584B05">
              <w:rPr>
                <w:rFonts w:ascii="Arial" w:hAnsi="Arial" w:cs="Arial"/>
                <w:b/>
                <w:color w:val="000000" w:themeColor="text1"/>
                <w:sz w:val="22"/>
                <w:szCs w:val="22"/>
              </w:rPr>
              <w:t xml:space="preserve">: </w:t>
            </w:r>
            <w:r>
              <w:rPr>
                <w:rFonts w:ascii="Arial" w:hAnsi="Arial" w:cs="Arial"/>
                <w:b/>
                <w:color w:val="000000" w:themeColor="text1"/>
                <w:sz w:val="22"/>
                <w:szCs w:val="22"/>
              </w:rPr>
              <w:t>Increased Profitability</w:t>
            </w:r>
          </w:p>
        </w:tc>
      </w:tr>
      <w:tr w:rsidR="002B5A16" w:rsidRPr="004A7CFA" w:rsidTr="002B5A16">
        <w:trPr>
          <w:jc w:val="center"/>
        </w:trPr>
        <w:tc>
          <w:tcPr>
            <w:tcW w:w="3883" w:type="dxa"/>
          </w:tcPr>
          <w:p w:rsidR="002B5A16" w:rsidRPr="006502C0" w:rsidRDefault="002B5A16" w:rsidP="002B5A16">
            <w:pPr>
              <w:rPr>
                <w:rFonts w:ascii="Arial" w:hAnsi="Arial" w:cs="Arial"/>
                <w:color w:val="000000" w:themeColor="text1"/>
                <w:sz w:val="22"/>
                <w:szCs w:val="22"/>
              </w:rPr>
            </w:pPr>
            <w:r w:rsidRPr="006502C0">
              <w:rPr>
                <w:rFonts w:ascii="Arial" w:hAnsi="Arial" w:cs="Arial"/>
                <w:color w:val="000000" w:themeColor="text1"/>
                <w:sz w:val="22"/>
                <w:szCs w:val="22"/>
              </w:rPr>
              <w:t xml:space="preserve">Profit from </w:t>
            </w:r>
            <w:r>
              <w:rPr>
                <w:rFonts w:ascii="Arial" w:hAnsi="Arial" w:cs="Arial"/>
                <w:color w:val="000000" w:themeColor="text1"/>
                <w:sz w:val="22"/>
                <w:szCs w:val="22"/>
              </w:rPr>
              <w:t>sweetpotato</w:t>
            </w:r>
            <w:r w:rsidRPr="006502C0">
              <w:rPr>
                <w:rFonts w:ascii="Arial" w:hAnsi="Arial" w:cs="Arial"/>
                <w:color w:val="000000" w:themeColor="text1"/>
                <w:sz w:val="22"/>
                <w:szCs w:val="22"/>
              </w:rPr>
              <w:t xml:space="preserve"> production </w:t>
            </w:r>
          </w:p>
        </w:tc>
        <w:tc>
          <w:tcPr>
            <w:tcW w:w="2066" w:type="dxa"/>
          </w:tcPr>
          <w:p w:rsidR="002B5A16" w:rsidRPr="006502C0" w:rsidRDefault="002B5A16" w:rsidP="002B5A16">
            <w:pPr>
              <w:jc w:val="center"/>
              <w:rPr>
                <w:rFonts w:ascii="Arial" w:hAnsi="Arial" w:cs="Arial"/>
                <w:color w:val="000000" w:themeColor="text1"/>
                <w:sz w:val="22"/>
                <w:szCs w:val="22"/>
              </w:rPr>
            </w:pPr>
            <w:r w:rsidRPr="006502C0">
              <w:rPr>
                <w:rFonts w:ascii="Arial" w:hAnsi="Arial" w:cs="Arial"/>
                <w:color w:val="000000" w:themeColor="text1"/>
                <w:sz w:val="22"/>
                <w:szCs w:val="22"/>
              </w:rPr>
              <w:t>$2,717/ha</w:t>
            </w:r>
          </w:p>
        </w:tc>
        <w:tc>
          <w:tcPr>
            <w:tcW w:w="3637" w:type="dxa"/>
          </w:tcPr>
          <w:p w:rsidR="002B5A16" w:rsidRPr="006502C0" w:rsidRDefault="002B5A16" w:rsidP="002B5A16">
            <w:pPr>
              <w:rPr>
                <w:rFonts w:ascii="Arial" w:hAnsi="Arial" w:cs="Arial"/>
                <w:color w:val="000000" w:themeColor="text1"/>
                <w:sz w:val="22"/>
                <w:szCs w:val="22"/>
              </w:rPr>
            </w:pPr>
            <w:r w:rsidRPr="006502C0">
              <w:rPr>
                <w:rFonts w:ascii="Arial" w:hAnsi="Arial" w:cs="Arial"/>
                <w:color w:val="000000" w:themeColor="text1"/>
                <w:sz w:val="22"/>
                <w:szCs w:val="22"/>
              </w:rPr>
              <w:t xml:space="preserve">DAF </w:t>
            </w:r>
            <w:r>
              <w:rPr>
                <w:rFonts w:ascii="Arial" w:hAnsi="Arial" w:cs="Arial"/>
                <w:color w:val="000000" w:themeColor="text1"/>
                <w:sz w:val="22"/>
                <w:szCs w:val="22"/>
              </w:rPr>
              <w:t>sweetpotato</w:t>
            </w:r>
            <w:r w:rsidRPr="006502C0">
              <w:rPr>
                <w:rFonts w:ascii="Arial" w:hAnsi="Arial" w:cs="Arial"/>
                <w:color w:val="000000" w:themeColor="text1"/>
                <w:sz w:val="22"/>
                <w:szCs w:val="22"/>
              </w:rPr>
              <w:t xml:space="preserve"> gross margin updated 2016</w:t>
            </w:r>
            <w:r>
              <w:rPr>
                <w:rFonts w:ascii="Arial" w:hAnsi="Arial" w:cs="Arial"/>
                <w:color w:val="000000" w:themeColor="text1"/>
                <w:sz w:val="22"/>
                <w:szCs w:val="22"/>
              </w:rPr>
              <w:t xml:space="preserve"> (DAF 2016)</w:t>
            </w:r>
            <w:r w:rsidRPr="006502C0">
              <w:rPr>
                <w:rFonts w:ascii="Arial" w:hAnsi="Arial" w:cs="Arial"/>
                <w:color w:val="000000" w:themeColor="text1"/>
                <w:sz w:val="22"/>
                <w:szCs w:val="22"/>
              </w:rPr>
              <w:t>.</w:t>
            </w:r>
          </w:p>
        </w:tc>
      </w:tr>
      <w:tr w:rsidR="002B5A16" w:rsidRPr="00FE214A" w:rsidTr="002B5A16">
        <w:trPr>
          <w:jc w:val="center"/>
        </w:trPr>
        <w:tc>
          <w:tcPr>
            <w:tcW w:w="3883" w:type="dxa"/>
          </w:tcPr>
          <w:p w:rsidR="002B5A16" w:rsidRPr="006502C0" w:rsidRDefault="002B5A16" w:rsidP="002B5A16">
            <w:pPr>
              <w:rPr>
                <w:rFonts w:ascii="Arial" w:hAnsi="Arial" w:cs="Arial"/>
                <w:color w:val="000000" w:themeColor="text1"/>
                <w:sz w:val="22"/>
                <w:szCs w:val="22"/>
              </w:rPr>
            </w:pPr>
            <w:r w:rsidRPr="006502C0">
              <w:rPr>
                <w:rFonts w:ascii="Arial" w:hAnsi="Arial" w:cs="Arial"/>
                <w:color w:val="000000" w:themeColor="text1"/>
                <w:sz w:val="22"/>
                <w:szCs w:val="22"/>
              </w:rPr>
              <w:t xml:space="preserve">Increase in </w:t>
            </w:r>
            <w:r>
              <w:rPr>
                <w:rFonts w:ascii="Arial" w:hAnsi="Arial" w:cs="Arial"/>
                <w:color w:val="000000" w:themeColor="text1"/>
                <w:sz w:val="22"/>
                <w:szCs w:val="22"/>
              </w:rPr>
              <w:t>sweetpotato</w:t>
            </w:r>
            <w:r w:rsidRPr="006502C0">
              <w:rPr>
                <w:rFonts w:ascii="Arial" w:hAnsi="Arial" w:cs="Arial"/>
                <w:color w:val="000000" w:themeColor="text1"/>
                <w:sz w:val="22"/>
                <w:szCs w:val="22"/>
              </w:rPr>
              <w:t xml:space="preserve"> profitability due to DAF investment</w:t>
            </w:r>
          </w:p>
        </w:tc>
        <w:tc>
          <w:tcPr>
            <w:tcW w:w="2066" w:type="dxa"/>
          </w:tcPr>
          <w:p w:rsidR="002B5A16" w:rsidRPr="006502C0" w:rsidRDefault="002B5A16" w:rsidP="002B5A16">
            <w:pPr>
              <w:jc w:val="center"/>
              <w:rPr>
                <w:rFonts w:ascii="Arial" w:hAnsi="Arial" w:cs="Arial"/>
                <w:color w:val="000000" w:themeColor="text1"/>
                <w:sz w:val="22"/>
                <w:szCs w:val="22"/>
              </w:rPr>
            </w:pPr>
            <w:r>
              <w:rPr>
                <w:rFonts w:ascii="Arial" w:hAnsi="Arial" w:cs="Arial"/>
                <w:color w:val="000000" w:themeColor="text1"/>
                <w:sz w:val="22"/>
                <w:szCs w:val="22"/>
              </w:rPr>
              <w:t>2</w:t>
            </w:r>
            <w:r w:rsidRPr="00E72D50">
              <w:rPr>
                <w:rFonts w:ascii="Arial" w:hAnsi="Arial" w:cs="Arial"/>
                <w:color w:val="000000" w:themeColor="text1"/>
                <w:sz w:val="22"/>
                <w:szCs w:val="22"/>
              </w:rPr>
              <w:t>5%</w:t>
            </w:r>
          </w:p>
        </w:tc>
        <w:tc>
          <w:tcPr>
            <w:tcW w:w="3637" w:type="dxa"/>
          </w:tcPr>
          <w:p w:rsidR="002B5A16" w:rsidRPr="006502C0" w:rsidRDefault="002B5A16" w:rsidP="002B5A16">
            <w:pPr>
              <w:rPr>
                <w:rFonts w:ascii="Arial" w:hAnsi="Arial" w:cs="Arial"/>
                <w:color w:val="000000" w:themeColor="text1"/>
                <w:sz w:val="22"/>
                <w:szCs w:val="22"/>
              </w:rPr>
            </w:pPr>
            <w:r w:rsidRPr="006502C0">
              <w:rPr>
                <w:rFonts w:ascii="Arial" w:hAnsi="Arial" w:cs="Arial"/>
                <w:color w:val="000000" w:themeColor="text1"/>
                <w:sz w:val="22"/>
                <w:szCs w:val="22"/>
              </w:rPr>
              <w:t xml:space="preserve">Consultant assumption after consideration of both </w:t>
            </w:r>
            <w:r>
              <w:rPr>
                <w:rFonts w:ascii="Arial" w:hAnsi="Arial" w:cs="Arial"/>
                <w:color w:val="000000" w:themeColor="text1"/>
                <w:sz w:val="22"/>
                <w:szCs w:val="22"/>
              </w:rPr>
              <w:t>sweetpotato</w:t>
            </w:r>
            <w:r w:rsidRPr="006502C0">
              <w:rPr>
                <w:rFonts w:ascii="Arial" w:hAnsi="Arial" w:cs="Arial"/>
                <w:color w:val="000000" w:themeColor="text1"/>
                <w:sz w:val="22"/>
                <w:szCs w:val="22"/>
              </w:rPr>
              <w:t xml:space="preserve"> price increases and decreased production costs.</w:t>
            </w:r>
          </w:p>
        </w:tc>
      </w:tr>
      <w:tr w:rsidR="002B5A16" w:rsidRPr="004A7CFA" w:rsidTr="002B5A16">
        <w:trPr>
          <w:jc w:val="center"/>
        </w:trPr>
        <w:tc>
          <w:tcPr>
            <w:tcW w:w="3883" w:type="dxa"/>
          </w:tcPr>
          <w:p w:rsidR="002B5A16" w:rsidRPr="006502C0" w:rsidRDefault="002B5A16" w:rsidP="002B5A16">
            <w:pPr>
              <w:rPr>
                <w:rFonts w:ascii="Arial" w:hAnsi="Arial" w:cs="Arial"/>
                <w:color w:val="000000" w:themeColor="text1"/>
                <w:sz w:val="22"/>
                <w:szCs w:val="22"/>
              </w:rPr>
            </w:pPr>
            <w:r w:rsidRPr="006502C0">
              <w:rPr>
                <w:rFonts w:ascii="Arial" w:hAnsi="Arial" w:cs="Arial"/>
                <w:color w:val="000000" w:themeColor="text1"/>
                <w:sz w:val="22"/>
                <w:szCs w:val="22"/>
              </w:rPr>
              <w:t>Year in which profit improvement commences</w:t>
            </w:r>
          </w:p>
        </w:tc>
        <w:tc>
          <w:tcPr>
            <w:tcW w:w="2066" w:type="dxa"/>
          </w:tcPr>
          <w:p w:rsidR="002B5A16" w:rsidRPr="006502C0" w:rsidRDefault="002B5A16" w:rsidP="002B5A16">
            <w:pPr>
              <w:jc w:val="center"/>
              <w:rPr>
                <w:rFonts w:ascii="Arial" w:hAnsi="Arial" w:cs="Arial"/>
                <w:color w:val="000000" w:themeColor="text1"/>
                <w:sz w:val="22"/>
                <w:szCs w:val="22"/>
              </w:rPr>
            </w:pPr>
            <w:r w:rsidRPr="006502C0">
              <w:rPr>
                <w:rFonts w:ascii="Arial" w:hAnsi="Arial" w:cs="Arial"/>
                <w:color w:val="000000" w:themeColor="text1"/>
                <w:sz w:val="22"/>
                <w:szCs w:val="22"/>
              </w:rPr>
              <w:t>2007</w:t>
            </w:r>
          </w:p>
        </w:tc>
        <w:tc>
          <w:tcPr>
            <w:tcW w:w="3637" w:type="dxa"/>
          </w:tcPr>
          <w:p w:rsidR="002B5A16" w:rsidRPr="006502C0" w:rsidRDefault="002B5A16" w:rsidP="002B5A16">
            <w:pPr>
              <w:rPr>
                <w:rFonts w:ascii="Arial" w:hAnsi="Arial" w:cs="Arial"/>
                <w:color w:val="000000" w:themeColor="text1"/>
                <w:sz w:val="22"/>
                <w:szCs w:val="22"/>
              </w:rPr>
            </w:pPr>
            <w:r w:rsidRPr="006502C0">
              <w:rPr>
                <w:rFonts w:ascii="Arial" w:hAnsi="Arial" w:cs="Arial"/>
                <w:color w:val="000000" w:themeColor="text1"/>
                <w:sz w:val="22"/>
                <w:szCs w:val="22"/>
              </w:rPr>
              <w:t>1 year after completion of the first DAF project (VG02114) which specifically addresse</w:t>
            </w:r>
            <w:r>
              <w:rPr>
                <w:rFonts w:ascii="Arial" w:hAnsi="Arial" w:cs="Arial"/>
                <w:color w:val="000000" w:themeColor="text1"/>
                <w:sz w:val="22"/>
                <w:szCs w:val="22"/>
              </w:rPr>
              <w:t>d</w:t>
            </w:r>
            <w:r w:rsidRPr="006502C0">
              <w:rPr>
                <w:rFonts w:ascii="Arial" w:hAnsi="Arial" w:cs="Arial"/>
                <w:color w:val="000000" w:themeColor="text1"/>
                <w:sz w:val="22"/>
                <w:szCs w:val="22"/>
              </w:rPr>
              <w:t xml:space="preserve"> cost saving.</w:t>
            </w:r>
          </w:p>
        </w:tc>
      </w:tr>
      <w:tr w:rsidR="002B5A16" w:rsidRPr="004A7CFA" w:rsidTr="002B5A16">
        <w:trPr>
          <w:jc w:val="center"/>
        </w:trPr>
        <w:tc>
          <w:tcPr>
            <w:tcW w:w="3883" w:type="dxa"/>
          </w:tcPr>
          <w:p w:rsidR="002B5A16" w:rsidRPr="006502C0" w:rsidRDefault="002B5A16" w:rsidP="002B5A16">
            <w:pPr>
              <w:rPr>
                <w:rFonts w:ascii="Arial" w:hAnsi="Arial" w:cs="Arial"/>
                <w:color w:val="000000" w:themeColor="text1"/>
                <w:sz w:val="22"/>
                <w:szCs w:val="22"/>
              </w:rPr>
            </w:pPr>
            <w:r w:rsidRPr="006502C0">
              <w:rPr>
                <w:rFonts w:ascii="Arial" w:hAnsi="Arial" w:cs="Arial"/>
                <w:color w:val="000000" w:themeColor="text1"/>
                <w:sz w:val="22"/>
                <w:szCs w:val="22"/>
              </w:rPr>
              <w:t>Year in which profit increase stabilises</w:t>
            </w:r>
          </w:p>
        </w:tc>
        <w:tc>
          <w:tcPr>
            <w:tcW w:w="2066" w:type="dxa"/>
          </w:tcPr>
          <w:p w:rsidR="002B5A16" w:rsidRPr="006502C0" w:rsidRDefault="002B5A16" w:rsidP="002B5A16">
            <w:pPr>
              <w:jc w:val="center"/>
              <w:rPr>
                <w:rFonts w:ascii="Arial" w:hAnsi="Arial" w:cs="Arial"/>
                <w:color w:val="000000" w:themeColor="text1"/>
                <w:sz w:val="22"/>
                <w:szCs w:val="22"/>
              </w:rPr>
            </w:pPr>
            <w:r w:rsidRPr="006502C0">
              <w:rPr>
                <w:rFonts w:ascii="Arial" w:hAnsi="Arial" w:cs="Arial"/>
                <w:color w:val="000000" w:themeColor="text1"/>
                <w:sz w:val="22"/>
                <w:szCs w:val="22"/>
              </w:rPr>
              <w:t>2019</w:t>
            </w:r>
          </w:p>
        </w:tc>
        <w:tc>
          <w:tcPr>
            <w:tcW w:w="3637" w:type="dxa"/>
          </w:tcPr>
          <w:p w:rsidR="002B5A16" w:rsidRPr="006502C0" w:rsidRDefault="002B5A16" w:rsidP="002B5A16">
            <w:pPr>
              <w:rPr>
                <w:rFonts w:ascii="Arial" w:hAnsi="Arial" w:cs="Arial"/>
                <w:color w:val="000000" w:themeColor="text1"/>
                <w:sz w:val="22"/>
                <w:szCs w:val="22"/>
              </w:rPr>
            </w:pPr>
            <w:r w:rsidRPr="006502C0">
              <w:rPr>
                <w:rFonts w:ascii="Arial" w:hAnsi="Arial" w:cs="Arial"/>
                <w:color w:val="000000" w:themeColor="text1"/>
                <w:sz w:val="22"/>
                <w:szCs w:val="22"/>
              </w:rPr>
              <w:t>1 year after completion of the last DAF project (VG13004) which is expected to deliver lower cost planting material</w:t>
            </w:r>
            <w:r w:rsidRPr="006502C0">
              <w:rPr>
                <w:rFonts w:ascii="Arial" w:hAnsi="Arial" w:cs="Arial"/>
                <w:sz w:val="22"/>
                <w:szCs w:val="22"/>
              </w:rPr>
              <w:t xml:space="preserve">. </w:t>
            </w:r>
          </w:p>
        </w:tc>
      </w:tr>
      <w:tr w:rsidR="002B5A16" w:rsidRPr="004A7CFA" w:rsidTr="002B5A16">
        <w:trPr>
          <w:trHeight w:val="335"/>
          <w:jc w:val="center"/>
        </w:trPr>
        <w:tc>
          <w:tcPr>
            <w:tcW w:w="9586" w:type="dxa"/>
            <w:gridSpan w:val="3"/>
          </w:tcPr>
          <w:p w:rsidR="002B5A16" w:rsidRPr="001930AB" w:rsidRDefault="002B5A16" w:rsidP="002B5A16">
            <w:pPr>
              <w:rPr>
                <w:rFonts w:ascii="Arial" w:hAnsi="Arial" w:cs="Arial"/>
                <w:color w:val="000000" w:themeColor="text1"/>
                <w:sz w:val="22"/>
                <w:szCs w:val="22"/>
              </w:rPr>
            </w:pPr>
            <w:r w:rsidRPr="00584B05">
              <w:rPr>
                <w:rFonts w:ascii="Arial" w:hAnsi="Arial" w:cs="Arial"/>
                <w:b/>
                <w:color w:val="000000" w:themeColor="text1"/>
                <w:sz w:val="22"/>
                <w:szCs w:val="22"/>
              </w:rPr>
              <w:t>Benefit</w:t>
            </w:r>
            <w:r>
              <w:rPr>
                <w:rFonts w:ascii="Arial" w:hAnsi="Arial" w:cs="Arial"/>
                <w:b/>
                <w:color w:val="000000" w:themeColor="text1"/>
                <w:sz w:val="22"/>
                <w:szCs w:val="22"/>
              </w:rPr>
              <w:t xml:space="preserve"> 3</w:t>
            </w:r>
            <w:r w:rsidRPr="00584B05">
              <w:rPr>
                <w:rFonts w:ascii="Arial" w:hAnsi="Arial" w:cs="Arial"/>
                <w:b/>
                <w:color w:val="000000" w:themeColor="text1"/>
                <w:sz w:val="22"/>
                <w:szCs w:val="22"/>
              </w:rPr>
              <w:t xml:space="preserve">: </w:t>
            </w:r>
            <w:r>
              <w:rPr>
                <w:rFonts w:ascii="Arial" w:hAnsi="Arial" w:cs="Arial"/>
                <w:b/>
                <w:color w:val="000000" w:themeColor="text1"/>
                <w:sz w:val="22"/>
                <w:szCs w:val="22"/>
              </w:rPr>
              <w:t>Increased Area Grown</w:t>
            </w:r>
          </w:p>
        </w:tc>
      </w:tr>
      <w:tr w:rsidR="002B5A16" w:rsidRPr="004F4C28" w:rsidTr="002B5A16">
        <w:trPr>
          <w:jc w:val="center"/>
        </w:trPr>
        <w:tc>
          <w:tcPr>
            <w:tcW w:w="3883" w:type="dxa"/>
          </w:tcPr>
          <w:p w:rsidR="002B5A16" w:rsidRPr="00D766F3" w:rsidRDefault="002B5A16" w:rsidP="002B5A16">
            <w:pPr>
              <w:rPr>
                <w:rFonts w:ascii="Arial" w:hAnsi="Arial" w:cs="Arial"/>
                <w:color w:val="000000" w:themeColor="text1"/>
                <w:sz w:val="22"/>
                <w:szCs w:val="22"/>
              </w:rPr>
            </w:pPr>
            <w:r w:rsidRPr="00D766F3">
              <w:rPr>
                <w:rFonts w:ascii="Arial" w:hAnsi="Arial" w:cs="Arial"/>
                <w:color w:val="000000" w:themeColor="text1"/>
                <w:sz w:val="22"/>
                <w:szCs w:val="22"/>
              </w:rPr>
              <w:t xml:space="preserve">Area of </w:t>
            </w:r>
            <w:r>
              <w:rPr>
                <w:rFonts w:ascii="Arial" w:hAnsi="Arial" w:cs="Arial"/>
                <w:color w:val="000000" w:themeColor="text1"/>
                <w:sz w:val="22"/>
                <w:szCs w:val="22"/>
              </w:rPr>
              <w:t>sweetpotato</w:t>
            </w:r>
            <w:r w:rsidRPr="00D766F3">
              <w:rPr>
                <w:rFonts w:ascii="Arial" w:hAnsi="Arial" w:cs="Arial"/>
                <w:color w:val="000000" w:themeColor="text1"/>
                <w:sz w:val="22"/>
                <w:szCs w:val="22"/>
              </w:rPr>
              <w:t xml:space="preserve"> grown prior to DAF investment in projects in 1998</w:t>
            </w:r>
          </w:p>
        </w:tc>
        <w:tc>
          <w:tcPr>
            <w:tcW w:w="2066" w:type="dxa"/>
          </w:tcPr>
          <w:p w:rsidR="002B5A16" w:rsidRPr="00D766F3" w:rsidRDefault="002B5A16" w:rsidP="002B5A16">
            <w:pPr>
              <w:jc w:val="center"/>
              <w:rPr>
                <w:rFonts w:ascii="Arial" w:hAnsi="Arial" w:cs="Arial"/>
                <w:color w:val="000000" w:themeColor="text1"/>
                <w:sz w:val="22"/>
                <w:szCs w:val="22"/>
              </w:rPr>
            </w:pPr>
            <w:r>
              <w:rPr>
                <w:rFonts w:ascii="Arial" w:hAnsi="Arial" w:cs="Arial"/>
                <w:color w:val="000000" w:themeColor="text1"/>
                <w:sz w:val="22"/>
                <w:szCs w:val="22"/>
              </w:rPr>
              <w:t>21</w:t>
            </w:r>
            <w:r w:rsidRPr="00D766F3">
              <w:rPr>
                <w:rFonts w:ascii="Arial" w:hAnsi="Arial" w:cs="Arial"/>
                <w:color w:val="000000" w:themeColor="text1"/>
                <w:sz w:val="22"/>
                <w:szCs w:val="22"/>
              </w:rPr>
              <w:t>0 ha</w:t>
            </w:r>
          </w:p>
        </w:tc>
        <w:tc>
          <w:tcPr>
            <w:tcW w:w="3637" w:type="dxa"/>
          </w:tcPr>
          <w:p w:rsidR="002B5A16" w:rsidRPr="00D766F3" w:rsidRDefault="002B5A16" w:rsidP="002B5A16">
            <w:pPr>
              <w:rPr>
                <w:rFonts w:ascii="Arial" w:hAnsi="Arial" w:cs="Arial"/>
                <w:color w:val="000000" w:themeColor="text1"/>
                <w:sz w:val="22"/>
                <w:szCs w:val="22"/>
              </w:rPr>
            </w:pPr>
            <w:r>
              <w:rPr>
                <w:rFonts w:ascii="Arial" w:hAnsi="Arial" w:cs="Arial"/>
                <w:color w:val="000000" w:themeColor="text1"/>
                <w:sz w:val="22"/>
                <w:szCs w:val="22"/>
              </w:rPr>
              <w:t>Sweetpotato</w:t>
            </w:r>
            <w:r w:rsidRPr="00D766F3">
              <w:rPr>
                <w:rFonts w:ascii="Arial" w:hAnsi="Arial" w:cs="Arial"/>
                <w:color w:val="000000" w:themeColor="text1"/>
                <w:sz w:val="22"/>
                <w:szCs w:val="22"/>
              </w:rPr>
              <w:t xml:space="preserve"> production of 6,000 tonnes with an average industry yield of </w:t>
            </w:r>
            <w:r>
              <w:rPr>
                <w:rFonts w:ascii="Arial" w:hAnsi="Arial" w:cs="Arial"/>
                <w:color w:val="000000" w:themeColor="text1"/>
                <w:sz w:val="22"/>
                <w:szCs w:val="22"/>
              </w:rPr>
              <w:t>28.8t</w:t>
            </w:r>
            <w:r w:rsidRPr="00D766F3">
              <w:rPr>
                <w:rFonts w:ascii="Arial" w:hAnsi="Arial" w:cs="Arial"/>
                <w:color w:val="000000" w:themeColor="text1"/>
                <w:sz w:val="22"/>
                <w:szCs w:val="22"/>
              </w:rPr>
              <w:t>/ha (</w:t>
            </w:r>
            <w:r>
              <w:rPr>
                <w:rFonts w:ascii="Arial" w:hAnsi="Arial" w:cs="Arial"/>
                <w:color w:val="000000" w:themeColor="text1"/>
                <w:sz w:val="22"/>
                <w:szCs w:val="22"/>
              </w:rPr>
              <w:t>Michael Hughes</w:t>
            </w:r>
            <w:r w:rsidRPr="00D766F3">
              <w:rPr>
                <w:rFonts w:ascii="Arial" w:hAnsi="Arial" w:cs="Arial"/>
                <w:color w:val="000000" w:themeColor="text1"/>
                <w:sz w:val="22"/>
                <w:szCs w:val="22"/>
              </w:rPr>
              <w:t xml:space="preserve"> pers. </w:t>
            </w:r>
            <w:r>
              <w:rPr>
                <w:rFonts w:ascii="Arial" w:hAnsi="Arial" w:cs="Arial"/>
                <w:color w:val="000000" w:themeColor="text1"/>
                <w:sz w:val="22"/>
                <w:szCs w:val="22"/>
              </w:rPr>
              <w:t>c</w:t>
            </w:r>
            <w:r w:rsidRPr="00D766F3">
              <w:rPr>
                <w:rFonts w:ascii="Arial" w:hAnsi="Arial" w:cs="Arial"/>
                <w:color w:val="000000" w:themeColor="text1"/>
                <w:sz w:val="22"/>
                <w:szCs w:val="22"/>
              </w:rPr>
              <w:t>omm</w:t>
            </w:r>
            <w:r>
              <w:rPr>
                <w:rFonts w:ascii="Arial" w:hAnsi="Arial" w:cs="Arial"/>
                <w:color w:val="000000" w:themeColor="text1"/>
                <w:sz w:val="22"/>
                <w:szCs w:val="22"/>
              </w:rPr>
              <w:t>.,</w:t>
            </w:r>
            <w:r w:rsidRPr="00D766F3">
              <w:rPr>
                <w:rFonts w:ascii="Arial" w:hAnsi="Arial" w:cs="Arial"/>
                <w:color w:val="000000" w:themeColor="text1"/>
                <w:sz w:val="22"/>
                <w:szCs w:val="22"/>
              </w:rPr>
              <w:t xml:space="preserve"> </w:t>
            </w:r>
            <w:r>
              <w:rPr>
                <w:rFonts w:ascii="Arial" w:hAnsi="Arial" w:cs="Arial"/>
                <w:color w:val="000000" w:themeColor="text1"/>
                <w:sz w:val="22"/>
                <w:szCs w:val="22"/>
              </w:rPr>
              <w:t>June</w:t>
            </w:r>
            <w:r w:rsidRPr="00D766F3">
              <w:rPr>
                <w:rFonts w:ascii="Arial" w:hAnsi="Arial" w:cs="Arial"/>
                <w:color w:val="000000" w:themeColor="text1"/>
                <w:sz w:val="22"/>
                <w:szCs w:val="22"/>
              </w:rPr>
              <w:t xml:space="preserve"> 2017).</w:t>
            </w:r>
          </w:p>
        </w:tc>
      </w:tr>
      <w:tr w:rsidR="002B5A16" w:rsidRPr="004F4C28" w:rsidTr="002B5A16">
        <w:trPr>
          <w:jc w:val="center"/>
        </w:trPr>
        <w:tc>
          <w:tcPr>
            <w:tcW w:w="3883" w:type="dxa"/>
          </w:tcPr>
          <w:p w:rsidR="002B5A16" w:rsidRPr="00D766F3" w:rsidRDefault="002B5A16" w:rsidP="002B5A16">
            <w:pPr>
              <w:rPr>
                <w:rFonts w:ascii="Arial" w:hAnsi="Arial" w:cs="Arial"/>
                <w:color w:val="000000" w:themeColor="text1"/>
                <w:sz w:val="22"/>
                <w:szCs w:val="22"/>
              </w:rPr>
            </w:pPr>
            <w:r w:rsidRPr="00D766F3">
              <w:rPr>
                <w:rFonts w:ascii="Arial" w:hAnsi="Arial" w:cs="Arial"/>
                <w:color w:val="000000" w:themeColor="text1"/>
                <w:sz w:val="22"/>
                <w:szCs w:val="22"/>
              </w:rPr>
              <w:t xml:space="preserve">Area of </w:t>
            </w:r>
            <w:r>
              <w:rPr>
                <w:rFonts w:ascii="Arial" w:hAnsi="Arial" w:cs="Arial"/>
                <w:color w:val="000000" w:themeColor="text1"/>
                <w:sz w:val="22"/>
                <w:szCs w:val="22"/>
              </w:rPr>
              <w:t>sweetpotato</w:t>
            </w:r>
            <w:r w:rsidRPr="00D766F3">
              <w:rPr>
                <w:rFonts w:ascii="Arial" w:hAnsi="Arial" w:cs="Arial"/>
                <w:color w:val="000000" w:themeColor="text1"/>
                <w:sz w:val="22"/>
                <w:szCs w:val="22"/>
              </w:rPr>
              <w:t xml:space="preserve"> grown in 2016</w:t>
            </w:r>
          </w:p>
        </w:tc>
        <w:tc>
          <w:tcPr>
            <w:tcW w:w="2066" w:type="dxa"/>
          </w:tcPr>
          <w:p w:rsidR="002B5A16" w:rsidRPr="00D766F3" w:rsidRDefault="002B5A16" w:rsidP="002B5A16">
            <w:pPr>
              <w:jc w:val="center"/>
              <w:rPr>
                <w:rFonts w:ascii="Arial" w:hAnsi="Arial" w:cs="Arial"/>
                <w:color w:val="000000" w:themeColor="text1"/>
                <w:sz w:val="22"/>
                <w:szCs w:val="22"/>
              </w:rPr>
            </w:pPr>
            <w:r>
              <w:rPr>
                <w:rFonts w:ascii="Arial" w:hAnsi="Arial" w:cs="Arial"/>
                <w:color w:val="000000" w:themeColor="text1"/>
                <w:sz w:val="22"/>
                <w:szCs w:val="22"/>
              </w:rPr>
              <w:t>900</w:t>
            </w:r>
            <w:r w:rsidRPr="00D766F3">
              <w:rPr>
                <w:rFonts w:ascii="Arial" w:hAnsi="Arial" w:cs="Arial"/>
                <w:color w:val="000000" w:themeColor="text1"/>
                <w:sz w:val="22"/>
                <w:szCs w:val="22"/>
              </w:rPr>
              <w:t xml:space="preserve"> ha</w:t>
            </w:r>
          </w:p>
        </w:tc>
        <w:tc>
          <w:tcPr>
            <w:tcW w:w="3637" w:type="dxa"/>
          </w:tcPr>
          <w:p w:rsidR="002B5A16" w:rsidRPr="00D766F3" w:rsidRDefault="002B5A16" w:rsidP="002B5A16">
            <w:pPr>
              <w:rPr>
                <w:rFonts w:ascii="Arial" w:hAnsi="Arial" w:cs="Arial"/>
                <w:color w:val="000000" w:themeColor="text1"/>
                <w:sz w:val="22"/>
                <w:szCs w:val="22"/>
              </w:rPr>
            </w:pPr>
            <w:r>
              <w:rPr>
                <w:rFonts w:ascii="Arial" w:hAnsi="Arial" w:cs="Arial"/>
                <w:color w:val="000000" w:themeColor="text1"/>
                <w:sz w:val="22"/>
                <w:szCs w:val="22"/>
              </w:rPr>
              <w:t>Sweetpotato</w:t>
            </w:r>
            <w:r w:rsidRPr="00D766F3">
              <w:rPr>
                <w:rFonts w:ascii="Arial" w:hAnsi="Arial" w:cs="Arial"/>
                <w:color w:val="000000" w:themeColor="text1"/>
                <w:sz w:val="22"/>
                <w:szCs w:val="22"/>
              </w:rPr>
              <w:t xml:space="preserve"> production of 100,000 tonnes (Nick Macleod, written comm</w:t>
            </w:r>
            <w:r>
              <w:rPr>
                <w:rFonts w:ascii="Arial" w:hAnsi="Arial" w:cs="Arial"/>
                <w:color w:val="000000" w:themeColor="text1"/>
                <w:sz w:val="22"/>
                <w:szCs w:val="22"/>
              </w:rPr>
              <w:t>.,</w:t>
            </w:r>
            <w:r w:rsidRPr="00D766F3">
              <w:rPr>
                <w:rFonts w:ascii="Arial" w:hAnsi="Arial" w:cs="Arial"/>
                <w:color w:val="000000" w:themeColor="text1"/>
                <w:sz w:val="22"/>
                <w:szCs w:val="22"/>
              </w:rPr>
              <w:t xml:space="preserve"> March 2017) with an average industry yield of </w:t>
            </w:r>
            <w:r>
              <w:rPr>
                <w:rFonts w:ascii="Arial" w:hAnsi="Arial" w:cs="Arial"/>
                <w:color w:val="000000" w:themeColor="text1"/>
                <w:sz w:val="22"/>
                <w:szCs w:val="22"/>
              </w:rPr>
              <w:t>111.2</w:t>
            </w:r>
            <w:r w:rsidRPr="00D766F3">
              <w:rPr>
                <w:rFonts w:ascii="Arial" w:hAnsi="Arial" w:cs="Arial"/>
                <w:color w:val="000000" w:themeColor="text1"/>
                <w:sz w:val="22"/>
                <w:szCs w:val="22"/>
              </w:rPr>
              <w:t xml:space="preserve"> t/ha (Sandra Dennien, pers. </w:t>
            </w:r>
            <w:r>
              <w:rPr>
                <w:rFonts w:ascii="Arial" w:hAnsi="Arial" w:cs="Arial"/>
                <w:color w:val="000000" w:themeColor="text1"/>
                <w:sz w:val="22"/>
                <w:szCs w:val="22"/>
              </w:rPr>
              <w:t>c</w:t>
            </w:r>
            <w:r w:rsidRPr="00D766F3">
              <w:rPr>
                <w:rFonts w:ascii="Arial" w:hAnsi="Arial" w:cs="Arial"/>
                <w:color w:val="000000" w:themeColor="text1"/>
                <w:sz w:val="22"/>
                <w:szCs w:val="22"/>
              </w:rPr>
              <w:t>omm</w:t>
            </w:r>
            <w:r>
              <w:rPr>
                <w:rFonts w:ascii="Arial" w:hAnsi="Arial" w:cs="Arial"/>
                <w:color w:val="000000" w:themeColor="text1"/>
                <w:sz w:val="22"/>
                <w:szCs w:val="22"/>
              </w:rPr>
              <w:t>.,</w:t>
            </w:r>
            <w:r w:rsidRPr="00D766F3">
              <w:rPr>
                <w:rFonts w:ascii="Arial" w:hAnsi="Arial" w:cs="Arial"/>
                <w:color w:val="000000" w:themeColor="text1"/>
                <w:sz w:val="22"/>
                <w:szCs w:val="22"/>
              </w:rPr>
              <w:t xml:space="preserve"> April 2017).</w:t>
            </w:r>
          </w:p>
        </w:tc>
      </w:tr>
      <w:tr w:rsidR="002B5A16" w:rsidRPr="004A7CFA" w:rsidTr="002B5A16">
        <w:trPr>
          <w:jc w:val="center"/>
        </w:trPr>
        <w:tc>
          <w:tcPr>
            <w:tcW w:w="3883" w:type="dxa"/>
          </w:tcPr>
          <w:p w:rsidR="002B5A16" w:rsidRPr="00D766F3" w:rsidRDefault="002B5A16" w:rsidP="002B5A16">
            <w:pPr>
              <w:rPr>
                <w:rFonts w:ascii="Arial" w:hAnsi="Arial" w:cs="Arial"/>
                <w:color w:val="000000" w:themeColor="text1"/>
                <w:sz w:val="22"/>
                <w:szCs w:val="22"/>
              </w:rPr>
            </w:pPr>
            <w:r w:rsidRPr="00D766F3">
              <w:rPr>
                <w:rFonts w:ascii="Arial" w:hAnsi="Arial" w:cs="Arial"/>
                <w:color w:val="000000" w:themeColor="text1"/>
                <w:sz w:val="22"/>
                <w:szCs w:val="22"/>
              </w:rPr>
              <w:t xml:space="preserve">Profit from </w:t>
            </w:r>
            <w:r>
              <w:rPr>
                <w:rFonts w:ascii="Arial" w:hAnsi="Arial" w:cs="Arial"/>
                <w:color w:val="000000" w:themeColor="text1"/>
                <w:sz w:val="22"/>
                <w:szCs w:val="22"/>
              </w:rPr>
              <w:t>sweetpotato</w:t>
            </w:r>
            <w:r w:rsidRPr="00D766F3">
              <w:rPr>
                <w:rFonts w:ascii="Arial" w:hAnsi="Arial" w:cs="Arial"/>
                <w:color w:val="000000" w:themeColor="text1"/>
                <w:sz w:val="22"/>
                <w:szCs w:val="22"/>
              </w:rPr>
              <w:t xml:space="preserve"> production </w:t>
            </w:r>
          </w:p>
        </w:tc>
        <w:tc>
          <w:tcPr>
            <w:tcW w:w="2066" w:type="dxa"/>
          </w:tcPr>
          <w:p w:rsidR="002B5A16" w:rsidRPr="00D766F3" w:rsidRDefault="002B5A16" w:rsidP="002B5A16">
            <w:pPr>
              <w:jc w:val="center"/>
              <w:rPr>
                <w:rFonts w:ascii="Arial" w:hAnsi="Arial" w:cs="Arial"/>
                <w:color w:val="000000" w:themeColor="text1"/>
                <w:sz w:val="22"/>
                <w:szCs w:val="22"/>
              </w:rPr>
            </w:pPr>
            <w:r w:rsidRPr="00D766F3">
              <w:rPr>
                <w:rFonts w:ascii="Arial" w:hAnsi="Arial" w:cs="Arial"/>
                <w:color w:val="000000" w:themeColor="text1"/>
                <w:sz w:val="22"/>
                <w:szCs w:val="22"/>
              </w:rPr>
              <w:t>$2,717/ha</w:t>
            </w:r>
          </w:p>
        </w:tc>
        <w:tc>
          <w:tcPr>
            <w:tcW w:w="3637" w:type="dxa"/>
          </w:tcPr>
          <w:p w:rsidR="002B5A16" w:rsidRPr="00D766F3" w:rsidRDefault="002B5A16" w:rsidP="002B5A16">
            <w:pPr>
              <w:rPr>
                <w:rFonts w:ascii="Arial" w:hAnsi="Arial" w:cs="Arial"/>
                <w:color w:val="000000" w:themeColor="text1"/>
                <w:sz w:val="22"/>
                <w:szCs w:val="22"/>
              </w:rPr>
            </w:pPr>
            <w:r w:rsidRPr="00D766F3">
              <w:rPr>
                <w:rFonts w:ascii="Arial" w:hAnsi="Arial" w:cs="Arial"/>
                <w:color w:val="000000" w:themeColor="text1"/>
                <w:sz w:val="22"/>
                <w:szCs w:val="22"/>
              </w:rPr>
              <w:t xml:space="preserve">DAF </w:t>
            </w:r>
            <w:r>
              <w:rPr>
                <w:rFonts w:ascii="Arial" w:hAnsi="Arial" w:cs="Arial"/>
                <w:color w:val="000000" w:themeColor="text1"/>
                <w:sz w:val="22"/>
                <w:szCs w:val="22"/>
              </w:rPr>
              <w:t xml:space="preserve">sweetpotato </w:t>
            </w:r>
            <w:r w:rsidRPr="00D766F3">
              <w:rPr>
                <w:rFonts w:ascii="Arial" w:hAnsi="Arial" w:cs="Arial"/>
                <w:color w:val="000000" w:themeColor="text1"/>
                <w:sz w:val="22"/>
                <w:szCs w:val="22"/>
              </w:rPr>
              <w:t>gross margin updated 2016.</w:t>
            </w:r>
          </w:p>
        </w:tc>
      </w:tr>
      <w:tr w:rsidR="002B5A16" w:rsidRPr="004F4C28" w:rsidTr="002B5A16">
        <w:trPr>
          <w:jc w:val="center"/>
        </w:trPr>
        <w:tc>
          <w:tcPr>
            <w:tcW w:w="3883" w:type="dxa"/>
          </w:tcPr>
          <w:p w:rsidR="002B5A16" w:rsidRPr="00D766F3" w:rsidRDefault="002B5A16" w:rsidP="002B5A16">
            <w:pPr>
              <w:rPr>
                <w:rFonts w:ascii="Arial" w:hAnsi="Arial" w:cs="Arial"/>
                <w:color w:val="000000" w:themeColor="text1"/>
                <w:sz w:val="22"/>
                <w:szCs w:val="22"/>
              </w:rPr>
            </w:pPr>
            <w:r w:rsidRPr="00D766F3">
              <w:rPr>
                <w:rFonts w:ascii="Arial" w:hAnsi="Arial" w:cs="Arial"/>
                <w:color w:val="000000" w:themeColor="text1"/>
                <w:sz w:val="22"/>
                <w:szCs w:val="22"/>
              </w:rPr>
              <w:t>Profit from ‘next best’ enterprise</w:t>
            </w:r>
          </w:p>
        </w:tc>
        <w:tc>
          <w:tcPr>
            <w:tcW w:w="2066" w:type="dxa"/>
          </w:tcPr>
          <w:p w:rsidR="002B5A16" w:rsidRPr="00D766F3" w:rsidRDefault="002B5A16" w:rsidP="002B5A16">
            <w:pPr>
              <w:jc w:val="center"/>
              <w:rPr>
                <w:rFonts w:ascii="Arial" w:hAnsi="Arial" w:cs="Arial"/>
                <w:color w:val="000000" w:themeColor="text1"/>
                <w:sz w:val="22"/>
                <w:szCs w:val="22"/>
              </w:rPr>
            </w:pPr>
            <w:r>
              <w:rPr>
                <w:rFonts w:ascii="Arial" w:hAnsi="Arial" w:cs="Arial"/>
                <w:color w:val="000000" w:themeColor="text1"/>
                <w:sz w:val="22"/>
                <w:szCs w:val="22"/>
              </w:rPr>
              <w:t>$2,5</w:t>
            </w:r>
            <w:r w:rsidRPr="00D766F3">
              <w:rPr>
                <w:rFonts w:ascii="Arial" w:hAnsi="Arial" w:cs="Arial"/>
                <w:color w:val="000000" w:themeColor="text1"/>
                <w:sz w:val="22"/>
                <w:szCs w:val="22"/>
              </w:rPr>
              <w:t>00/ha</w:t>
            </w:r>
          </w:p>
        </w:tc>
        <w:tc>
          <w:tcPr>
            <w:tcW w:w="3637" w:type="dxa"/>
          </w:tcPr>
          <w:p w:rsidR="002B5A16" w:rsidRPr="00D766F3" w:rsidRDefault="002B5A16" w:rsidP="002B5A16">
            <w:pPr>
              <w:rPr>
                <w:rFonts w:ascii="Arial" w:hAnsi="Arial" w:cs="Arial"/>
                <w:color w:val="000000" w:themeColor="text1"/>
                <w:sz w:val="22"/>
                <w:szCs w:val="22"/>
              </w:rPr>
            </w:pPr>
            <w:r w:rsidRPr="00D766F3">
              <w:rPr>
                <w:rFonts w:ascii="Arial" w:hAnsi="Arial" w:cs="Arial"/>
                <w:color w:val="000000" w:themeColor="text1"/>
                <w:sz w:val="22"/>
                <w:szCs w:val="22"/>
              </w:rPr>
              <w:t>Consultant estimate after considering DAF and NSW DPI vegetable enterprise gross margin budgets.</w:t>
            </w:r>
          </w:p>
        </w:tc>
      </w:tr>
      <w:tr w:rsidR="002B5A16" w:rsidRPr="00E97ACE" w:rsidTr="002B5A16">
        <w:trPr>
          <w:jc w:val="center"/>
        </w:trPr>
        <w:tc>
          <w:tcPr>
            <w:tcW w:w="3883" w:type="dxa"/>
          </w:tcPr>
          <w:p w:rsidR="002B5A16" w:rsidRPr="00D766F3" w:rsidRDefault="002B5A16" w:rsidP="002B5A16">
            <w:pPr>
              <w:rPr>
                <w:rFonts w:ascii="Arial" w:hAnsi="Arial" w:cs="Arial"/>
                <w:color w:val="000000" w:themeColor="text1"/>
                <w:sz w:val="22"/>
                <w:szCs w:val="22"/>
              </w:rPr>
            </w:pPr>
            <w:r w:rsidRPr="00D766F3">
              <w:rPr>
                <w:rFonts w:ascii="Arial" w:hAnsi="Arial" w:cs="Arial"/>
                <w:color w:val="000000" w:themeColor="text1"/>
                <w:sz w:val="22"/>
                <w:szCs w:val="22"/>
              </w:rPr>
              <w:t xml:space="preserve">Increased return on the additional area of </w:t>
            </w:r>
            <w:r>
              <w:rPr>
                <w:rFonts w:ascii="Arial" w:hAnsi="Arial" w:cs="Arial"/>
                <w:color w:val="000000" w:themeColor="text1"/>
                <w:sz w:val="22"/>
                <w:szCs w:val="22"/>
              </w:rPr>
              <w:t>sweetpotato</w:t>
            </w:r>
            <w:r w:rsidRPr="00D766F3">
              <w:rPr>
                <w:rFonts w:ascii="Arial" w:hAnsi="Arial" w:cs="Arial"/>
                <w:color w:val="000000" w:themeColor="text1"/>
                <w:sz w:val="22"/>
                <w:szCs w:val="22"/>
              </w:rPr>
              <w:t xml:space="preserve"> grown</w:t>
            </w:r>
          </w:p>
        </w:tc>
        <w:tc>
          <w:tcPr>
            <w:tcW w:w="2066" w:type="dxa"/>
          </w:tcPr>
          <w:p w:rsidR="002B5A16" w:rsidRPr="00D766F3" w:rsidRDefault="002B5A16" w:rsidP="002B5A16">
            <w:pPr>
              <w:jc w:val="center"/>
              <w:rPr>
                <w:rFonts w:ascii="Arial" w:hAnsi="Arial" w:cs="Arial"/>
                <w:color w:val="000000" w:themeColor="text1"/>
                <w:sz w:val="22"/>
                <w:szCs w:val="22"/>
              </w:rPr>
            </w:pPr>
            <w:r w:rsidRPr="00D766F3">
              <w:rPr>
                <w:rFonts w:ascii="Arial" w:hAnsi="Arial" w:cs="Arial"/>
                <w:color w:val="000000" w:themeColor="text1"/>
                <w:sz w:val="22"/>
                <w:szCs w:val="22"/>
              </w:rPr>
              <w:t>$</w:t>
            </w:r>
            <w:r>
              <w:rPr>
                <w:rFonts w:ascii="Arial" w:hAnsi="Arial" w:cs="Arial"/>
                <w:color w:val="000000" w:themeColor="text1"/>
                <w:sz w:val="22"/>
                <w:szCs w:val="22"/>
              </w:rPr>
              <w:t>2</w:t>
            </w:r>
            <w:r w:rsidRPr="00D766F3">
              <w:rPr>
                <w:rFonts w:ascii="Arial" w:hAnsi="Arial" w:cs="Arial"/>
                <w:color w:val="000000" w:themeColor="text1"/>
                <w:sz w:val="22"/>
                <w:szCs w:val="22"/>
              </w:rPr>
              <w:t>17/ha</w:t>
            </w:r>
          </w:p>
        </w:tc>
        <w:tc>
          <w:tcPr>
            <w:tcW w:w="3637" w:type="dxa"/>
          </w:tcPr>
          <w:p w:rsidR="002B5A16" w:rsidRPr="00D766F3" w:rsidRDefault="002B5A16" w:rsidP="002B5A16">
            <w:pPr>
              <w:rPr>
                <w:rFonts w:ascii="Arial" w:hAnsi="Arial" w:cs="Arial"/>
                <w:sz w:val="22"/>
                <w:szCs w:val="22"/>
              </w:rPr>
            </w:pPr>
            <w:r w:rsidRPr="00D766F3">
              <w:rPr>
                <w:rFonts w:ascii="Arial" w:hAnsi="Arial" w:cs="Arial"/>
                <w:color w:val="000000" w:themeColor="text1"/>
                <w:sz w:val="22"/>
                <w:szCs w:val="22"/>
              </w:rPr>
              <w:t>$2,717/ha less $2,</w:t>
            </w:r>
            <w:r>
              <w:rPr>
                <w:rFonts w:ascii="Arial" w:hAnsi="Arial" w:cs="Arial"/>
                <w:color w:val="000000" w:themeColor="text1"/>
                <w:sz w:val="22"/>
                <w:szCs w:val="22"/>
              </w:rPr>
              <w:t>5</w:t>
            </w:r>
            <w:r w:rsidRPr="00D766F3">
              <w:rPr>
                <w:rFonts w:ascii="Arial" w:hAnsi="Arial" w:cs="Arial"/>
                <w:color w:val="000000" w:themeColor="text1"/>
                <w:sz w:val="22"/>
                <w:szCs w:val="22"/>
              </w:rPr>
              <w:t>00/ha</w:t>
            </w:r>
          </w:p>
        </w:tc>
      </w:tr>
      <w:tr w:rsidR="002B5A16" w:rsidRPr="003D252B" w:rsidTr="002B5A16">
        <w:trPr>
          <w:jc w:val="center"/>
        </w:trPr>
        <w:tc>
          <w:tcPr>
            <w:tcW w:w="3883" w:type="dxa"/>
          </w:tcPr>
          <w:p w:rsidR="002B5A16" w:rsidRPr="003D252B" w:rsidRDefault="002B5A16" w:rsidP="002B5A16">
            <w:pPr>
              <w:rPr>
                <w:rFonts w:ascii="Arial" w:hAnsi="Arial" w:cs="Arial"/>
                <w:b/>
                <w:color w:val="000000" w:themeColor="text1"/>
                <w:sz w:val="22"/>
                <w:szCs w:val="22"/>
              </w:rPr>
            </w:pPr>
            <w:r w:rsidRPr="003D252B">
              <w:rPr>
                <w:rFonts w:ascii="Arial" w:hAnsi="Arial" w:cs="Arial"/>
                <w:b/>
                <w:color w:val="000000" w:themeColor="text1"/>
                <w:sz w:val="22"/>
                <w:szCs w:val="22"/>
              </w:rPr>
              <w:t>Attribution</w:t>
            </w:r>
            <w:r>
              <w:rPr>
                <w:rFonts w:ascii="Arial" w:hAnsi="Arial" w:cs="Arial"/>
                <w:b/>
                <w:color w:val="000000" w:themeColor="text1"/>
                <w:sz w:val="22"/>
                <w:szCs w:val="22"/>
              </w:rPr>
              <w:t xml:space="preserve"> for Benefit 1, 2 and 3</w:t>
            </w:r>
          </w:p>
        </w:tc>
        <w:tc>
          <w:tcPr>
            <w:tcW w:w="2066" w:type="dxa"/>
          </w:tcPr>
          <w:p w:rsidR="002B5A16" w:rsidRPr="003D252B" w:rsidRDefault="002B5A16" w:rsidP="002B5A16">
            <w:pPr>
              <w:jc w:val="center"/>
              <w:rPr>
                <w:rFonts w:ascii="Arial" w:hAnsi="Arial" w:cs="Arial"/>
                <w:b/>
                <w:color w:val="000000" w:themeColor="text1"/>
                <w:sz w:val="22"/>
                <w:szCs w:val="22"/>
              </w:rPr>
            </w:pPr>
            <w:r w:rsidRPr="003D252B">
              <w:rPr>
                <w:rFonts w:ascii="Arial" w:hAnsi="Arial" w:cs="Arial"/>
                <w:b/>
                <w:color w:val="000000" w:themeColor="text1"/>
                <w:sz w:val="22"/>
                <w:szCs w:val="22"/>
              </w:rPr>
              <w:t>75%</w:t>
            </w:r>
          </w:p>
        </w:tc>
        <w:tc>
          <w:tcPr>
            <w:tcW w:w="3637" w:type="dxa"/>
          </w:tcPr>
          <w:p w:rsidR="002B5A16" w:rsidRPr="003D252B" w:rsidRDefault="002B5A16" w:rsidP="002B5A16">
            <w:pPr>
              <w:rPr>
                <w:rFonts w:ascii="Arial" w:hAnsi="Arial" w:cs="Arial"/>
                <w:sz w:val="22"/>
                <w:szCs w:val="22"/>
              </w:rPr>
            </w:pPr>
            <w:r w:rsidRPr="003D252B">
              <w:rPr>
                <w:rFonts w:ascii="Arial" w:hAnsi="Arial" w:cs="Arial"/>
                <w:sz w:val="22"/>
                <w:szCs w:val="22"/>
              </w:rPr>
              <w:t>Consultant estimate and based on the knowledge that there w</w:t>
            </w:r>
            <w:r>
              <w:rPr>
                <w:rFonts w:ascii="Arial" w:hAnsi="Arial" w:cs="Arial"/>
                <w:sz w:val="22"/>
                <w:szCs w:val="22"/>
              </w:rPr>
              <w:t>as</w:t>
            </w:r>
            <w:r w:rsidRPr="003D252B">
              <w:rPr>
                <w:rFonts w:ascii="Arial" w:hAnsi="Arial" w:cs="Arial"/>
                <w:sz w:val="22"/>
                <w:szCs w:val="22"/>
              </w:rPr>
              <w:t xml:space="preserve"> </w:t>
            </w:r>
            <w:r w:rsidRPr="003D252B">
              <w:rPr>
                <w:rFonts w:ascii="Arial" w:hAnsi="Arial" w:cs="Arial"/>
                <w:color w:val="000000" w:themeColor="text1"/>
                <w:sz w:val="22"/>
                <w:szCs w:val="22"/>
              </w:rPr>
              <w:t>prior research and other research projects completed in PNG that were relevant to cluster impacts but not included in the cluster</w:t>
            </w:r>
            <w:r w:rsidRPr="003D252B">
              <w:rPr>
                <w:rFonts w:ascii="Arial" w:hAnsi="Arial" w:cs="Arial"/>
                <w:sz w:val="22"/>
                <w:szCs w:val="22"/>
              </w:rPr>
              <w:t>.</w:t>
            </w:r>
          </w:p>
        </w:tc>
      </w:tr>
      <w:tr w:rsidR="002B5A16" w:rsidRPr="004A7CFA" w:rsidTr="002B5A16">
        <w:trPr>
          <w:jc w:val="center"/>
        </w:trPr>
        <w:tc>
          <w:tcPr>
            <w:tcW w:w="9586" w:type="dxa"/>
            <w:gridSpan w:val="3"/>
          </w:tcPr>
          <w:p w:rsidR="002B5A16" w:rsidRPr="00732BD7" w:rsidRDefault="002B5A16" w:rsidP="002B5A16">
            <w:pPr>
              <w:rPr>
                <w:rFonts w:ascii="Arial" w:hAnsi="Arial" w:cs="Arial"/>
                <w:color w:val="000000" w:themeColor="text1"/>
              </w:rPr>
            </w:pPr>
            <w:r w:rsidRPr="00732BD7">
              <w:rPr>
                <w:rFonts w:ascii="Arial" w:hAnsi="Arial" w:cs="Arial"/>
                <w:b/>
                <w:color w:val="000000" w:themeColor="text1"/>
                <w:sz w:val="22"/>
                <w:szCs w:val="22"/>
              </w:rPr>
              <w:t xml:space="preserve">ALTERNATIVE COUNTERFACTUAL: </w:t>
            </w:r>
            <w:r>
              <w:rPr>
                <w:rFonts w:ascii="Arial" w:hAnsi="Arial" w:cs="Arial"/>
                <w:color w:val="000000" w:themeColor="text1"/>
                <w:sz w:val="22"/>
                <w:szCs w:val="22"/>
              </w:rPr>
              <w:t>In the absence of DAF inves</w:t>
            </w:r>
            <w:r w:rsidRPr="005237DC">
              <w:rPr>
                <w:rFonts w:ascii="Arial" w:hAnsi="Arial" w:cs="Arial"/>
                <w:color w:val="000000" w:themeColor="text1"/>
                <w:sz w:val="22"/>
                <w:szCs w:val="22"/>
              </w:rPr>
              <w:t xml:space="preserve">tment in the </w:t>
            </w:r>
            <w:r>
              <w:rPr>
                <w:rFonts w:ascii="Arial" w:hAnsi="Arial" w:cs="Arial"/>
                <w:color w:val="000000" w:themeColor="text1"/>
                <w:sz w:val="22"/>
                <w:szCs w:val="22"/>
              </w:rPr>
              <w:t>sweetpotato</w:t>
            </w:r>
            <w:r w:rsidRPr="005237DC">
              <w:rPr>
                <w:rFonts w:ascii="Arial" w:hAnsi="Arial" w:cs="Arial"/>
                <w:color w:val="000000" w:themeColor="text1"/>
                <w:sz w:val="22"/>
                <w:szCs w:val="22"/>
              </w:rPr>
              <w:t xml:space="preserve"> industry</w:t>
            </w:r>
            <w:r>
              <w:rPr>
                <w:rFonts w:ascii="Arial" w:hAnsi="Arial" w:cs="Arial"/>
                <w:color w:val="000000" w:themeColor="text1"/>
                <w:sz w:val="22"/>
                <w:szCs w:val="22"/>
              </w:rPr>
              <w:t xml:space="preserve">, 25% of the increase in </w:t>
            </w:r>
            <w:r w:rsidRPr="005237DC">
              <w:rPr>
                <w:rFonts w:ascii="Arial" w:hAnsi="Arial" w:cs="Arial"/>
                <w:color w:val="000000" w:themeColor="text1"/>
                <w:sz w:val="22"/>
                <w:szCs w:val="22"/>
              </w:rPr>
              <w:t xml:space="preserve">yield, profitability and area grown would have </w:t>
            </w:r>
            <w:r>
              <w:rPr>
                <w:rFonts w:ascii="Arial" w:hAnsi="Arial" w:cs="Arial"/>
                <w:color w:val="000000" w:themeColor="text1"/>
                <w:sz w:val="22"/>
                <w:szCs w:val="22"/>
              </w:rPr>
              <w:t>been realised</w:t>
            </w:r>
            <w:r w:rsidRPr="00C75EFE">
              <w:rPr>
                <w:rFonts w:ascii="Arial" w:hAnsi="Arial" w:cs="Arial"/>
                <w:color w:val="000000" w:themeColor="text1"/>
                <w:sz w:val="22"/>
                <w:szCs w:val="22"/>
              </w:rPr>
              <w:t>.</w:t>
            </w:r>
          </w:p>
        </w:tc>
      </w:tr>
      <w:tr w:rsidR="002B5A16" w:rsidRPr="004A7CFA" w:rsidTr="002B5A16">
        <w:trPr>
          <w:jc w:val="center"/>
        </w:trPr>
        <w:tc>
          <w:tcPr>
            <w:tcW w:w="3883" w:type="dxa"/>
          </w:tcPr>
          <w:p w:rsidR="002B5A16" w:rsidRPr="00CD0615" w:rsidRDefault="002B5A16" w:rsidP="002B5A16">
            <w:pPr>
              <w:rPr>
                <w:rFonts w:ascii="Arial" w:hAnsi="Arial" w:cs="Arial"/>
                <w:color w:val="000000" w:themeColor="text1"/>
                <w:sz w:val="22"/>
                <w:szCs w:val="22"/>
              </w:rPr>
            </w:pPr>
            <w:r w:rsidRPr="00CD0615">
              <w:rPr>
                <w:rFonts w:ascii="Arial" w:hAnsi="Arial" w:cs="Arial"/>
                <w:color w:val="000000" w:themeColor="text1"/>
                <w:sz w:val="22"/>
                <w:szCs w:val="22"/>
              </w:rPr>
              <w:t xml:space="preserve">Benefit: </w:t>
            </w:r>
            <w:r>
              <w:rPr>
                <w:rFonts w:ascii="Arial" w:hAnsi="Arial" w:cs="Arial"/>
                <w:color w:val="000000" w:themeColor="text1"/>
                <w:sz w:val="22"/>
                <w:szCs w:val="22"/>
              </w:rPr>
              <w:t>Increased sweetpotato yield, profitability and area grown</w:t>
            </w:r>
          </w:p>
        </w:tc>
        <w:tc>
          <w:tcPr>
            <w:tcW w:w="5703" w:type="dxa"/>
            <w:gridSpan w:val="2"/>
          </w:tcPr>
          <w:p w:rsidR="002B5A16" w:rsidRPr="008745F2" w:rsidRDefault="002B5A16" w:rsidP="002B5A16">
            <w:pPr>
              <w:rPr>
                <w:rFonts w:ascii="Arial" w:hAnsi="Arial" w:cs="Arial"/>
                <w:color w:val="000000" w:themeColor="text1"/>
                <w:sz w:val="22"/>
                <w:szCs w:val="22"/>
              </w:rPr>
            </w:pPr>
            <w:r w:rsidRPr="008745F2">
              <w:rPr>
                <w:rFonts w:ascii="Arial" w:hAnsi="Arial" w:cs="Arial"/>
                <w:color w:val="000000" w:themeColor="text1"/>
                <w:sz w:val="22"/>
                <w:szCs w:val="22"/>
              </w:rPr>
              <w:t>Same assumptions as for the Base Counterfactual</w:t>
            </w:r>
            <w:r>
              <w:rPr>
                <w:rFonts w:ascii="Arial" w:hAnsi="Arial" w:cs="Arial"/>
                <w:color w:val="000000" w:themeColor="text1"/>
                <w:sz w:val="22"/>
                <w:szCs w:val="22"/>
              </w:rPr>
              <w:t>.</w:t>
            </w:r>
          </w:p>
        </w:tc>
      </w:tr>
    </w:tbl>
    <w:p w:rsidR="002B5A16" w:rsidRDefault="002B5A16" w:rsidP="002B5A16">
      <w:pPr>
        <w:rPr>
          <w:rFonts w:ascii="Arial" w:hAnsi="Arial" w:cs="Arial"/>
          <w:color w:val="000000" w:themeColor="text1"/>
        </w:rPr>
      </w:pPr>
    </w:p>
    <w:p w:rsidR="002B5A16" w:rsidRPr="00901E0A" w:rsidRDefault="002B5A16" w:rsidP="002B5A16">
      <w:pPr>
        <w:rPr>
          <w:rFonts w:ascii="Arial" w:hAnsi="Arial" w:cs="Arial"/>
          <w:color w:val="000000" w:themeColor="text1"/>
        </w:rPr>
      </w:pPr>
    </w:p>
    <w:p w:rsidR="002B5A16" w:rsidRPr="00AF6856" w:rsidRDefault="002B5A16" w:rsidP="00AF6856">
      <w:pPr>
        <w:spacing w:after="240"/>
        <w:rPr>
          <w:rFonts w:ascii="Arial" w:hAnsi="Arial" w:cs="Arial"/>
          <w:b/>
          <w:sz w:val="40"/>
          <w:szCs w:val="40"/>
        </w:rPr>
      </w:pPr>
      <w:bookmarkStart w:id="484" w:name="_Toc487091264"/>
      <w:r w:rsidRPr="00AF6856">
        <w:rPr>
          <w:rFonts w:ascii="Arial" w:hAnsi="Arial" w:cs="Arial"/>
          <w:b/>
          <w:sz w:val="40"/>
          <w:szCs w:val="40"/>
        </w:rPr>
        <w:t>7. Investment Criteria</w:t>
      </w:r>
      <w:bookmarkEnd w:id="484"/>
      <w:r w:rsidRPr="00AF6856">
        <w:rPr>
          <w:rFonts w:ascii="Arial" w:hAnsi="Arial" w:cs="Arial"/>
          <w:b/>
          <w:sz w:val="40"/>
          <w:szCs w:val="40"/>
        </w:rPr>
        <w:t xml:space="preserve"> </w:t>
      </w:r>
    </w:p>
    <w:p w:rsidR="002B5A16" w:rsidRDefault="002B5A16" w:rsidP="00AF6856">
      <w:pPr>
        <w:spacing w:after="240"/>
        <w:ind w:right="-330"/>
        <w:rPr>
          <w:rFonts w:ascii="Arial" w:hAnsi="Arial" w:cs="Arial"/>
        </w:rPr>
      </w:pPr>
      <w:r w:rsidRPr="007D67C2">
        <w:rPr>
          <w:rFonts w:ascii="Arial" w:hAnsi="Arial" w:cs="Arial"/>
        </w:rPr>
        <w:t>All past costs were expressed in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dollar terms using the Implicit Price Deflator for G</w:t>
      </w:r>
      <w:r>
        <w:rPr>
          <w:rFonts w:ascii="Arial" w:hAnsi="Arial" w:cs="Arial"/>
        </w:rPr>
        <w:t>ross Domestic Product</w:t>
      </w:r>
      <w:r w:rsidRPr="007D67C2">
        <w:rPr>
          <w:rFonts w:ascii="Arial" w:hAnsi="Arial" w:cs="Arial"/>
        </w:rPr>
        <w:t xml:space="preserve">. </w:t>
      </w:r>
      <w:r>
        <w:rPr>
          <w:rFonts w:ascii="Arial" w:hAnsi="Arial" w:cs="Arial"/>
        </w:rPr>
        <w:t xml:space="preserve">As described earlier, the Hort Innovation and ACIAR </w:t>
      </w:r>
      <w:r w:rsidRPr="007D67C2">
        <w:rPr>
          <w:rFonts w:ascii="Arial" w:hAnsi="Arial" w:cs="Arial"/>
        </w:rPr>
        <w:t>component</w:t>
      </w:r>
      <w:r>
        <w:rPr>
          <w:rFonts w:ascii="Arial" w:hAnsi="Arial" w:cs="Arial"/>
        </w:rPr>
        <w:t>s</w:t>
      </w:r>
      <w:r w:rsidRPr="007D67C2">
        <w:rPr>
          <w:rFonts w:ascii="Arial" w:hAnsi="Arial" w:cs="Arial"/>
        </w:rPr>
        <w:t xml:space="preserve"> of project investment costs w</w:t>
      </w:r>
      <w:r>
        <w:rPr>
          <w:rFonts w:ascii="Arial" w:hAnsi="Arial" w:cs="Arial"/>
        </w:rPr>
        <w:t>ere</w:t>
      </w:r>
      <w:r w:rsidRPr="007D67C2">
        <w:rPr>
          <w:rFonts w:ascii="Arial" w:hAnsi="Arial" w:cs="Arial"/>
        </w:rPr>
        <w:t xml:space="preserve"> multiplied by a factor </w:t>
      </w:r>
      <w:r w:rsidRPr="00A96684">
        <w:rPr>
          <w:rFonts w:ascii="Arial" w:hAnsi="Arial" w:cs="Arial"/>
        </w:rPr>
        <w:t>of 1.12</w:t>
      </w:r>
      <w:r w:rsidRPr="007D67C2">
        <w:rPr>
          <w:rFonts w:ascii="Arial" w:hAnsi="Arial" w:cs="Arial"/>
        </w:rPr>
        <w:t xml:space="preserve"> to accommodate program management costs</w:t>
      </w:r>
      <w:r>
        <w:rPr>
          <w:rFonts w:ascii="Arial" w:hAnsi="Arial" w:cs="Arial"/>
        </w:rPr>
        <w:t xml:space="preserve">. </w:t>
      </w:r>
      <w:r w:rsidRPr="00D03CA7">
        <w:rPr>
          <w:rFonts w:ascii="Arial" w:hAnsi="Arial" w:cs="Arial"/>
        </w:rPr>
        <w:t xml:space="preserve">The DAF investment costs already had </w:t>
      </w:r>
      <w:r>
        <w:rPr>
          <w:rFonts w:ascii="Arial" w:hAnsi="Arial" w:cs="Arial"/>
        </w:rPr>
        <w:t xml:space="preserve">program management costs </w:t>
      </w:r>
      <w:r w:rsidRPr="00D03CA7">
        <w:rPr>
          <w:rFonts w:ascii="Arial" w:hAnsi="Arial" w:cs="Arial"/>
        </w:rPr>
        <w:t>included.</w:t>
      </w:r>
    </w:p>
    <w:p w:rsidR="002B5A16" w:rsidRDefault="002B5A16" w:rsidP="00AF6856">
      <w:pPr>
        <w:spacing w:after="240"/>
        <w:ind w:right="-330"/>
        <w:rPr>
          <w:rFonts w:ascii="Arial" w:hAnsi="Arial" w:cs="Arial"/>
        </w:rPr>
      </w:pPr>
      <w:r w:rsidRPr="007D67C2">
        <w:rPr>
          <w:rFonts w:ascii="Arial" w:hAnsi="Arial" w:cs="Arial"/>
        </w:rPr>
        <w:t>All benefits after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were expressed in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dollar terms. All costs and benefits were discounted to 201</w:t>
      </w:r>
      <w:r>
        <w:rPr>
          <w:rFonts w:ascii="Arial" w:hAnsi="Arial" w:cs="Arial"/>
        </w:rPr>
        <w:t>6</w:t>
      </w:r>
      <w:r w:rsidRPr="007D67C2">
        <w:rPr>
          <w:rFonts w:ascii="Arial" w:hAnsi="Arial" w:cs="Arial"/>
        </w:rPr>
        <w:t>/1</w:t>
      </w:r>
      <w:r>
        <w:rPr>
          <w:rFonts w:ascii="Arial" w:hAnsi="Arial" w:cs="Arial"/>
        </w:rPr>
        <w:t>7</w:t>
      </w:r>
      <w:r w:rsidRPr="007D67C2">
        <w:rPr>
          <w:rFonts w:ascii="Arial" w:hAnsi="Arial" w:cs="Arial"/>
        </w:rPr>
        <w:t xml:space="preserve"> using a discount rate of 5%. A reinvestment rate of </w:t>
      </w:r>
      <w:r>
        <w:rPr>
          <w:rFonts w:ascii="Arial" w:hAnsi="Arial" w:cs="Arial"/>
        </w:rPr>
        <w:t>5% was used for estimating the Modified Internal Rate of Return (M</w:t>
      </w:r>
      <w:r w:rsidRPr="007D67C2">
        <w:rPr>
          <w:rFonts w:ascii="Arial" w:hAnsi="Arial" w:cs="Arial"/>
        </w:rPr>
        <w:t>IRR</w:t>
      </w:r>
      <w:r>
        <w:rPr>
          <w:rFonts w:ascii="Arial" w:hAnsi="Arial" w:cs="Arial"/>
        </w:rPr>
        <w:t>)</w:t>
      </w:r>
      <w:r w:rsidRPr="007D67C2">
        <w:rPr>
          <w:rFonts w:ascii="Arial" w:hAnsi="Arial" w:cs="Arial"/>
        </w:rPr>
        <w:t>. The base analysis used the best available estimates for each variable, notwithstanding a level of uncertainty for many of the estimates. All analyses ran for the length of the investment period plus 30 years from the last year of investment (201</w:t>
      </w:r>
      <w:r>
        <w:rPr>
          <w:rFonts w:ascii="Arial" w:hAnsi="Arial" w:cs="Arial"/>
        </w:rPr>
        <w:t>7</w:t>
      </w:r>
      <w:r w:rsidRPr="007D67C2">
        <w:rPr>
          <w:rFonts w:ascii="Arial" w:hAnsi="Arial" w:cs="Arial"/>
        </w:rPr>
        <w:t>/1</w:t>
      </w:r>
      <w:r>
        <w:rPr>
          <w:rFonts w:ascii="Arial" w:hAnsi="Arial" w:cs="Arial"/>
        </w:rPr>
        <w:t>8</w:t>
      </w:r>
      <w:r w:rsidRPr="007D67C2">
        <w:rPr>
          <w:rFonts w:ascii="Arial" w:hAnsi="Arial" w:cs="Arial"/>
        </w:rPr>
        <w:t xml:space="preserve">) to the final year of benefits assumed. </w:t>
      </w:r>
    </w:p>
    <w:p w:rsidR="00EB01F3" w:rsidRDefault="00EB01F3" w:rsidP="00AF6856">
      <w:pPr>
        <w:spacing w:after="240"/>
        <w:rPr>
          <w:rFonts w:ascii="Arial" w:hAnsi="Arial" w:cs="Arial"/>
          <w:b/>
          <w:sz w:val="24"/>
        </w:rPr>
      </w:pPr>
    </w:p>
    <w:p w:rsidR="00EB01F3" w:rsidRDefault="00EB01F3" w:rsidP="00AF6856">
      <w:pPr>
        <w:spacing w:after="240"/>
        <w:rPr>
          <w:rFonts w:ascii="Arial" w:hAnsi="Arial" w:cs="Arial"/>
          <w:b/>
          <w:sz w:val="24"/>
        </w:rPr>
      </w:pPr>
    </w:p>
    <w:p w:rsidR="002B5A16" w:rsidRDefault="002B5A16" w:rsidP="00AF6856">
      <w:pPr>
        <w:spacing w:after="240"/>
        <w:rPr>
          <w:rFonts w:ascii="Arial" w:hAnsi="Arial" w:cs="Arial"/>
          <w:b/>
          <w:sz w:val="24"/>
        </w:rPr>
      </w:pPr>
      <w:r w:rsidRPr="006C069D">
        <w:rPr>
          <w:rFonts w:ascii="Arial" w:hAnsi="Arial" w:cs="Arial"/>
          <w:b/>
          <w:sz w:val="24"/>
        </w:rPr>
        <w:t>Investment Criteria</w:t>
      </w:r>
      <w:r>
        <w:rPr>
          <w:rFonts w:ascii="Arial" w:hAnsi="Arial" w:cs="Arial"/>
          <w:b/>
          <w:sz w:val="24"/>
        </w:rPr>
        <w:t xml:space="preserve"> using Base Counterfactual </w:t>
      </w:r>
    </w:p>
    <w:p w:rsidR="002B5A16" w:rsidRDefault="002B5A16" w:rsidP="00AF6856">
      <w:pPr>
        <w:spacing w:after="240"/>
        <w:ind w:right="-330"/>
        <w:rPr>
          <w:rFonts w:ascii="Arial" w:hAnsi="Arial" w:cs="Arial"/>
        </w:rPr>
      </w:pPr>
      <w:r w:rsidRPr="006C069D">
        <w:rPr>
          <w:rFonts w:ascii="Arial" w:hAnsi="Arial" w:cs="Arial"/>
        </w:rPr>
        <w:t xml:space="preserve">Tables </w:t>
      </w:r>
      <w:r>
        <w:rPr>
          <w:rFonts w:ascii="Arial" w:hAnsi="Arial" w:cs="Arial"/>
        </w:rPr>
        <w:t xml:space="preserve">22, 23 and 24 </w:t>
      </w:r>
      <w:r w:rsidRPr="006C069D">
        <w:rPr>
          <w:rFonts w:ascii="Arial" w:hAnsi="Arial" w:cs="Arial"/>
        </w:rPr>
        <w:t>show the investment criteria estimated for different periods of benefits for the total investment</w:t>
      </w:r>
      <w:r>
        <w:rPr>
          <w:rFonts w:ascii="Arial" w:hAnsi="Arial" w:cs="Arial"/>
        </w:rPr>
        <w:t xml:space="preserve">, </w:t>
      </w:r>
      <w:r w:rsidRPr="006C069D">
        <w:rPr>
          <w:rFonts w:ascii="Arial" w:hAnsi="Arial" w:cs="Arial"/>
        </w:rPr>
        <w:t>the DAF investment</w:t>
      </w:r>
      <w:r>
        <w:rPr>
          <w:rFonts w:ascii="Arial" w:hAnsi="Arial" w:cs="Arial"/>
        </w:rPr>
        <w:t xml:space="preserve"> and the Hort Innovation’s investment </w:t>
      </w:r>
      <w:r w:rsidRPr="006C069D">
        <w:rPr>
          <w:rFonts w:ascii="Arial" w:hAnsi="Arial" w:cs="Arial"/>
        </w:rPr>
        <w:t xml:space="preserve">respectively. </w:t>
      </w:r>
      <w:r>
        <w:rPr>
          <w:rFonts w:ascii="Arial" w:hAnsi="Arial" w:cs="Arial"/>
        </w:rPr>
        <w:t xml:space="preserve">The project is characterised by varying R&amp;D investment by year up to 2018 combined with early benefits that vary in magnitude in relation to investment costs for each year. The resulting annual net cash flow has multiple sign changes and hence there are </w:t>
      </w:r>
      <w:r w:rsidRPr="00FA78B8">
        <w:rPr>
          <w:rFonts w:ascii="Arial" w:hAnsi="Arial" w:cs="Arial"/>
        </w:rPr>
        <w:t>multiple estimates of th</w:t>
      </w:r>
      <w:r>
        <w:rPr>
          <w:rFonts w:ascii="Arial" w:hAnsi="Arial" w:cs="Arial"/>
        </w:rPr>
        <w:t>e internal rate of return. The internal rate of return therefore is not reported in these three tables.</w:t>
      </w:r>
    </w:p>
    <w:p w:rsidR="002B5A16" w:rsidRDefault="002B5A16" w:rsidP="00AF6856">
      <w:pPr>
        <w:spacing w:after="240"/>
        <w:ind w:right="-330"/>
        <w:rPr>
          <w:rFonts w:ascii="Arial" w:hAnsi="Arial" w:cs="Arial"/>
        </w:rPr>
      </w:pPr>
      <w:r w:rsidRPr="006C069D">
        <w:rPr>
          <w:rFonts w:ascii="Arial" w:hAnsi="Arial" w:cs="Arial"/>
        </w:rPr>
        <w:t xml:space="preserve">The present value of benefits (PVB) attributable to DAF investment only, shown in Table </w:t>
      </w:r>
      <w:r>
        <w:rPr>
          <w:rFonts w:ascii="Arial" w:hAnsi="Arial" w:cs="Arial"/>
        </w:rPr>
        <w:t>23</w:t>
      </w:r>
      <w:r w:rsidRPr="006C069D">
        <w:rPr>
          <w:rFonts w:ascii="Arial" w:hAnsi="Arial" w:cs="Arial"/>
        </w:rPr>
        <w:t xml:space="preserve">, has been estimated by multiplying the total PVB by the DAF proportion of </w:t>
      </w:r>
      <w:r>
        <w:rPr>
          <w:rFonts w:ascii="Arial" w:hAnsi="Arial" w:cs="Arial"/>
        </w:rPr>
        <w:t xml:space="preserve">real investment </w:t>
      </w:r>
      <w:r w:rsidRPr="006C069D">
        <w:rPr>
          <w:rFonts w:ascii="Arial" w:hAnsi="Arial" w:cs="Arial"/>
        </w:rPr>
        <w:t>(</w:t>
      </w:r>
      <w:r>
        <w:rPr>
          <w:rFonts w:ascii="Arial" w:hAnsi="Arial" w:cs="Arial"/>
        </w:rPr>
        <w:t>44</w:t>
      </w:r>
      <w:r w:rsidRPr="006C069D">
        <w:rPr>
          <w:rFonts w:ascii="Arial" w:hAnsi="Arial" w:cs="Arial"/>
        </w:rPr>
        <w:t>%).</w:t>
      </w:r>
      <w:r>
        <w:rPr>
          <w:rFonts w:ascii="Arial" w:hAnsi="Arial" w:cs="Arial"/>
        </w:rPr>
        <w:t xml:space="preserve"> Hort Innovation’s share of benefits has been determined on the same basis (</w:t>
      </w:r>
      <w:r w:rsidRPr="00B47925">
        <w:rPr>
          <w:rFonts w:ascii="Arial" w:hAnsi="Arial" w:cs="Arial"/>
        </w:rPr>
        <w:t>34</w:t>
      </w:r>
      <w:r>
        <w:rPr>
          <w:rFonts w:ascii="Arial" w:hAnsi="Arial" w:cs="Arial"/>
        </w:rPr>
        <w:t>%) and is shown in Table 24. The balance of benefits is attributable to ACIAR and other project contributors (e.g. ASPG).</w:t>
      </w:r>
    </w:p>
    <w:p w:rsidR="002B5A16" w:rsidRPr="00AF6856" w:rsidRDefault="002B5A16" w:rsidP="00AF6856">
      <w:pPr>
        <w:pStyle w:val="Caption"/>
        <w:spacing w:after="240"/>
        <w:jc w:val="center"/>
        <w:rPr>
          <w:rFonts w:ascii="Arial" w:hAnsi="Arial"/>
          <w:b w:val="0"/>
          <w:i/>
          <w:iCs/>
          <w:color w:val="000000" w:themeColor="text1"/>
          <w:sz w:val="10"/>
          <w:szCs w:val="10"/>
        </w:rPr>
      </w:pPr>
      <w:bookmarkStart w:id="485" w:name="_Toc487091296"/>
      <w:r w:rsidRPr="00AF6856">
        <w:rPr>
          <w:rFonts w:ascii="Arial" w:hAnsi="Arial"/>
          <w:b w:val="0"/>
          <w:sz w:val="22"/>
          <w:szCs w:val="22"/>
        </w:rPr>
        <w:t xml:space="preserve">Table </w:t>
      </w:r>
      <w:r w:rsidR="00913E1D" w:rsidRPr="00EB01F3">
        <w:rPr>
          <w:rFonts w:ascii="Arial" w:hAnsi="Arial"/>
          <w:b w:val="0"/>
          <w:sz w:val="22"/>
          <w:szCs w:val="22"/>
        </w:rPr>
        <w:t>22</w:t>
      </w:r>
      <w:r w:rsidRPr="00EB01F3">
        <w:rPr>
          <w:rFonts w:ascii="Arial" w:hAnsi="Arial"/>
          <w:b w:val="0"/>
          <w:sz w:val="22"/>
          <w:szCs w:val="22"/>
        </w:rPr>
        <w:t>:</w:t>
      </w:r>
      <w:r w:rsidRPr="00AF6856">
        <w:rPr>
          <w:rFonts w:ascii="Arial" w:hAnsi="Arial"/>
          <w:b w:val="0"/>
          <w:sz w:val="22"/>
          <w:szCs w:val="22"/>
        </w:rPr>
        <w:t xml:space="preserve"> </w:t>
      </w:r>
      <w:r w:rsidRPr="00AF6856">
        <w:rPr>
          <w:rFonts w:ascii="Arial" w:hAnsi="Arial"/>
          <w:b w:val="0"/>
          <w:color w:val="000000" w:themeColor="text1"/>
          <w:sz w:val="22"/>
          <w:szCs w:val="22"/>
        </w:rPr>
        <w:t>Investment Criteria for Total Investment in the Project Cluster</w:t>
      </w:r>
      <w:bookmarkEnd w:id="485"/>
    </w:p>
    <w:tbl>
      <w:tblPr>
        <w:tblStyle w:val="TableGrid"/>
        <w:tblW w:w="5654" w:type="pct"/>
        <w:jc w:val="center"/>
        <w:tblLayout w:type="fixed"/>
        <w:tblLook w:val="04A0" w:firstRow="1" w:lastRow="0" w:firstColumn="1" w:lastColumn="0" w:noHBand="0" w:noVBand="1"/>
      </w:tblPr>
      <w:tblGrid>
        <w:gridCol w:w="3258"/>
        <w:gridCol w:w="989"/>
        <w:gridCol w:w="991"/>
        <w:gridCol w:w="991"/>
        <w:gridCol w:w="991"/>
        <w:gridCol w:w="991"/>
        <w:gridCol w:w="991"/>
        <w:gridCol w:w="993"/>
      </w:tblGrid>
      <w:tr w:rsidR="002B5A16" w:rsidRPr="00EB01F3" w:rsidTr="00EB01F3">
        <w:trPr>
          <w:jc w:val="center"/>
        </w:trPr>
        <w:tc>
          <w:tcPr>
            <w:tcW w:w="1598" w:type="pct"/>
            <w:vMerge w:val="restart"/>
          </w:tcPr>
          <w:p w:rsidR="002B5A16" w:rsidRPr="00EB01F3" w:rsidRDefault="002B5A16" w:rsidP="002B5A16">
            <w:pPr>
              <w:rPr>
                <w:rFonts w:ascii="Arial" w:hAnsi="Arial" w:cs="Arial"/>
                <w:b/>
                <w:sz w:val="22"/>
                <w:szCs w:val="22"/>
              </w:rPr>
            </w:pPr>
            <w:r w:rsidRPr="00EB01F3">
              <w:rPr>
                <w:rFonts w:ascii="Arial" w:hAnsi="Arial" w:cs="Arial"/>
                <w:b/>
                <w:sz w:val="22"/>
                <w:szCs w:val="22"/>
              </w:rPr>
              <w:t xml:space="preserve">Investment criteria </w:t>
            </w:r>
          </w:p>
        </w:tc>
        <w:tc>
          <w:tcPr>
            <w:tcW w:w="3402" w:type="pct"/>
            <w:gridSpan w:val="7"/>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 xml:space="preserve">Number of years from year of last investment </w:t>
            </w:r>
          </w:p>
        </w:tc>
      </w:tr>
      <w:tr w:rsidR="002B5A16" w:rsidRPr="00EB01F3" w:rsidTr="00EB01F3">
        <w:trPr>
          <w:jc w:val="center"/>
        </w:trPr>
        <w:tc>
          <w:tcPr>
            <w:tcW w:w="1598" w:type="pct"/>
            <w:vMerge/>
          </w:tcPr>
          <w:p w:rsidR="002B5A16" w:rsidRPr="00EB01F3" w:rsidRDefault="002B5A16" w:rsidP="002B5A16">
            <w:pPr>
              <w:rPr>
                <w:rFonts w:ascii="Arial" w:hAnsi="Arial" w:cs="Arial"/>
                <w:sz w:val="22"/>
                <w:szCs w:val="22"/>
              </w:rPr>
            </w:pPr>
          </w:p>
        </w:tc>
        <w:tc>
          <w:tcPr>
            <w:tcW w:w="485" w:type="pct"/>
            <w:tcBorders>
              <w:bottom w:val="single" w:sz="4" w:space="0" w:color="auto"/>
            </w:tcBorders>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0</w:t>
            </w:r>
          </w:p>
        </w:tc>
        <w:tc>
          <w:tcPr>
            <w:tcW w:w="486" w:type="pct"/>
            <w:tcBorders>
              <w:bottom w:val="single" w:sz="4" w:space="0" w:color="auto"/>
            </w:tcBorders>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5</w:t>
            </w:r>
          </w:p>
        </w:tc>
        <w:tc>
          <w:tcPr>
            <w:tcW w:w="486" w:type="pct"/>
            <w:tcBorders>
              <w:bottom w:val="single" w:sz="4" w:space="0" w:color="auto"/>
            </w:tcBorders>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10</w:t>
            </w:r>
          </w:p>
        </w:tc>
        <w:tc>
          <w:tcPr>
            <w:tcW w:w="486" w:type="pct"/>
            <w:tcBorders>
              <w:bottom w:val="single" w:sz="4" w:space="0" w:color="auto"/>
            </w:tcBorders>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15</w:t>
            </w:r>
          </w:p>
        </w:tc>
        <w:tc>
          <w:tcPr>
            <w:tcW w:w="486" w:type="pct"/>
            <w:tcBorders>
              <w:bottom w:val="single" w:sz="4" w:space="0" w:color="auto"/>
            </w:tcBorders>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20</w:t>
            </w:r>
          </w:p>
        </w:tc>
        <w:tc>
          <w:tcPr>
            <w:tcW w:w="486" w:type="pct"/>
            <w:tcBorders>
              <w:bottom w:val="single" w:sz="4" w:space="0" w:color="auto"/>
            </w:tcBorders>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25</w:t>
            </w:r>
          </w:p>
        </w:tc>
        <w:tc>
          <w:tcPr>
            <w:tcW w:w="487" w:type="pct"/>
            <w:tcBorders>
              <w:bottom w:val="single" w:sz="4" w:space="0" w:color="auto"/>
            </w:tcBorders>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30</w:t>
            </w:r>
          </w:p>
        </w:tc>
      </w:tr>
      <w:tr w:rsidR="002B5A16" w:rsidRPr="00EB01F3" w:rsidTr="00EB01F3">
        <w:trPr>
          <w:trHeight w:val="58"/>
          <w:jc w:val="center"/>
        </w:trPr>
        <w:tc>
          <w:tcPr>
            <w:tcW w:w="1598"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Present value of benefits ($m)</w:t>
            </w:r>
          </w:p>
        </w:tc>
        <w:tc>
          <w:tcPr>
            <w:tcW w:w="485" w:type="pct"/>
            <w:tcBorders>
              <w:top w:val="single" w:sz="4" w:space="0" w:color="auto"/>
              <w:left w:val="nil"/>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62.17</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82.14</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97.79</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110.05</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119.65</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127.18</w:t>
            </w:r>
          </w:p>
        </w:tc>
        <w:tc>
          <w:tcPr>
            <w:tcW w:w="487"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133.08</w:t>
            </w:r>
          </w:p>
        </w:tc>
      </w:tr>
      <w:tr w:rsidR="002B5A16" w:rsidRPr="00EB01F3" w:rsidTr="00EB01F3">
        <w:trPr>
          <w:jc w:val="center"/>
        </w:trPr>
        <w:tc>
          <w:tcPr>
            <w:tcW w:w="1598"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Present value of costs ($m)</w:t>
            </w:r>
          </w:p>
        </w:tc>
        <w:tc>
          <w:tcPr>
            <w:tcW w:w="485" w:type="pct"/>
            <w:tcBorders>
              <w:top w:val="single" w:sz="4" w:space="0" w:color="auto"/>
              <w:left w:val="nil"/>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15.25</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15.25</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15.25</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15.25</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15.25</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15.25</w:t>
            </w:r>
          </w:p>
        </w:tc>
        <w:tc>
          <w:tcPr>
            <w:tcW w:w="487"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15.25</w:t>
            </w:r>
          </w:p>
        </w:tc>
      </w:tr>
      <w:tr w:rsidR="002B5A16" w:rsidRPr="00EB01F3" w:rsidTr="00EB01F3">
        <w:trPr>
          <w:jc w:val="center"/>
        </w:trPr>
        <w:tc>
          <w:tcPr>
            <w:tcW w:w="1598"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Net present value ($m)</w:t>
            </w:r>
          </w:p>
        </w:tc>
        <w:tc>
          <w:tcPr>
            <w:tcW w:w="485" w:type="pct"/>
            <w:tcBorders>
              <w:top w:val="single" w:sz="4" w:space="0" w:color="auto"/>
              <w:left w:val="nil"/>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46.92</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66.89</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82.54</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94.80</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104.41</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111.93</w:t>
            </w:r>
          </w:p>
        </w:tc>
        <w:tc>
          <w:tcPr>
            <w:tcW w:w="487"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117.83</w:t>
            </w:r>
          </w:p>
        </w:tc>
      </w:tr>
      <w:tr w:rsidR="002B5A16" w:rsidRPr="00EB01F3" w:rsidTr="00EB01F3">
        <w:trPr>
          <w:jc w:val="center"/>
        </w:trPr>
        <w:tc>
          <w:tcPr>
            <w:tcW w:w="1598"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Benefit-cost ratio</w:t>
            </w:r>
          </w:p>
        </w:tc>
        <w:tc>
          <w:tcPr>
            <w:tcW w:w="485" w:type="pct"/>
            <w:tcBorders>
              <w:top w:val="single" w:sz="4" w:space="0" w:color="auto"/>
              <w:left w:val="nil"/>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4.08</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5.39</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6.41</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7.22</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7.85</w:t>
            </w:r>
          </w:p>
        </w:tc>
        <w:tc>
          <w:tcPr>
            <w:tcW w:w="48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8.34</w:t>
            </w:r>
          </w:p>
        </w:tc>
        <w:tc>
          <w:tcPr>
            <w:tcW w:w="487"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8.73</w:t>
            </w:r>
          </w:p>
        </w:tc>
      </w:tr>
      <w:tr w:rsidR="002B5A16" w:rsidRPr="00EB01F3" w:rsidTr="00EB01F3">
        <w:trPr>
          <w:jc w:val="center"/>
        </w:trPr>
        <w:tc>
          <w:tcPr>
            <w:tcW w:w="1598"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Modified IRR (%)</w:t>
            </w:r>
          </w:p>
        </w:tc>
        <w:tc>
          <w:tcPr>
            <w:tcW w:w="485" w:type="pct"/>
            <w:tcBorders>
              <w:top w:val="single" w:sz="4" w:space="0" w:color="auto"/>
              <w:left w:val="nil"/>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2355.6</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120.1</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60.6</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41.9</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32.8</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27.3</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23.6</w:t>
            </w:r>
          </w:p>
        </w:tc>
      </w:tr>
    </w:tbl>
    <w:p w:rsidR="002B5A16" w:rsidRPr="002C0910" w:rsidRDefault="002B5A16" w:rsidP="002B5A16">
      <w:pPr>
        <w:rPr>
          <w:rFonts w:ascii="Arial" w:hAnsi="Arial" w:cs="Arial"/>
        </w:rPr>
      </w:pPr>
    </w:p>
    <w:p w:rsidR="002B5A16" w:rsidRPr="00AF6856" w:rsidRDefault="002B5A16" w:rsidP="00AF6856">
      <w:pPr>
        <w:pStyle w:val="Caption"/>
        <w:spacing w:after="240"/>
        <w:jc w:val="center"/>
        <w:rPr>
          <w:rFonts w:ascii="Arial" w:hAnsi="Arial"/>
          <w:b w:val="0"/>
          <w:i/>
          <w:color w:val="000000" w:themeColor="text1"/>
          <w:sz w:val="22"/>
          <w:szCs w:val="22"/>
        </w:rPr>
      </w:pPr>
      <w:bookmarkStart w:id="486" w:name="_Toc487091297"/>
      <w:r w:rsidRPr="00AF6856">
        <w:rPr>
          <w:rFonts w:ascii="Arial" w:hAnsi="Arial"/>
          <w:b w:val="0"/>
          <w:sz w:val="22"/>
          <w:szCs w:val="22"/>
        </w:rPr>
        <w:t xml:space="preserve">Table </w:t>
      </w:r>
      <w:r w:rsidR="00913E1D" w:rsidRPr="00EB01F3">
        <w:rPr>
          <w:rFonts w:ascii="Arial" w:hAnsi="Arial"/>
          <w:b w:val="0"/>
          <w:sz w:val="22"/>
          <w:szCs w:val="22"/>
        </w:rPr>
        <w:t>23</w:t>
      </w:r>
      <w:r w:rsidRPr="00EB01F3">
        <w:rPr>
          <w:rFonts w:ascii="Arial" w:hAnsi="Arial"/>
          <w:b w:val="0"/>
          <w:sz w:val="22"/>
          <w:szCs w:val="22"/>
        </w:rPr>
        <w:t>:</w:t>
      </w:r>
      <w:r w:rsidRPr="00AF6856">
        <w:rPr>
          <w:rFonts w:ascii="Arial" w:hAnsi="Arial"/>
          <w:b w:val="0"/>
          <w:sz w:val="22"/>
          <w:szCs w:val="22"/>
        </w:rPr>
        <w:t xml:space="preserve"> </w:t>
      </w:r>
      <w:r w:rsidRPr="00AF6856">
        <w:rPr>
          <w:rFonts w:ascii="Arial" w:hAnsi="Arial"/>
          <w:b w:val="0"/>
          <w:color w:val="000000" w:themeColor="text1"/>
          <w:sz w:val="22"/>
          <w:szCs w:val="22"/>
        </w:rPr>
        <w:t>Investment Criteria for DAF Investment in the Project Cluster</w:t>
      </w:r>
      <w:bookmarkEnd w:id="486"/>
    </w:p>
    <w:tbl>
      <w:tblPr>
        <w:tblStyle w:val="TableGrid"/>
        <w:tblW w:w="5657" w:type="pct"/>
        <w:jc w:val="center"/>
        <w:tblLayout w:type="fixed"/>
        <w:tblLook w:val="04A0" w:firstRow="1" w:lastRow="0" w:firstColumn="1" w:lastColumn="0" w:noHBand="0" w:noVBand="1"/>
      </w:tblPr>
      <w:tblGrid>
        <w:gridCol w:w="3187"/>
        <w:gridCol w:w="967"/>
        <w:gridCol w:w="967"/>
        <w:gridCol w:w="1108"/>
        <w:gridCol w:w="1092"/>
        <w:gridCol w:w="971"/>
        <w:gridCol w:w="971"/>
        <w:gridCol w:w="938"/>
      </w:tblGrid>
      <w:tr w:rsidR="002B5A16" w:rsidRPr="00EB01F3" w:rsidTr="002B5A16">
        <w:trPr>
          <w:jc w:val="center"/>
        </w:trPr>
        <w:tc>
          <w:tcPr>
            <w:tcW w:w="1562" w:type="pct"/>
            <w:vMerge w:val="restart"/>
          </w:tcPr>
          <w:p w:rsidR="002B5A16" w:rsidRPr="00EB01F3" w:rsidRDefault="002B5A16" w:rsidP="002B5A16">
            <w:pPr>
              <w:rPr>
                <w:rFonts w:ascii="Arial" w:hAnsi="Arial" w:cs="Arial"/>
                <w:b/>
                <w:sz w:val="22"/>
                <w:szCs w:val="22"/>
              </w:rPr>
            </w:pPr>
            <w:r w:rsidRPr="00EB01F3">
              <w:rPr>
                <w:rFonts w:ascii="Arial" w:hAnsi="Arial" w:cs="Arial"/>
                <w:b/>
                <w:sz w:val="22"/>
                <w:szCs w:val="22"/>
              </w:rPr>
              <w:t xml:space="preserve">Investment criteria </w:t>
            </w:r>
          </w:p>
        </w:tc>
        <w:tc>
          <w:tcPr>
            <w:tcW w:w="3438" w:type="pct"/>
            <w:gridSpan w:val="7"/>
            <w:tcBorders>
              <w:bottom w:val="single" w:sz="4" w:space="0" w:color="auto"/>
            </w:tcBorders>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 xml:space="preserve">Number of years from year of last investment </w:t>
            </w:r>
          </w:p>
        </w:tc>
      </w:tr>
      <w:tr w:rsidR="002B5A16" w:rsidRPr="00EB01F3" w:rsidTr="002B5A16">
        <w:trPr>
          <w:jc w:val="center"/>
        </w:trPr>
        <w:tc>
          <w:tcPr>
            <w:tcW w:w="1562" w:type="pct"/>
            <w:vMerge/>
          </w:tcPr>
          <w:p w:rsidR="002B5A16" w:rsidRPr="00EB01F3" w:rsidRDefault="002B5A16" w:rsidP="002B5A16">
            <w:pPr>
              <w:rPr>
                <w:rFonts w:ascii="Arial" w:hAnsi="Arial" w:cs="Arial"/>
                <w:sz w:val="22"/>
                <w:szCs w:val="22"/>
              </w:rPr>
            </w:pPr>
          </w:p>
        </w:tc>
        <w:tc>
          <w:tcPr>
            <w:tcW w:w="474"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0</w:t>
            </w:r>
          </w:p>
        </w:tc>
        <w:tc>
          <w:tcPr>
            <w:tcW w:w="474"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5</w:t>
            </w:r>
          </w:p>
        </w:tc>
        <w:tc>
          <w:tcPr>
            <w:tcW w:w="543"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10</w:t>
            </w:r>
          </w:p>
        </w:tc>
        <w:tc>
          <w:tcPr>
            <w:tcW w:w="535"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15</w:t>
            </w:r>
          </w:p>
        </w:tc>
        <w:tc>
          <w:tcPr>
            <w:tcW w:w="476"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20</w:t>
            </w:r>
          </w:p>
        </w:tc>
        <w:tc>
          <w:tcPr>
            <w:tcW w:w="476"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25</w:t>
            </w:r>
          </w:p>
        </w:tc>
        <w:tc>
          <w:tcPr>
            <w:tcW w:w="460"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30</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Present value of benefits ($m)</w:t>
            </w:r>
          </w:p>
        </w:tc>
        <w:tc>
          <w:tcPr>
            <w:tcW w:w="474" w:type="pct"/>
            <w:tcBorders>
              <w:top w:val="single" w:sz="4" w:space="0" w:color="auto"/>
              <w:left w:val="nil"/>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27.16</w:t>
            </w:r>
          </w:p>
        </w:tc>
        <w:tc>
          <w:tcPr>
            <w:tcW w:w="474"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35.89</w:t>
            </w:r>
          </w:p>
        </w:tc>
        <w:tc>
          <w:tcPr>
            <w:tcW w:w="543"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42.73</w:t>
            </w:r>
          </w:p>
        </w:tc>
        <w:tc>
          <w:tcPr>
            <w:tcW w:w="535"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48.08</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52.28</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55.57</w:t>
            </w:r>
          </w:p>
        </w:tc>
        <w:tc>
          <w:tcPr>
            <w:tcW w:w="460"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58.15</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Present value of costs ($m)</w:t>
            </w:r>
          </w:p>
        </w:tc>
        <w:tc>
          <w:tcPr>
            <w:tcW w:w="474" w:type="pct"/>
            <w:tcBorders>
              <w:top w:val="single" w:sz="4" w:space="0" w:color="auto"/>
              <w:left w:val="nil"/>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6.67</w:t>
            </w:r>
          </w:p>
        </w:tc>
        <w:tc>
          <w:tcPr>
            <w:tcW w:w="474"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6.67</w:t>
            </w:r>
          </w:p>
        </w:tc>
        <w:tc>
          <w:tcPr>
            <w:tcW w:w="543"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6.67</w:t>
            </w:r>
          </w:p>
        </w:tc>
        <w:tc>
          <w:tcPr>
            <w:tcW w:w="535"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6.67</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6.67</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6.67</w:t>
            </w:r>
          </w:p>
        </w:tc>
        <w:tc>
          <w:tcPr>
            <w:tcW w:w="460"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6.67</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Net present value ($m)</w:t>
            </w:r>
          </w:p>
        </w:tc>
        <w:tc>
          <w:tcPr>
            <w:tcW w:w="474" w:type="pct"/>
            <w:tcBorders>
              <w:top w:val="single" w:sz="4" w:space="0" w:color="auto"/>
              <w:left w:val="nil"/>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20.50</w:t>
            </w:r>
          </w:p>
        </w:tc>
        <w:tc>
          <w:tcPr>
            <w:tcW w:w="474"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29.22</w:t>
            </w:r>
          </w:p>
        </w:tc>
        <w:tc>
          <w:tcPr>
            <w:tcW w:w="543"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36.06</w:t>
            </w:r>
          </w:p>
        </w:tc>
        <w:tc>
          <w:tcPr>
            <w:tcW w:w="535"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41.42</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45.62</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48.90</w:t>
            </w:r>
          </w:p>
        </w:tc>
        <w:tc>
          <w:tcPr>
            <w:tcW w:w="460"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51.48</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Benefit-cost ratio</w:t>
            </w:r>
          </w:p>
        </w:tc>
        <w:tc>
          <w:tcPr>
            <w:tcW w:w="474" w:type="pct"/>
            <w:tcBorders>
              <w:top w:val="single" w:sz="4" w:space="0" w:color="auto"/>
              <w:left w:val="nil"/>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4.07</w:t>
            </w:r>
          </w:p>
        </w:tc>
        <w:tc>
          <w:tcPr>
            <w:tcW w:w="474"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5.38</w:t>
            </w:r>
          </w:p>
        </w:tc>
        <w:tc>
          <w:tcPr>
            <w:tcW w:w="543"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6.41</w:t>
            </w:r>
          </w:p>
        </w:tc>
        <w:tc>
          <w:tcPr>
            <w:tcW w:w="535"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7.21</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7.84</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8.34</w:t>
            </w:r>
          </w:p>
        </w:tc>
        <w:tc>
          <w:tcPr>
            <w:tcW w:w="460"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pPr>
              <w:jc w:val="right"/>
              <w:rPr>
                <w:rFonts w:ascii="Arial" w:hAnsi="Arial" w:cs="Arial"/>
                <w:sz w:val="22"/>
                <w:szCs w:val="22"/>
              </w:rPr>
            </w:pPr>
            <w:r w:rsidRPr="00EB01F3">
              <w:rPr>
                <w:rFonts w:ascii="Arial" w:hAnsi="Arial" w:cs="Arial"/>
                <w:sz w:val="22"/>
                <w:szCs w:val="22"/>
              </w:rPr>
              <w:t>8.72</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Modified IRR (%)</w:t>
            </w:r>
          </w:p>
        </w:tc>
        <w:tc>
          <w:tcPr>
            <w:tcW w:w="474" w:type="pct"/>
            <w:tcBorders>
              <w:top w:val="single" w:sz="4" w:space="0" w:color="auto"/>
              <w:left w:val="nil"/>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2961.8</w:t>
            </w:r>
          </w:p>
        </w:tc>
        <w:tc>
          <w:tcPr>
            <w:tcW w:w="474"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97.2</w:t>
            </w:r>
          </w:p>
        </w:tc>
        <w:tc>
          <w:tcPr>
            <w:tcW w:w="543"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51.3</w:t>
            </w:r>
          </w:p>
        </w:tc>
        <w:tc>
          <w:tcPr>
            <w:tcW w:w="535"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36.2</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28.7</w:t>
            </w:r>
          </w:p>
        </w:tc>
        <w:tc>
          <w:tcPr>
            <w:tcW w:w="476"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24.1</w:t>
            </w:r>
          </w:p>
        </w:tc>
        <w:tc>
          <w:tcPr>
            <w:tcW w:w="460" w:type="pct"/>
            <w:tcBorders>
              <w:top w:val="single" w:sz="4" w:space="0" w:color="auto"/>
              <w:left w:val="single" w:sz="4" w:space="0" w:color="auto"/>
              <w:bottom w:val="single" w:sz="4" w:space="0" w:color="auto"/>
              <w:right w:val="single" w:sz="4" w:space="0" w:color="auto"/>
            </w:tcBorders>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21.0</w:t>
            </w:r>
          </w:p>
        </w:tc>
      </w:tr>
    </w:tbl>
    <w:p w:rsidR="00AF6856" w:rsidRDefault="00AF6856" w:rsidP="002B5A16">
      <w:pPr>
        <w:pStyle w:val="Caption"/>
        <w:jc w:val="center"/>
        <w:rPr>
          <w:rFonts w:ascii="Arial" w:hAnsi="Arial"/>
          <w:sz w:val="22"/>
          <w:szCs w:val="22"/>
        </w:rPr>
      </w:pPr>
      <w:bookmarkStart w:id="487" w:name="_Toc487091298"/>
    </w:p>
    <w:p w:rsidR="002B5A16" w:rsidRPr="00AF6856" w:rsidRDefault="002B5A16" w:rsidP="00AF6856">
      <w:pPr>
        <w:pStyle w:val="Caption"/>
        <w:spacing w:after="240"/>
        <w:jc w:val="center"/>
        <w:rPr>
          <w:rFonts w:ascii="Arial" w:hAnsi="Arial"/>
          <w:b w:val="0"/>
          <w:i/>
          <w:color w:val="000000" w:themeColor="text1"/>
          <w:sz w:val="22"/>
          <w:szCs w:val="22"/>
        </w:rPr>
      </w:pPr>
      <w:r w:rsidRPr="00AF6856">
        <w:rPr>
          <w:rFonts w:ascii="Arial" w:hAnsi="Arial"/>
          <w:b w:val="0"/>
          <w:sz w:val="22"/>
          <w:szCs w:val="22"/>
        </w:rPr>
        <w:t xml:space="preserve">Table </w:t>
      </w:r>
      <w:r w:rsidR="00913E1D" w:rsidRPr="00EB01F3">
        <w:rPr>
          <w:rFonts w:ascii="Arial" w:hAnsi="Arial"/>
          <w:b w:val="0"/>
          <w:sz w:val="22"/>
          <w:szCs w:val="22"/>
        </w:rPr>
        <w:t>24</w:t>
      </w:r>
      <w:r w:rsidRPr="00EB01F3">
        <w:rPr>
          <w:rFonts w:ascii="Arial" w:hAnsi="Arial"/>
          <w:b w:val="0"/>
          <w:sz w:val="22"/>
          <w:szCs w:val="22"/>
        </w:rPr>
        <w:t>:</w:t>
      </w:r>
      <w:r w:rsidRPr="00AF6856">
        <w:rPr>
          <w:rFonts w:ascii="Arial" w:hAnsi="Arial"/>
          <w:b w:val="0"/>
          <w:sz w:val="22"/>
          <w:szCs w:val="22"/>
        </w:rPr>
        <w:t xml:space="preserve"> </w:t>
      </w:r>
      <w:r w:rsidRPr="00AF6856">
        <w:rPr>
          <w:rFonts w:ascii="Arial" w:hAnsi="Arial"/>
          <w:b w:val="0"/>
          <w:color w:val="000000" w:themeColor="text1"/>
          <w:sz w:val="22"/>
          <w:szCs w:val="22"/>
        </w:rPr>
        <w:t>Investment Criteria for Hort</w:t>
      </w:r>
      <w:r w:rsidR="00EB01F3">
        <w:rPr>
          <w:rFonts w:ascii="Arial" w:hAnsi="Arial"/>
          <w:b w:val="0"/>
          <w:color w:val="000000" w:themeColor="text1"/>
          <w:sz w:val="22"/>
          <w:szCs w:val="22"/>
        </w:rPr>
        <w:t>.</w:t>
      </w:r>
      <w:r w:rsidRPr="00AF6856">
        <w:rPr>
          <w:rFonts w:ascii="Arial" w:hAnsi="Arial"/>
          <w:b w:val="0"/>
          <w:color w:val="000000" w:themeColor="text1"/>
          <w:sz w:val="22"/>
          <w:szCs w:val="22"/>
        </w:rPr>
        <w:t xml:space="preserve"> Innovation Investment in the Project Cluster</w:t>
      </w:r>
      <w:bookmarkEnd w:id="487"/>
    </w:p>
    <w:tbl>
      <w:tblPr>
        <w:tblStyle w:val="TableGrid"/>
        <w:tblW w:w="5657" w:type="pct"/>
        <w:jc w:val="center"/>
        <w:tblLayout w:type="fixed"/>
        <w:tblLook w:val="04A0" w:firstRow="1" w:lastRow="0" w:firstColumn="1" w:lastColumn="0" w:noHBand="0" w:noVBand="1"/>
      </w:tblPr>
      <w:tblGrid>
        <w:gridCol w:w="3187"/>
        <w:gridCol w:w="967"/>
        <w:gridCol w:w="967"/>
        <w:gridCol w:w="1108"/>
        <w:gridCol w:w="1087"/>
        <w:gridCol w:w="971"/>
        <w:gridCol w:w="971"/>
        <w:gridCol w:w="943"/>
      </w:tblGrid>
      <w:tr w:rsidR="002B5A16" w:rsidRPr="00EB01F3" w:rsidTr="002B5A16">
        <w:trPr>
          <w:jc w:val="center"/>
        </w:trPr>
        <w:tc>
          <w:tcPr>
            <w:tcW w:w="1562" w:type="pct"/>
            <w:vMerge w:val="restart"/>
          </w:tcPr>
          <w:p w:rsidR="002B5A16" w:rsidRPr="00EB01F3" w:rsidRDefault="002B5A16" w:rsidP="002B5A16">
            <w:pPr>
              <w:rPr>
                <w:rFonts w:ascii="Arial" w:hAnsi="Arial" w:cs="Arial"/>
                <w:b/>
                <w:sz w:val="22"/>
                <w:szCs w:val="22"/>
              </w:rPr>
            </w:pPr>
            <w:r w:rsidRPr="00EB01F3">
              <w:rPr>
                <w:rFonts w:ascii="Arial" w:hAnsi="Arial" w:cs="Arial"/>
                <w:b/>
                <w:sz w:val="22"/>
                <w:szCs w:val="22"/>
              </w:rPr>
              <w:t xml:space="preserve">Investment criteria </w:t>
            </w:r>
          </w:p>
        </w:tc>
        <w:tc>
          <w:tcPr>
            <w:tcW w:w="3438" w:type="pct"/>
            <w:gridSpan w:val="7"/>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 xml:space="preserve">Number of years from year of last investment </w:t>
            </w:r>
          </w:p>
        </w:tc>
      </w:tr>
      <w:tr w:rsidR="002B5A16" w:rsidRPr="00EB01F3" w:rsidTr="002B5A16">
        <w:trPr>
          <w:jc w:val="center"/>
        </w:trPr>
        <w:tc>
          <w:tcPr>
            <w:tcW w:w="1562" w:type="pct"/>
            <w:vMerge/>
          </w:tcPr>
          <w:p w:rsidR="002B5A16" w:rsidRPr="00EB01F3" w:rsidRDefault="002B5A16" w:rsidP="002B5A16">
            <w:pPr>
              <w:rPr>
                <w:rFonts w:ascii="Arial" w:hAnsi="Arial" w:cs="Arial"/>
                <w:sz w:val="22"/>
                <w:szCs w:val="22"/>
              </w:rPr>
            </w:pPr>
          </w:p>
        </w:tc>
        <w:tc>
          <w:tcPr>
            <w:tcW w:w="474"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0</w:t>
            </w:r>
          </w:p>
        </w:tc>
        <w:tc>
          <w:tcPr>
            <w:tcW w:w="474"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5</w:t>
            </w:r>
          </w:p>
        </w:tc>
        <w:tc>
          <w:tcPr>
            <w:tcW w:w="543"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10</w:t>
            </w:r>
          </w:p>
        </w:tc>
        <w:tc>
          <w:tcPr>
            <w:tcW w:w="533"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15</w:t>
            </w:r>
          </w:p>
        </w:tc>
        <w:tc>
          <w:tcPr>
            <w:tcW w:w="476"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20</w:t>
            </w:r>
          </w:p>
        </w:tc>
        <w:tc>
          <w:tcPr>
            <w:tcW w:w="476"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25</w:t>
            </w:r>
          </w:p>
        </w:tc>
        <w:tc>
          <w:tcPr>
            <w:tcW w:w="462" w:type="pct"/>
          </w:tcPr>
          <w:p w:rsidR="002B5A16" w:rsidRPr="00EB01F3" w:rsidRDefault="002B5A16" w:rsidP="002B5A16">
            <w:pPr>
              <w:jc w:val="center"/>
              <w:rPr>
                <w:rFonts w:ascii="Arial" w:hAnsi="Arial" w:cs="Arial"/>
                <w:b/>
                <w:sz w:val="22"/>
                <w:szCs w:val="22"/>
              </w:rPr>
            </w:pPr>
            <w:r w:rsidRPr="00EB01F3">
              <w:rPr>
                <w:rFonts w:ascii="Arial" w:hAnsi="Arial" w:cs="Arial"/>
                <w:b/>
                <w:sz w:val="22"/>
                <w:szCs w:val="22"/>
              </w:rPr>
              <w:t>30</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Present value of benefits ($m)</w:t>
            </w:r>
          </w:p>
        </w:tc>
        <w:tc>
          <w:tcPr>
            <w:tcW w:w="474" w:type="pct"/>
            <w:tcBorders>
              <w:top w:val="single" w:sz="4" w:space="0" w:color="auto"/>
              <w:left w:val="single" w:sz="4" w:space="0" w:color="auto"/>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21.14</w:t>
            </w:r>
          </w:p>
        </w:tc>
        <w:tc>
          <w:tcPr>
            <w:tcW w:w="474" w:type="pct"/>
            <w:tcBorders>
              <w:top w:val="single" w:sz="4" w:space="0" w:color="auto"/>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27.93</w:t>
            </w:r>
          </w:p>
        </w:tc>
        <w:tc>
          <w:tcPr>
            <w:tcW w:w="543" w:type="pct"/>
            <w:tcBorders>
              <w:top w:val="single" w:sz="4" w:space="0" w:color="auto"/>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33.25</w:t>
            </w:r>
          </w:p>
        </w:tc>
        <w:tc>
          <w:tcPr>
            <w:tcW w:w="533" w:type="pct"/>
            <w:tcBorders>
              <w:top w:val="single" w:sz="4" w:space="0" w:color="auto"/>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37.42</w:t>
            </w:r>
          </w:p>
        </w:tc>
        <w:tc>
          <w:tcPr>
            <w:tcW w:w="476" w:type="pct"/>
            <w:tcBorders>
              <w:top w:val="single" w:sz="4" w:space="0" w:color="auto"/>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40.68</w:t>
            </w:r>
          </w:p>
        </w:tc>
        <w:tc>
          <w:tcPr>
            <w:tcW w:w="476" w:type="pct"/>
            <w:tcBorders>
              <w:top w:val="single" w:sz="4" w:space="0" w:color="auto"/>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43.24</w:t>
            </w:r>
          </w:p>
        </w:tc>
        <w:tc>
          <w:tcPr>
            <w:tcW w:w="462" w:type="pct"/>
            <w:tcBorders>
              <w:top w:val="single" w:sz="4" w:space="0" w:color="auto"/>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45.25</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Present value of costs ($m)</w:t>
            </w:r>
          </w:p>
        </w:tc>
        <w:tc>
          <w:tcPr>
            <w:tcW w:w="474" w:type="pct"/>
            <w:tcBorders>
              <w:top w:val="nil"/>
              <w:left w:val="single" w:sz="4" w:space="0" w:color="auto"/>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5.18</w:t>
            </w:r>
          </w:p>
        </w:tc>
        <w:tc>
          <w:tcPr>
            <w:tcW w:w="474"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5.18</w:t>
            </w:r>
          </w:p>
        </w:tc>
        <w:tc>
          <w:tcPr>
            <w:tcW w:w="543"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5.18</w:t>
            </w:r>
          </w:p>
        </w:tc>
        <w:tc>
          <w:tcPr>
            <w:tcW w:w="533"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5.18</w:t>
            </w:r>
          </w:p>
        </w:tc>
        <w:tc>
          <w:tcPr>
            <w:tcW w:w="476"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5.18</w:t>
            </w:r>
          </w:p>
        </w:tc>
        <w:tc>
          <w:tcPr>
            <w:tcW w:w="476"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5.18</w:t>
            </w:r>
          </w:p>
        </w:tc>
        <w:tc>
          <w:tcPr>
            <w:tcW w:w="462"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5.18</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Net present value ($m)</w:t>
            </w:r>
          </w:p>
        </w:tc>
        <w:tc>
          <w:tcPr>
            <w:tcW w:w="474" w:type="pct"/>
            <w:tcBorders>
              <w:top w:val="nil"/>
              <w:left w:val="single" w:sz="4" w:space="0" w:color="auto"/>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15.95</w:t>
            </w:r>
          </w:p>
        </w:tc>
        <w:tc>
          <w:tcPr>
            <w:tcW w:w="474"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22.74</w:t>
            </w:r>
          </w:p>
        </w:tc>
        <w:tc>
          <w:tcPr>
            <w:tcW w:w="543"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28.06</w:t>
            </w:r>
          </w:p>
        </w:tc>
        <w:tc>
          <w:tcPr>
            <w:tcW w:w="533"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32.23</w:t>
            </w:r>
          </w:p>
        </w:tc>
        <w:tc>
          <w:tcPr>
            <w:tcW w:w="476"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35.50</w:t>
            </w:r>
          </w:p>
        </w:tc>
        <w:tc>
          <w:tcPr>
            <w:tcW w:w="476"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38.06</w:t>
            </w:r>
          </w:p>
        </w:tc>
        <w:tc>
          <w:tcPr>
            <w:tcW w:w="462"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40.06</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Benefit-cost ratio</w:t>
            </w:r>
          </w:p>
        </w:tc>
        <w:tc>
          <w:tcPr>
            <w:tcW w:w="474" w:type="pct"/>
            <w:tcBorders>
              <w:top w:val="nil"/>
              <w:left w:val="single" w:sz="4" w:space="0" w:color="auto"/>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4.08</w:t>
            </w:r>
          </w:p>
        </w:tc>
        <w:tc>
          <w:tcPr>
            <w:tcW w:w="474"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5.39</w:t>
            </w:r>
          </w:p>
        </w:tc>
        <w:tc>
          <w:tcPr>
            <w:tcW w:w="543"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6.41</w:t>
            </w:r>
          </w:p>
        </w:tc>
        <w:tc>
          <w:tcPr>
            <w:tcW w:w="533"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7.22</w:t>
            </w:r>
          </w:p>
        </w:tc>
        <w:tc>
          <w:tcPr>
            <w:tcW w:w="476"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7.85</w:t>
            </w:r>
          </w:p>
        </w:tc>
        <w:tc>
          <w:tcPr>
            <w:tcW w:w="476"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8.34</w:t>
            </w:r>
          </w:p>
        </w:tc>
        <w:tc>
          <w:tcPr>
            <w:tcW w:w="462" w:type="pct"/>
            <w:tcBorders>
              <w:top w:val="nil"/>
              <w:left w:val="nil"/>
              <w:bottom w:val="single" w:sz="4" w:space="0" w:color="auto"/>
              <w:right w:val="single" w:sz="4" w:space="0" w:color="auto"/>
            </w:tcBorders>
            <w:shd w:val="clear" w:color="auto" w:fill="auto"/>
            <w:vAlign w:val="bottom"/>
          </w:tcPr>
          <w:p w:rsidR="002B5A16" w:rsidRPr="00EB01F3" w:rsidRDefault="002B5A16">
            <w:pPr>
              <w:jc w:val="right"/>
              <w:rPr>
                <w:rFonts w:ascii="Arial" w:hAnsi="Arial" w:cs="Arial"/>
                <w:sz w:val="22"/>
                <w:szCs w:val="22"/>
              </w:rPr>
            </w:pPr>
            <w:r w:rsidRPr="00EB01F3">
              <w:rPr>
                <w:rFonts w:ascii="Arial" w:hAnsi="Arial" w:cs="Arial"/>
                <w:sz w:val="22"/>
                <w:szCs w:val="22"/>
              </w:rPr>
              <w:t>8.73</w:t>
            </w:r>
          </w:p>
        </w:tc>
      </w:tr>
      <w:tr w:rsidR="002B5A16" w:rsidRPr="00EB01F3" w:rsidTr="002B5A16">
        <w:trPr>
          <w:jc w:val="center"/>
        </w:trPr>
        <w:tc>
          <w:tcPr>
            <w:tcW w:w="1562" w:type="pct"/>
          </w:tcPr>
          <w:p w:rsidR="002B5A16" w:rsidRPr="00EB01F3" w:rsidRDefault="002B5A16" w:rsidP="002B5A16">
            <w:pPr>
              <w:widowControl w:val="0"/>
              <w:rPr>
                <w:rFonts w:ascii="Arial" w:hAnsi="Arial" w:cs="Arial"/>
                <w:sz w:val="22"/>
                <w:szCs w:val="22"/>
              </w:rPr>
            </w:pPr>
            <w:r w:rsidRPr="00EB01F3">
              <w:rPr>
                <w:rFonts w:ascii="Arial" w:hAnsi="Arial" w:cs="Arial"/>
                <w:sz w:val="22"/>
                <w:szCs w:val="22"/>
              </w:rPr>
              <w:t>Modified IRR (%)</w:t>
            </w:r>
          </w:p>
        </w:tc>
        <w:tc>
          <w:tcPr>
            <w:tcW w:w="474" w:type="pct"/>
            <w:tcBorders>
              <w:top w:val="single" w:sz="4" w:space="0" w:color="auto"/>
              <w:left w:val="nil"/>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2355.6</w:t>
            </w:r>
          </w:p>
        </w:tc>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120.1</w:t>
            </w:r>
          </w:p>
        </w:tc>
        <w:tc>
          <w:tcPr>
            <w:tcW w:w="5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60.6</w:t>
            </w:r>
          </w:p>
        </w:tc>
        <w:tc>
          <w:tcPr>
            <w:tcW w:w="5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41.9</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32.8</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27.3</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B5A16" w:rsidRPr="00EB01F3" w:rsidRDefault="002B5A16" w:rsidP="002B5A16">
            <w:pPr>
              <w:jc w:val="right"/>
              <w:rPr>
                <w:rFonts w:ascii="Arial" w:hAnsi="Arial" w:cs="Arial"/>
                <w:sz w:val="22"/>
                <w:szCs w:val="22"/>
              </w:rPr>
            </w:pPr>
            <w:r w:rsidRPr="00EB01F3">
              <w:rPr>
                <w:rFonts w:ascii="Arial" w:hAnsi="Arial" w:cs="Arial"/>
                <w:sz w:val="22"/>
                <w:szCs w:val="22"/>
              </w:rPr>
              <w:t>23.6</w:t>
            </w:r>
          </w:p>
        </w:tc>
      </w:tr>
    </w:tbl>
    <w:p w:rsidR="002B5A16" w:rsidRPr="00AF6856" w:rsidRDefault="002B5A16" w:rsidP="00AF6856">
      <w:pPr>
        <w:pStyle w:val="Caption"/>
        <w:spacing w:after="240"/>
        <w:jc w:val="center"/>
        <w:rPr>
          <w:rFonts w:ascii="Arial" w:hAnsi="Arial"/>
          <w:b w:val="0"/>
          <w:color w:val="000000" w:themeColor="text1"/>
          <w:sz w:val="22"/>
          <w:szCs w:val="22"/>
        </w:rPr>
      </w:pPr>
    </w:p>
    <w:p w:rsidR="002B5A16" w:rsidRDefault="002B5A16" w:rsidP="00AF6856">
      <w:pPr>
        <w:spacing w:after="240"/>
        <w:rPr>
          <w:rFonts w:ascii="Arial" w:hAnsi="Arial" w:cs="Arial"/>
        </w:rPr>
      </w:pPr>
      <w:r w:rsidRPr="006C069D">
        <w:rPr>
          <w:rFonts w:ascii="Arial" w:hAnsi="Arial" w:cs="Arial"/>
        </w:rPr>
        <w:t xml:space="preserve">The annual undiscounted benefit and cost cash flows for the total investment for the duration of investment period plus 30 years from the last year of investment are shown in Figure </w:t>
      </w:r>
      <w:r>
        <w:rPr>
          <w:rFonts w:ascii="Arial" w:hAnsi="Arial" w:cs="Arial"/>
        </w:rPr>
        <w:t>1</w:t>
      </w:r>
      <w:r w:rsidRPr="006C069D">
        <w:rPr>
          <w:rFonts w:ascii="Arial" w:hAnsi="Arial" w:cs="Arial"/>
        </w:rPr>
        <w:t xml:space="preserve">. </w:t>
      </w:r>
    </w:p>
    <w:p w:rsidR="00EB01F3" w:rsidRDefault="00EB01F3" w:rsidP="00AF6856">
      <w:pPr>
        <w:spacing w:after="240"/>
        <w:rPr>
          <w:rFonts w:ascii="Arial" w:hAnsi="Arial" w:cs="Arial"/>
        </w:rPr>
      </w:pPr>
    </w:p>
    <w:p w:rsidR="00EB01F3" w:rsidRDefault="00EB01F3" w:rsidP="00AF6856">
      <w:pPr>
        <w:spacing w:after="240"/>
        <w:rPr>
          <w:rFonts w:ascii="Arial" w:hAnsi="Arial" w:cs="Arial"/>
        </w:rPr>
      </w:pPr>
    </w:p>
    <w:p w:rsidR="00EB01F3" w:rsidRDefault="00EB01F3" w:rsidP="00AF6856">
      <w:pPr>
        <w:spacing w:after="240"/>
        <w:rPr>
          <w:rFonts w:ascii="Arial" w:hAnsi="Arial" w:cs="Arial"/>
        </w:rPr>
      </w:pPr>
    </w:p>
    <w:p w:rsidR="002B5A16" w:rsidRPr="00AF6856" w:rsidRDefault="002B5A16" w:rsidP="00AF6856">
      <w:pPr>
        <w:pStyle w:val="Caption"/>
        <w:spacing w:after="240"/>
        <w:jc w:val="center"/>
        <w:rPr>
          <w:rFonts w:ascii="Arial" w:hAnsi="Arial"/>
          <w:b w:val="0"/>
          <w:i/>
          <w:color w:val="000000" w:themeColor="text1"/>
          <w:sz w:val="22"/>
          <w:szCs w:val="22"/>
        </w:rPr>
      </w:pPr>
      <w:bookmarkStart w:id="488" w:name="_Toc487091310"/>
      <w:r w:rsidRPr="00AF6856">
        <w:rPr>
          <w:rFonts w:ascii="Arial" w:hAnsi="Arial"/>
          <w:b w:val="0"/>
          <w:sz w:val="22"/>
          <w:szCs w:val="22"/>
        </w:rPr>
        <w:t xml:space="preserve">Figure </w:t>
      </w:r>
      <w:r w:rsidR="00913E1D" w:rsidRPr="00EB01F3">
        <w:rPr>
          <w:rFonts w:ascii="Arial" w:hAnsi="Arial"/>
          <w:b w:val="0"/>
          <w:sz w:val="22"/>
          <w:szCs w:val="22"/>
        </w:rPr>
        <w:t>1</w:t>
      </w:r>
      <w:r w:rsidRPr="00AF6856">
        <w:rPr>
          <w:rFonts w:ascii="Arial" w:hAnsi="Arial"/>
          <w:b w:val="0"/>
          <w:sz w:val="22"/>
          <w:szCs w:val="22"/>
        </w:rPr>
        <w:t xml:space="preserve">: </w:t>
      </w:r>
      <w:r w:rsidRPr="00AF6856">
        <w:rPr>
          <w:rFonts w:ascii="Arial" w:hAnsi="Arial"/>
          <w:b w:val="0"/>
          <w:color w:val="000000" w:themeColor="text1"/>
          <w:sz w:val="22"/>
          <w:szCs w:val="22"/>
        </w:rPr>
        <w:t>Annual Cash Flow of Undiscounted Total Benefits and Total Costs</w:t>
      </w:r>
      <w:bookmarkEnd w:id="488"/>
    </w:p>
    <w:p w:rsidR="002B5A16" w:rsidRDefault="002B5A16" w:rsidP="00AF6856">
      <w:pPr>
        <w:jc w:val="center"/>
        <w:rPr>
          <w:rFonts w:ascii="Arial" w:hAnsi="Arial"/>
          <w:i/>
          <w:color w:val="FF0000"/>
          <w:szCs w:val="22"/>
        </w:rPr>
      </w:pPr>
      <w:r>
        <w:rPr>
          <w:noProof/>
          <w:lang w:eastAsia="en-AU"/>
        </w:rPr>
        <w:drawing>
          <wp:inline distT="0" distB="0" distL="0" distR="0" wp14:anchorId="0942DB1B" wp14:editId="64DC4165">
            <wp:extent cx="5739308" cy="3169285"/>
            <wp:effectExtent l="0" t="0" r="13970" b="12065"/>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B5A16" w:rsidRPr="00D50C47" w:rsidRDefault="002B5A16" w:rsidP="00F712CF">
      <w:pPr>
        <w:spacing w:before="240" w:after="240"/>
        <w:rPr>
          <w:rFonts w:ascii="Arial" w:hAnsi="Arial" w:cs="Arial"/>
          <w:b/>
          <w:sz w:val="24"/>
        </w:rPr>
      </w:pPr>
      <w:r w:rsidRPr="00D50C47">
        <w:rPr>
          <w:rFonts w:ascii="Arial" w:hAnsi="Arial" w:cs="Arial"/>
          <w:b/>
          <w:sz w:val="24"/>
        </w:rPr>
        <w:t>Sources of Benefits</w:t>
      </w:r>
      <w:r>
        <w:rPr>
          <w:rFonts w:ascii="Arial" w:hAnsi="Arial" w:cs="Arial"/>
          <w:b/>
          <w:sz w:val="24"/>
        </w:rPr>
        <w:t xml:space="preserve"> for Base Counterfactual </w:t>
      </w:r>
    </w:p>
    <w:p w:rsidR="002B5A16" w:rsidRPr="00D50C47" w:rsidRDefault="002B5A16" w:rsidP="00AF6856">
      <w:pPr>
        <w:spacing w:after="240"/>
        <w:rPr>
          <w:rFonts w:ascii="Arial" w:hAnsi="Arial" w:cs="Arial"/>
        </w:rPr>
      </w:pPr>
      <w:r w:rsidRPr="00D50C47">
        <w:rPr>
          <w:rFonts w:ascii="Arial" w:hAnsi="Arial" w:cs="Arial"/>
        </w:rPr>
        <w:t>Estimates of the relative contribution</w:t>
      </w:r>
      <w:r>
        <w:rPr>
          <w:rFonts w:ascii="Arial" w:hAnsi="Arial" w:cs="Arial"/>
        </w:rPr>
        <w:t xml:space="preserve"> of each benefit valued,</w:t>
      </w:r>
      <w:r w:rsidRPr="00D50C47">
        <w:rPr>
          <w:rFonts w:ascii="Arial" w:hAnsi="Arial" w:cs="Arial"/>
        </w:rPr>
        <w:t xml:space="preserve"> given the assumptions made</w:t>
      </w:r>
      <w:r>
        <w:rPr>
          <w:rFonts w:ascii="Arial" w:hAnsi="Arial" w:cs="Arial"/>
        </w:rPr>
        <w:t>,</w:t>
      </w:r>
      <w:r w:rsidRPr="00D50C47">
        <w:rPr>
          <w:rFonts w:ascii="Arial" w:hAnsi="Arial" w:cs="Arial"/>
        </w:rPr>
        <w:t xml:space="preserve"> are shown in Table </w:t>
      </w:r>
      <w:r>
        <w:rPr>
          <w:rFonts w:ascii="Arial" w:hAnsi="Arial" w:cs="Arial"/>
        </w:rPr>
        <w:t>25</w:t>
      </w:r>
      <w:r w:rsidRPr="00D50C47">
        <w:rPr>
          <w:rFonts w:ascii="Arial" w:hAnsi="Arial" w:cs="Arial"/>
        </w:rPr>
        <w:t>.</w:t>
      </w:r>
    </w:p>
    <w:p w:rsidR="002B5A16" w:rsidRPr="00AF6856" w:rsidRDefault="002B5A16" w:rsidP="00AF6856">
      <w:pPr>
        <w:pStyle w:val="Caption"/>
        <w:spacing w:after="240"/>
        <w:jc w:val="center"/>
        <w:rPr>
          <w:rFonts w:ascii="Arial" w:hAnsi="Arial"/>
          <w:b w:val="0"/>
          <w:i/>
          <w:color w:val="000000" w:themeColor="text1"/>
          <w:sz w:val="22"/>
          <w:szCs w:val="22"/>
        </w:rPr>
      </w:pPr>
      <w:bookmarkStart w:id="489" w:name="_Toc475102791"/>
      <w:bookmarkStart w:id="490" w:name="_Toc476387755"/>
      <w:bookmarkStart w:id="491" w:name="_Toc487091299"/>
      <w:r w:rsidRPr="00AF6856">
        <w:rPr>
          <w:rFonts w:ascii="Arial" w:hAnsi="Arial"/>
          <w:b w:val="0"/>
          <w:sz w:val="22"/>
          <w:szCs w:val="22"/>
        </w:rPr>
        <w:t xml:space="preserve">Table </w:t>
      </w:r>
      <w:r w:rsidR="00913E1D">
        <w:rPr>
          <w:rFonts w:ascii="Arial" w:hAnsi="Arial"/>
          <w:b w:val="0"/>
          <w:i/>
          <w:sz w:val="22"/>
          <w:szCs w:val="22"/>
        </w:rPr>
        <w:t>25</w:t>
      </w:r>
      <w:r w:rsidRPr="00AF6856">
        <w:rPr>
          <w:rFonts w:ascii="Arial" w:hAnsi="Arial"/>
          <w:b w:val="0"/>
          <w:sz w:val="22"/>
          <w:szCs w:val="22"/>
        </w:rPr>
        <w:t xml:space="preserve">: </w:t>
      </w:r>
      <w:r w:rsidRPr="00AF6856">
        <w:rPr>
          <w:rFonts w:ascii="Arial" w:hAnsi="Arial"/>
          <w:b w:val="0"/>
          <w:color w:val="000000" w:themeColor="text1"/>
          <w:sz w:val="22"/>
          <w:szCs w:val="22"/>
        </w:rPr>
        <w:t>Contribution to Total Benefits from Each Source</w:t>
      </w:r>
      <w:bookmarkEnd w:id="489"/>
      <w:bookmarkEnd w:id="490"/>
      <w:bookmarkEnd w:id="491"/>
    </w:p>
    <w:tbl>
      <w:tblPr>
        <w:tblStyle w:val="TableGrid"/>
        <w:tblW w:w="9209" w:type="dxa"/>
        <w:jc w:val="center"/>
        <w:tblLook w:val="04A0" w:firstRow="1" w:lastRow="0" w:firstColumn="1" w:lastColumn="0" w:noHBand="0" w:noVBand="1"/>
      </w:tblPr>
      <w:tblGrid>
        <w:gridCol w:w="5382"/>
        <w:gridCol w:w="2126"/>
        <w:gridCol w:w="1701"/>
      </w:tblGrid>
      <w:tr w:rsidR="002B5A16" w:rsidRPr="0097461E" w:rsidTr="002B5A16">
        <w:trPr>
          <w:jc w:val="center"/>
        </w:trPr>
        <w:tc>
          <w:tcPr>
            <w:tcW w:w="5382" w:type="dxa"/>
          </w:tcPr>
          <w:p w:rsidR="002B5A16" w:rsidRPr="0097461E" w:rsidRDefault="002B5A16" w:rsidP="002B5A16">
            <w:pPr>
              <w:rPr>
                <w:rFonts w:ascii="Arial" w:hAnsi="Arial" w:cs="Arial"/>
                <w:b/>
                <w:sz w:val="22"/>
                <w:szCs w:val="22"/>
              </w:rPr>
            </w:pPr>
            <w:r w:rsidRPr="0097461E">
              <w:rPr>
                <w:rFonts w:ascii="Arial" w:hAnsi="Arial" w:cs="Arial"/>
                <w:b/>
                <w:sz w:val="22"/>
                <w:szCs w:val="22"/>
              </w:rPr>
              <w:t>Source of Benefits</w:t>
            </w:r>
          </w:p>
        </w:tc>
        <w:tc>
          <w:tcPr>
            <w:tcW w:w="2126" w:type="dxa"/>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Contribution to PVB ($m)</w:t>
            </w:r>
          </w:p>
        </w:tc>
        <w:tc>
          <w:tcPr>
            <w:tcW w:w="1701" w:type="dxa"/>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Share of benefits (%)</w:t>
            </w:r>
          </w:p>
        </w:tc>
      </w:tr>
      <w:tr w:rsidR="002B5A16" w:rsidRPr="0097461E" w:rsidTr="002B5A16">
        <w:trPr>
          <w:jc w:val="center"/>
        </w:trPr>
        <w:tc>
          <w:tcPr>
            <w:tcW w:w="5382" w:type="dxa"/>
          </w:tcPr>
          <w:p w:rsidR="002B5A16" w:rsidRPr="0097461E" w:rsidRDefault="002B5A16" w:rsidP="002B5A16">
            <w:pPr>
              <w:rPr>
                <w:rFonts w:ascii="Arial" w:hAnsi="Arial" w:cs="Arial"/>
                <w:sz w:val="22"/>
                <w:szCs w:val="22"/>
              </w:rPr>
            </w:pPr>
            <w:r w:rsidRPr="0097461E">
              <w:rPr>
                <w:rFonts w:ascii="Arial" w:hAnsi="Arial" w:cs="Arial"/>
                <w:sz w:val="22"/>
                <w:szCs w:val="22"/>
              </w:rPr>
              <w:t xml:space="preserve">Increased average yields (Benefit 1) </w:t>
            </w:r>
          </w:p>
        </w:tc>
        <w:tc>
          <w:tcPr>
            <w:tcW w:w="2126" w:type="dxa"/>
            <w:vAlign w:val="bottom"/>
          </w:tcPr>
          <w:p w:rsidR="002B5A16" w:rsidRPr="0097461E" w:rsidRDefault="002B5A16" w:rsidP="0097461E">
            <w:pPr>
              <w:ind w:right="37"/>
              <w:jc w:val="right"/>
              <w:rPr>
                <w:rFonts w:ascii="Arial" w:hAnsi="Arial" w:cs="Arial"/>
                <w:sz w:val="22"/>
                <w:szCs w:val="22"/>
              </w:rPr>
            </w:pPr>
            <w:r w:rsidRPr="0097461E">
              <w:rPr>
                <w:rFonts w:ascii="Arial" w:hAnsi="Arial" w:cs="Arial"/>
                <w:sz w:val="22"/>
                <w:szCs w:val="22"/>
              </w:rPr>
              <w:t>127.55</w:t>
            </w:r>
          </w:p>
        </w:tc>
        <w:tc>
          <w:tcPr>
            <w:tcW w:w="1701" w:type="dxa"/>
            <w:vAlign w:val="bottom"/>
          </w:tcPr>
          <w:p w:rsidR="002B5A16" w:rsidRPr="0097461E" w:rsidRDefault="002B5A16" w:rsidP="0097461E">
            <w:pPr>
              <w:ind w:right="28"/>
              <w:jc w:val="right"/>
              <w:rPr>
                <w:rFonts w:ascii="Arial" w:hAnsi="Arial" w:cs="Arial"/>
                <w:sz w:val="22"/>
                <w:szCs w:val="22"/>
              </w:rPr>
            </w:pPr>
            <w:r w:rsidRPr="0097461E">
              <w:rPr>
                <w:rFonts w:ascii="Arial" w:hAnsi="Arial" w:cs="Arial"/>
                <w:sz w:val="22"/>
                <w:szCs w:val="22"/>
              </w:rPr>
              <w:t>95.8</w:t>
            </w:r>
          </w:p>
        </w:tc>
      </w:tr>
      <w:tr w:rsidR="002B5A16" w:rsidRPr="0097461E" w:rsidTr="002B5A16">
        <w:trPr>
          <w:jc w:val="center"/>
        </w:trPr>
        <w:tc>
          <w:tcPr>
            <w:tcW w:w="5382" w:type="dxa"/>
          </w:tcPr>
          <w:p w:rsidR="002B5A16" w:rsidRPr="0097461E" w:rsidRDefault="002B5A16" w:rsidP="002B5A16">
            <w:pPr>
              <w:rPr>
                <w:rFonts w:ascii="Arial" w:hAnsi="Arial" w:cs="Arial"/>
                <w:sz w:val="22"/>
                <w:szCs w:val="22"/>
              </w:rPr>
            </w:pPr>
            <w:r w:rsidRPr="0097461E">
              <w:rPr>
                <w:rFonts w:ascii="Arial" w:hAnsi="Arial" w:cs="Arial"/>
                <w:sz w:val="22"/>
                <w:szCs w:val="22"/>
              </w:rPr>
              <w:t xml:space="preserve">Increased profitability (Benefit 2)  </w:t>
            </w:r>
          </w:p>
        </w:tc>
        <w:tc>
          <w:tcPr>
            <w:tcW w:w="2126" w:type="dxa"/>
            <w:vAlign w:val="bottom"/>
          </w:tcPr>
          <w:p w:rsidR="002B5A16" w:rsidRPr="0097461E" w:rsidRDefault="002B5A16" w:rsidP="0097461E">
            <w:pPr>
              <w:ind w:right="37"/>
              <w:jc w:val="right"/>
              <w:rPr>
                <w:rFonts w:ascii="Arial" w:hAnsi="Arial" w:cs="Arial"/>
                <w:sz w:val="22"/>
                <w:szCs w:val="22"/>
              </w:rPr>
            </w:pPr>
            <w:r w:rsidRPr="0097461E">
              <w:rPr>
                <w:rFonts w:ascii="Arial" w:hAnsi="Arial" w:cs="Arial"/>
                <w:sz w:val="22"/>
                <w:szCs w:val="22"/>
              </w:rPr>
              <w:t>1.98</w:t>
            </w:r>
          </w:p>
        </w:tc>
        <w:tc>
          <w:tcPr>
            <w:tcW w:w="1701" w:type="dxa"/>
            <w:vAlign w:val="bottom"/>
          </w:tcPr>
          <w:p w:rsidR="002B5A16" w:rsidRPr="0097461E" w:rsidRDefault="002B5A16" w:rsidP="0097461E">
            <w:pPr>
              <w:ind w:right="28"/>
              <w:jc w:val="right"/>
              <w:rPr>
                <w:rFonts w:ascii="Arial" w:hAnsi="Arial" w:cs="Arial"/>
                <w:sz w:val="22"/>
                <w:szCs w:val="22"/>
              </w:rPr>
            </w:pPr>
            <w:r w:rsidRPr="0097461E">
              <w:rPr>
                <w:rFonts w:ascii="Arial" w:hAnsi="Arial" w:cs="Arial"/>
                <w:sz w:val="22"/>
                <w:szCs w:val="22"/>
              </w:rPr>
              <w:t>1.5</w:t>
            </w:r>
          </w:p>
        </w:tc>
      </w:tr>
      <w:tr w:rsidR="002B5A16" w:rsidRPr="0097461E" w:rsidTr="002B5A16">
        <w:trPr>
          <w:jc w:val="center"/>
        </w:trPr>
        <w:tc>
          <w:tcPr>
            <w:tcW w:w="5382" w:type="dxa"/>
          </w:tcPr>
          <w:p w:rsidR="002B5A16" w:rsidRPr="0097461E" w:rsidRDefault="002B5A16" w:rsidP="002B5A16">
            <w:pPr>
              <w:rPr>
                <w:rFonts w:ascii="Arial" w:hAnsi="Arial" w:cs="Arial"/>
                <w:sz w:val="22"/>
                <w:szCs w:val="22"/>
              </w:rPr>
            </w:pPr>
            <w:r w:rsidRPr="0097461E">
              <w:rPr>
                <w:rFonts w:ascii="Arial" w:hAnsi="Arial" w:cs="Arial"/>
                <w:sz w:val="22"/>
                <w:szCs w:val="22"/>
              </w:rPr>
              <w:t xml:space="preserve">Increased area grown (Benefit 3)  </w:t>
            </w:r>
          </w:p>
        </w:tc>
        <w:tc>
          <w:tcPr>
            <w:tcW w:w="2126" w:type="dxa"/>
            <w:vAlign w:val="bottom"/>
          </w:tcPr>
          <w:p w:rsidR="002B5A16" w:rsidRPr="0097461E" w:rsidRDefault="002B5A16" w:rsidP="0097461E">
            <w:pPr>
              <w:ind w:right="37"/>
              <w:jc w:val="right"/>
              <w:rPr>
                <w:rFonts w:ascii="Arial" w:hAnsi="Arial" w:cs="Arial"/>
                <w:sz w:val="22"/>
                <w:szCs w:val="22"/>
              </w:rPr>
            </w:pPr>
            <w:r w:rsidRPr="0097461E">
              <w:rPr>
                <w:rFonts w:ascii="Arial" w:hAnsi="Arial" w:cs="Arial"/>
                <w:sz w:val="22"/>
                <w:szCs w:val="22"/>
              </w:rPr>
              <w:t>3.54</w:t>
            </w:r>
          </w:p>
        </w:tc>
        <w:tc>
          <w:tcPr>
            <w:tcW w:w="1701" w:type="dxa"/>
            <w:vAlign w:val="bottom"/>
          </w:tcPr>
          <w:p w:rsidR="002B5A16" w:rsidRPr="0097461E" w:rsidRDefault="002B5A16" w:rsidP="0097461E">
            <w:pPr>
              <w:ind w:right="28"/>
              <w:jc w:val="right"/>
              <w:rPr>
                <w:rFonts w:ascii="Arial" w:hAnsi="Arial" w:cs="Arial"/>
                <w:sz w:val="22"/>
                <w:szCs w:val="22"/>
              </w:rPr>
            </w:pPr>
            <w:r w:rsidRPr="0097461E">
              <w:rPr>
                <w:rFonts w:ascii="Arial" w:hAnsi="Arial" w:cs="Arial"/>
                <w:sz w:val="22"/>
                <w:szCs w:val="22"/>
              </w:rPr>
              <w:t>2.7</w:t>
            </w:r>
          </w:p>
        </w:tc>
      </w:tr>
      <w:tr w:rsidR="002B5A16" w:rsidRPr="0097461E" w:rsidTr="002B5A16">
        <w:trPr>
          <w:jc w:val="center"/>
        </w:trPr>
        <w:tc>
          <w:tcPr>
            <w:tcW w:w="5382" w:type="dxa"/>
          </w:tcPr>
          <w:p w:rsidR="002B5A16" w:rsidRPr="0097461E" w:rsidRDefault="002B5A16" w:rsidP="002B5A16">
            <w:pPr>
              <w:rPr>
                <w:rFonts w:ascii="Arial" w:hAnsi="Arial" w:cs="Arial"/>
                <w:sz w:val="22"/>
                <w:szCs w:val="22"/>
              </w:rPr>
            </w:pPr>
            <w:r w:rsidRPr="0097461E">
              <w:rPr>
                <w:rFonts w:ascii="Arial" w:hAnsi="Arial" w:cs="Arial"/>
                <w:sz w:val="22"/>
                <w:szCs w:val="22"/>
              </w:rPr>
              <w:t>Total</w:t>
            </w:r>
          </w:p>
        </w:tc>
        <w:tc>
          <w:tcPr>
            <w:tcW w:w="2126" w:type="dxa"/>
            <w:vAlign w:val="bottom"/>
          </w:tcPr>
          <w:p w:rsidR="002B5A16" w:rsidRPr="0097461E" w:rsidRDefault="002B5A16" w:rsidP="0097461E">
            <w:pPr>
              <w:ind w:right="37"/>
              <w:jc w:val="right"/>
              <w:rPr>
                <w:rFonts w:ascii="Arial" w:hAnsi="Arial" w:cs="Arial"/>
                <w:sz w:val="22"/>
                <w:szCs w:val="22"/>
              </w:rPr>
            </w:pPr>
            <w:r w:rsidRPr="0097461E">
              <w:rPr>
                <w:rFonts w:ascii="Arial" w:hAnsi="Arial" w:cs="Arial"/>
                <w:sz w:val="22"/>
                <w:szCs w:val="22"/>
              </w:rPr>
              <w:t>133.08</w:t>
            </w:r>
          </w:p>
        </w:tc>
        <w:tc>
          <w:tcPr>
            <w:tcW w:w="1701" w:type="dxa"/>
            <w:vAlign w:val="bottom"/>
          </w:tcPr>
          <w:p w:rsidR="002B5A16" w:rsidRPr="0097461E" w:rsidRDefault="002B5A16" w:rsidP="0097461E">
            <w:pPr>
              <w:ind w:right="28"/>
              <w:jc w:val="right"/>
              <w:rPr>
                <w:rFonts w:ascii="Arial" w:hAnsi="Arial" w:cs="Arial"/>
                <w:sz w:val="22"/>
                <w:szCs w:val="22"/>
              </w:rPr>
            </w:pPr>
            <w:r w:rsidRPr="0097461E">
              <w:rPr>
                <w:rFonts w:ascii="Arial" w:hAnsi="Arial" w:cs="Arial"/>
                <w:sz w:val="22"/>
                <w:szCs w:val="22"/>
              </w:rPr>
              <w:t>100.0</w:t>
            </w:r>
          </w:p>
        </w:tc>
      </w:tr>
    </w:tbl>
    <w:p w:rsidR="002B5A16" w:rsidRPr="00D50C47" w:rsidRDefault="002B5A16" w:rsidP="00F712CF">
      <w:pPr>
        <w:spacing w:before="240" w:after="240"/>
        <w:rPr>
          <w:rFonts w:ascii="Arial" w:hAnsi="Arial" w:cs="Arial"/>
          <w:b/>
          <w:sz w:val="24"/>
        </w:rPr>
      </w:pPr>
      <w:r w:rsidRPr="00D50C47">
        <w:rPr>
          <w:rFonts w:ascii="Arial" w:hAnsi="Arial" w:cs="Arial"/>
          <w:b/>
          <w:sz w:val="24"/>
        </w:rPr>
        <w:t>Sensitivity Analyses</w:t>
      </w:r>
    </w:p>
    <w:p w:rsidR="002B5A16" w:rsidRDefault="002B5A16" w:rsidP="002B5A16">
      <w:pPr>
        <w:rPr>
          <w:rFonts w:ascii="Arial" w:hAnsi="Arial" w:cs="Arial"/>
        </w:rPr>
      </w:pPr>
      <w:r w:rsidRPr="00D50C47">
        <w:rPr>
          <w:rFonts w:ascii="Arial" w:hAnsi="Arial" w:cs="Arial"/>
        </w:rPr>
        <w:t>A sensitivity analysis was carried out on the discount rate</w:t>
      </w:r>
      <w:r>
        <w:rPr>
          <w:rFonts w:ascii="Arial" w:hAnsi="Arial" w:cs="Arial"/>
        </w:rPr>
        <w:t xml:space="preserve"> for the base counterfactual scenario</w:t>
      </w:r>
      <w:r w:rsidRPr="00D50C47">
        <w:rPr>
          <w:rFonts w:ascii="Arial" w:hAnsi="Arial" w:cs="Arial"/>
        </w:rPr>
        <w:t xml:space="preserve">. The analysis was performed for the total investment and with benefits taken over the life of the investment plus 30 years from the last year of investment. All other parameters were held at their base values. Table </w:t>
      </w:r>
      <w:r>
        <w:rPr>
          <w:rFonts w:ascii="Arial" w:hAnsi="Arial" w:cs="Arial"/>
        </w:rPr>
        <w:t>26</w:t>
      </w:r>
      <w:r w:rsidRPr="00D50C47">
        <w:rPr>
          <w:rFonts w:ascii="Arial" w:hAnsi="Arial" w:cs="Arial"/>
        </w:rPr>
        <w:t xml:space="preserve"> presents the results. </w:t>
      </w:r>
      <w:r w:rsidRPr="00404998">
        <w:rPr>
          <w:rFonts w:ascii="Arial" w:hAnsi="Arial" w:cs="Arial"/>
        </w:rPr>
        <w:t>The results showed a moderate sensitivity to the discount rate.</w:t>
      </w:r>
      <w:r w:rsidRPr="00095126">
        <w:rPr>
          <w:rFonts w:ascii="Arial" w:hAnsi="Arial" w:cs="Arial"/>
        </w:rPr>
        <w:t xml:space="preserve"> </w:t>
      </w:r>
    </w:p>
    <w:p w:rsidR="002B5A16" w:rsidRDefault="002B5A16" w:rsidP="002B5A16">
      <w:pPr>
        <w:rPr>
          <w:rFonts w:ascii="Arial" w:hAnsi="Arial" w:cs="Arial"/>
        </w:rPr>
      </w:pPr>
    </w:p>
    <w:p w:rsidR="002B5A16" w:rsidRPr="00A66BB1" w:rsidRDefault="002B5A16" w:rsidP="00A66BB1">
      <w:pPr>
        <w:pStyle w:val="Caption"/>
        <w:spacing w:after="240"/>
        <w:jc w:val="center"/>
        <w:rPr>
          <w:rFonts w:ascii="Arial" w:hAnsi="Arial"/>
          <w:b w:val="0"/>
          <w:i/>
          <w:sz w:val="22"/>
          <w:szCs w:val="22"/>
        </w:rPr>
      </w:pPr>
      <w:bookmarkStart w:id="492" w:name="_Toc487091300"/>
      <w:r w:rsidRPr="00A66BB1">
        <w:rPr>
          <w:rFonts w:ascii="Arial" w:hAnsi="Arial"/>
          <w:b w:val="0"/>
          <w:sz w:val="22"/>
          <w:szCs w:val="22"/>
        </w:rPr>
        <w:t xml:space="preserve">Table </w:t>
      </w:r>
      <w:r w:rsidR="00913E1D" w:rsidRPr="0097461E">
        <w:rPr>
          <w:rFonts w:ascii="Arial" w:hAnsi="Arial"/>
          <w:b w:val="0"/>
          <w:sz w:val="22"/>
          <w:szCs w:val="22"/>
        </w:rPr>
        <w:t>26</w:t>
      </w:r>
      <w:r w:rsidRPr="0097461E">
        <w:rPr>
          <w:rFonts w:ascii="Arial" w:hAnsi="Arial"/>
          <w:b w:val="0"/>
          <w:sz w:val="22"/>
          <w:szCs w:val="22"/>
        </w:rPr>
        <w:t>:</w:t>
      </w:r>
      <w:r w:rsidRPr="00A66BB1">
        <w:rPr>
          <w:rFonts w:ascii="Arial" w:hAnsi="Arial"/>
          <w:b w:val="0"/>
          <w:sz w:val="22"/>
          <w:szCs w:val="22"/>
        </w:rPr>
        <w:t xml:space="preserve"> </w:t>
      </w:r>
      <w:r w:rsidRPr="00A66BB1">
        <w:rPr>
          <w:rFonts w:ascii="Arial" w:hAnsi="Arial"/>
          <w:b w:val="0"/>
          <w:color w:val="000000" w:themeColor="text1"/>
          <w:sz w:val="22"/>
          <w:szCs w:val="22"/>
        </w:rPr>
        <w:t>Sensitivity to Discount Rate</w:t>
      </w:r>
      <w:r w:rsidRPr="00A66BB1">
        <w:rPr>
          <w:rFonts w:ascii="Arial" w:hAnsi="Arial"/>
          <w:b w:val="0"/>
          <w:color w:val="000000" w:themeColor="text1"/>
          <w:sz w:val="22"/>
          <w:szCs w:val="22"/>
        </w:rPr>
        <w:br/>
      </w:r>
      <w:r w:rsidRPr="00A66BB1">
        <w:rPr>
          <w:rFonts w:ascii="Arial" w:hAnsi="Arial"/>
          <w:b w:val="0"/>
          <w:sz w:val="22"/>
          <w:szCs w:val="22"/>
        </w:rPr>
        <w:t>(Total investment, 30 years)</w:t>
      </w:r>
      <w:bookmarkEnd w:id="492"/>
    </w:p>
    <w:tbl>
      <w:tblPr>
        <w:tblStyle w:val="TableGrid"/>
        <w:tblW w:w="0" w:type="auto"/>
        <w:tblLook w:val="04A0" w:firstRow="1" w:lastRow="0" w:firstColumn="1" w:lastColumn="0" w:noHBand="0" w:noVBand="1"/>
      </w:tblPr>
      <w:tblGrid>
        <w:gridCol w:w="3256"/>
        <w:gridCol w:w="1920"/>
        <w:gridCol w:w="1920"/>
        <w:gridCol w:w="1920"/>
      </w:tblGrid>
      <w:tr w:rsidR="002B5A16" w:rsidRPr="0097461E" w:rsidTr="002B5A16">
        <w:tc>
          <w:tcPr>
            <w:tcW w:w="3256" w:type="dxa"/>
            <w:vMerge w:val="restart"/>
          </w:tcPr>
          <w:p w:rsidR="002B5A16" w:rsidRPr="0097461E" w:rsidRDefault="002B5A16" w:rsidP="002B5A16">
            <w:pPr>
              <w:rPr>
                <w:rFonts w:ascii="Arial" w:hAnsi="Arial" w:cs="Arial"/>
                <w:b/>
                <w:sz w:val="22"/>
                <w:szCs w:val="22"/>
              </w:rPr>
            </w:pPr>
            <w:r w:rsidRPr="0097461E">
              <w:rPr>
                <w:rFonts w:ascii="Arial" w:hAnsi="Arial" w:cs="Arial"/>
                <w:b/>
                <w:sz w:val="22"/>
                <w:szCs w:val="22"/>
              </w:rPr>
              <w:t>Investment Criteria</w:t>
            </w:r>
          </w:p>
        </w:tc>
        <w:tc>
          <w:tcPr>
            <w:tcW w:w="5760" w:type="dxa"/>
            <w:gridSpan w:val="3"/>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Discount rate</w:t>
            </w:r>
          </w:p>
        </w:tc>
      </w:tr>
      <w:tr w:rsidR="002B5A16" w:rsidRPr="0097461E" w:rsidTr="002B5A16">
        <w:trPr>
          <w:trHeight w:val="118"/>
        </w:trPr>
        <w:tc>
          <w:tcPr>
            <w:tcW w:w="3256" w:type="dxa"/>
            <w:vMerge/>
          </w:tcPr>
          <w:p w:rsidR="002B5A16" w:rsidRPr="0097461E" w:rsidRDefault="002B5A16" w:rsidP="002B5A16">
            <w:pPr>
              <w:rPr>
                <w:rFonts w:ascii="Arial" w:hAnsi="Arial" w:cs="Arial"/>
                <w:b/>
                <w:sz w:val="22"/>
                <w:szCs w:val="22"/>
              </w:rPr>
            </w:pPr>
          </w:p>
        </w:tc>
        <w:tc>
          <w:tcPr>
            <w:tcW w:w="1920" w:type="dxa"/>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0%</w:t>
            </w:r>
          </w:p>
        </w:tc>
        <w:tc>
          <w:tcPr>
            <w:tcW w:w="1920" w:type="dxa"/>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5% (base)</w:t>
            </w:r>
          </w:p>
        </w:tc>
        <w:tc>
          <w:tcPr>
            <w:tcW w:w="1920" w:type="dxa"/>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10%</w:t>
            </w:r>
          </w:p>
        </w:tc>
      </w:tr>
      <w:tr w:rsidR="002B5A16" w:rsidRPr="0097461E" w:rsidTr="002B5A16">
        <w:tc>
          <w:tcPr>
            <w:tcW w:w="3256" w:type="dxa"/>
          </w:tcPr>
          <w:p w:rsidR="002B5A16" w:rsidRPr="0097461E" w:rsidRDefault="002B5A16" w:rsidP="002B5A16">
            <w:pPr>
              <w:rPr>
                <w:rFonts w:ascii="Arial" w:hAnsi="Arial" w:cs="Arial"/>
                <w:sz w:val="22"/>
                <w:szCs w:val="22"/>
              </w:rPr>
            </w:pPr>
            <w:r w:rsidRPr="0097461E">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193.57</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133.08</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124.34</w:t>
            </w:r>
          </w:p>
        </w:tc>
      </w:tr>
      <w:tr w:rsidR="002B5A16" w:rsidRPr="0097461E" w:rsidTr="002B5A16">
        <w:tc>
          <w:tcPr>
            <w:tcW w:w="3256" w:type="dxa"/>
          </w:tcPr>
          <w:p w:rsidR="002B5A16" w:rsidRPr="0097461E" w:rsidRDefault="002B5A16" w:rsidP="002B5A16">
            <w:pPr>
              <w:rPr>
                <w:rFonts w:ascii="Arial" w:hAnsi="Arial" w:cs="Arial"/>
                <w:sz w:val="22"/>
                <w:szCs w:val="22"/>
              </w:rPr>
            </w:pPr>
            <w:r w:rsidRPr="0097461E">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15.25</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15.25</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15.25</w:t>
            </w:r>
          </w:p>
        </w:tc>
      </w:tr>
      <w:tr w:rsidR="002B5A16" w:rsidRPr="0097461E" w:rsidTr="002B5A16">
        <w:tc>
          <w:tcPr>
            <w:tcW w:w="3256" w:type="dxa"/>
          </w:tcPr>
          <w:p w:rsidR="002B5A16" w:rsidRPr="0097461E" w:rsidRDefault="002B5A16" w:rsidP="002B5A16">
            <w:pPr>
              <w:rPr>
                <w:rFonts w:ascii="Arial" w:hAnsi="Arial" w:cs="Arial"/>
                <w:sz w:val="22"/>
                <w:szCs w:val="22"/>
              </w:rPr>
            </w:pPr>
            <w:r w:rsidRPr="0097461E">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178.32</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117.83</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109.09</w:t>
            </w:r>
          </w:p>
        </w:tc>
      </w:tr>
      <w:tr w:rsidR="002B5A16" w:rsidRPr="0097461E" w:rsidTr="002B5A16">
        <w:tc>
          <w:tcPr>
            <w:tcW w:w="3256" w:type="dxa"/>
          </w:tcPr>
          <w:p w:rsidR="002B5A16" w:rsidRPr="0097461E" w:rsidRDefault="002B5A16" w:rsidP="002B5A16">
            <w:pPr>
              <w:rPr>
                <w:rFonts w:ascii="Arial" w:hAnsi="Arial" w:cs="Arial"/>
                <w:sz w:val="22"/>
                <w:szCs w:val="22"/>
              </w:rPr>
            </w:pPr>
            <w:r w:rsidRPr="0097461E">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12.69</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8.73</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97461E">
            <w:pPr>
              <w:jc w:val="center"/>
              <w:rPr>
                <w:rFonts w:ascii="Arial" w:hAnsi="Arial" w:cs="Arial"/>
                <w:sz w:val="22"/>
                <w:szCs w:val="22"/>
              </w:rPr>
            </w:pPr>
            <w:r w:rsidRPr="0097461E">
              <w:rPr>
                <w:rFonts w:ascii="Arial" w:hAnsi="Arial" w:cs="Arial"/>
                <w:sz w:val="22"/>
                <w:szCs w:val="22"/>
              </w:rPr>
              <w:t>8.15</w:t>
            </w:r>
          </w:p>
        </w:tc>
      </w:tr>
    </w:tbl>
    <w:p w:rsidR="002B5A16" w:rsidRPr="00213DAF" w:rsidRDefault="002B5A16" w:rsidP="00A66BB1">
      <w:pPr>
        <w:spacing w:before="240" w:after="240"/>
        <w:ind w:right="-188"/>
        <w:rPr>
          <w:rFonts w:ascii="Arial" w:hAnsi="Arial" w:cs="Arial"/>
        </w:rPr>
      </w:pPr>
      <w:r>
        <w:rPr>
          <w:rFonts w:ascii="Arial" w:hAnsi="Arial" w:cs="Arial"/>
        </w:rPr>
        <w:t xml:space="preserve">Given the importance of yield gain to assessment results (Table 25), </w:t>
      </w:r>
      <w:r w:rsidRPr="00213DAF">
        <w:rPr>
          <w:rFonts w:ascii="Arial" w:hAnsi="Arial" w:cs="Arial"/>
        </w:rPr>
        <w:t>a second sensitivity analysis was completed on th</w:t>
      </w:r>
      <w:r>
        <w:rPr>
          <w:rFonts w:ascii="Arial" w:hAnsi="Arial" w:cs="Arial"/>
        </w:rPr>
        <w:t xml:space="preserve">is benefit </w:t>
      </w:r>
      <w:r w:rsidRPr="00213DAF">
        <w:rPr>
          <w:rFonts w:ascii="Arial" w:hAnsi="Arial" w:cs="Arial"/>
        </w:rPr>
        <w:t>– Table 2</w:t>
      </w:r>
      <w:r>
        <w:rPr>
          <w:rFonts w:ascii="Arial" w:hAnsi="Arial" w:cs="Arial"/>
        </w:rPr>
        <w:t>7</w:t>
      </w:r>
      <w:r w:rsidRPr="00213DAF">
        <w:rPr>
          <w:rFonts w:ascii="Arial" w:hAnsi="Arial" w:cs="Arial"/>
        </w:rPr>
        <w:t xml:space="preserve">. Even at 25% attribution of </w:t>
      </w:r>
      <w:r>
        <w:rPr>
          <w:rFonts w:ascii="Arial" w:hAnsi="Arial" w:cs="Arial"/>
        </w:rPr>
        <w:t xml:space="preserve">base </w:t>
      </w:r>
      <w:r w:rsidRPr="00213DAF">
        <w:rPr>
          <w:rFonts w:ascii="Arial" w:hAnsi="Arial" w:cs="Arial"/>
        </w:rPr>
        <w:t>yield gain to cluster research, a positive benefit-cost ratio is achieved.</w:t>
      </w:r>
    </w:p>
    <w:p w:rsidR="002B5A16" w:rsidRPr="00A66BB1" w:rsidRDefault="002B5A16" w:rsidP="00A66BB1">
      <w:pPr>
        <w:pStyle w:val="Caption"/>
        <w:spacing w:after="240"/>
        <w:jc w:val="center"/>
        <w:rPr>
          <w:rFonts w:ascii="Arial" w:hAnsi="Arial"/>
          <w:b w:val="0"/>
          <w:i/>
          <w:sz w:val="22"/>
          <w:szCs w:val="22"/>
        </w:rPr>
      </w:pPr>
      <w:bookmarkStart w:id="493" w:name="_Toc487091301"/>
      <w:r w:rsidRPr="00A66BB1">
        <w:rPr>
          <w:rFonts w:ascii="Arial" w:hAnsi="Arial"/>
          <w:b w:val="0"/>
          <w:sz w:val="22"/>
          <w:szCs w:val="22"/>
        </w:rPr>
        <w:t xml:space="preserve">Table </w:t>
      </w:r>
      <w:r w:rsidR="00913E1D" w:rsidRPr="0097461E">
        <w:rPr>
          <w:rFonts w:ascii="Arial" w:hAnsi="Arial"/>
          <w:b w:val="0"/>
          <w:sz w:val="22"/>
          <w:szCs w:val="22"/>
        </w:rPr>
        <w:t>27</w:t>
      </w:r>
      <w:r w:rsidRPr="00A66BB1">
        <w:rPr>
          <w:rFonts w:ascii="Arial" w:hAnsi="Arial"/>
          <w:b w:val="0"/>
          <w:sz w:val="22"/>
          <w:szCs w:val="22"/>
        </w:rPr>
        <w:t xml:space="preserve">: </w:t>
      </w:r>
      <w:r w:rsidRPr="00A66BB1">
        <w:rPr>
          <w:rFonts w:ascii="Arial" w:hAnsi="Arial"/>
          <w:b w:val="0"/>
          <w:color w:val="000000" w:themeColor="text1"/>
          <w:sz w:val="22"/>
          <w:szCs w:val="22"/>
        </w:rPr>
        <w:t xml:space="preserve">Sensitivity to Yield Gain </w:t>
      </w:r>
      <w:r w:rsidRPr="00A66BB1">
        <w:rPr>
          <w:rFonts w:ascii="Arial" w:hAnsi="Arial"/>
          <w:b w:val="0"/>
          <w:color w:val="000000" w:themeColor="text1"/>
          <w:sz w:val="22"/>
          <w:szCs w:val="22"/>
        </w:rPr>
        <w:br/>
      </w:r>
      <w:r w:rsidRPr="00A66BB1">
        <w:rPr>
          <w:rFonts w:ascii="Arial" w:hAnsi="Arial"/>
          <w:b w:val="0"/>
          <w:sz w:val="22"/>
          <w:szCs w:val="22"/>
        </w:rPr>
        <w:t>(Total investment, 30 years)</w:t>
      </w:r>
      <w:bookmarkEnd w:id="493"/>
    </w:p>
    <w:tbl>
      <w:tblPr>
        <w:tblStyle w:val="TableGrid"/>
        <w:tblW w:w="0" w:type="auto"/>
        <w:tblLook w:val="04A0" w:firstRow="1" w:lastRow="0" w:firstColumn="1" w:lastColumn="0" w:noHBand="0" w:noVBand="1"/>
      </w:tblPr>
      <w:tblGrid>
        <w:gridCol w:w="3256"/>
        <w:gridCol w:w="1920"/>
        <w:gridCol w:w="1920"/>
        <w:gridCol w:w="1920"/>
      </w:tblGrid>
      <w:tr w:rsidR="002B5A16" w:rsidRPr="0097461E" w:rsidTr="002B5A16">
        <w:tc>
          <w:tcPr>
            <w:tcW w:w="3256" w:type="dxa"/>
            <w:vMerge w:val="restart"/>
          </w:tcPr>
          <w:p w:rsidR="002B5A16" w:rsidRPr="0097461E" w:rsidRDefault="002B5A16" w:rsidP="002B5A16">
            <w:pPr>
              <w:rPr>
                <w:rFonts w:ascii="Arial" w:hAnsi="Arial" w:cs="Arial"/>
                <w:b/>
                <w:sz w:val="22"/>
                <w:szCs w:val="22"/>
              </w:rPr>
            </w:pPr>
            <w:r w:rsidRPr="0097461E">
              <w:rPr>
                <w:rFonts w:ascii="Arial" w:hAnsi="Arial" w:cs="Arial"/>
                <w:b/>
                <w:sz w:val="22"/>
                <w:szCs w:val="22"/>
              </w:rPr>
              <w:t>Investment Criteria</w:t>
            </w:r>
          </w:p>
        </w:tc>
        <w:tc>
          <w:tcPr>
            <w:tcW w:w="5760" w:type="dxa"/>
            <w:gridSpan w:val="3"/>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Attribution of Sweetpotato Yield Gain to Research Completed in this Cluster</w:t>
            </w:r>
          </w:p>
        </w:tc>
      </w:tr>
      <w:tr w:rsidR="002B5A16" w:rsidRPr="0097461E" w:rsidTr="002B5A16">
        <w:trPr>
          <w:trHeight w:val="118"/>
        </w:trPr>
        <w:tc>
          <w:tcPr>
            <w:tcW w:w="3256" w:type="dxa"/>
            <w:vMerge/>
          </w:tcPr>
          <w:p w:rsidR="002B5A16" w:rsidRPr="0097461E" w:rsidRDefault="002B5A16" w:rsidP="002B5A16">
            <w:pPr>
              <w:rPr>
                <w:rFonts w:ascii="Arial" w:hAnsi="Arial" w:cs="Arial"/>
                <w:b/>
                <w:sz w:val="22"/>
                <w:szCs w:val="22"/>
              </w:rPr>
            </w:pPr>
          </w:p>
        </w:tc>
        <w:tc>
          <w:tcPr>
            <w:tcW w:w="1920" w:type="dxa"/>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25% of base</w:t>
            </w:r>
          </w:p>
        </w:tc>
        <w:tc>
          <w:tcPr>
            <w:tcW w:w="1920" w:type="dxa"/>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50% of base</w:t>
            </w:r>
          </w:p>
        </w:tc>
        <w:tc>
          <w:tcPr>
            <w:tcW w:w="1920" w:type="dxa"/>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Base</w:t>
            </w:r>
          </w:p>
        </w:tc>
      </w:tr>
      <w:tr w:rsidR="002B5A16" w:rsidRPr="0097461E" w:rsidTr="002B5A16">
        <w:tc>
          <w:tcPr>
            <w:tcW w:w="3256" w:type="dxa"/>
          </w:tcPr>
          <w:p w:rsidR="002B5A16" w:rsidRPr="0097461E" w:rsidRDefault="002B5A16" w:rsidP="002B5A16">
            <w:pPr>
              <w:rPr>
                <w:rFonts w:ascii="Arial" w:hAnsi="Arial" w:cs="Arial"/>
                <w:sz w:val="22"/>
                <w:szCs w:val="22"/>
              </w:rPr>
            </w:pPr>
            <w:r w:rsidRPr="0097461E">
              <w:rPr>
                <w:rFonts w:ascii="Arial" w:hAnsi="Arial" w:cs="Arial"/>
                <w:sz w:val="22"/>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565"/>
              <w:jc w:val="right"/>
              <w:rPr>
                <w:rFonts w:ascii="Arial" w:hAnsi="Arial" w:cs="Arial"/>
                <w:sz w:val="22"/>
                <w:szCs w:val="22"/>
              </w:rPr>
            </w:pPr>
            <w:r w:rsidRPr="0097461E">
              <w:rPr>
                <w:rFonts w:ascii="Arial" w:hAnsi="Arial" w:cs="Arial"/>
                <w:sz w:val="22"/>
                <w:szCs w:val="22"/>
              </w:rPr>
              <w:t>37.41</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643"/>
              <w:jc w:val="right"/>
              <w:rPr>
                <w:rFonts w:ascii="Arial" w:hAnsi="Arial" w:cs="Arial"/>
                <w:sz w:val="22"/>
                <w:szCs w:val="22"/>
              </w:rPr>
            </w:pPr>
            <w:r w:rsidRPr="0097461E">
              <w:rPr>
                <w:rFonts w:ascii="Arial" w:hAnsi="Arial" w:cs="Arial"/>
                <w:sz w:val="22"/>
                <w:szCs w:val="22"/>
              </w:rPr>
              <w:t>69.30</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359"/>
              <w:jc w:val="right"/>
              <w:rPr>
                <w:rFonts w:ascii="Arial" w:hAnsi="Arial" w:cs="Arial"/>
                <w:sz w:val="22"/>
                <w:szCs w:val="22"/>
              </w:rPr>
            </w:pPr>
            <w:r w:rsidRPr="0097461E">
              <w:rPr>
                <w:rFonts w:ascii="Arial" w:hAnsi="Arial" w:cs="Arial"/>
                <w:sz w:val="22"/>
                <w:szCs w:val="22"/>
              </w:rPr>
              <w:t>133.08</w:t>
            </w:r>
          </w:p>
        </w:tc>
      </w:tr>
      <w:tr w:rsidR="002B5A16" w:rsidRPr="0097461E" w:rsidTr="002B5A16">
        <w:tc>
          <w:tcPr>
            <w:tcW w:w="3256" w:type="dxa"/>
          </w:tcPr>
          <w:p w:rsidR="002B5A16" w:rsidRPr="0097461E" w:rsidRDefault="002B5A16" w:rsidP="002B5A16">
            <w:pPr>
              <w:rPr>
                <w:rFonts w:ascii="Arial" w:hAnsi="Arial" w:cs="Arial"/>
                <w:sz w:val="22"/>
                <w:szCs w:val="22"/>
              </w:rPr>
            </w:pPr>
            <w:r w:rsidRPr="0097461E">
              <w:rPr>
                <w:rFonts w:ascii="Arial" w:hAnsi="Arial" w:cs="Arial"/>
                <w:sz w:val="22"/>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565"/>
              <w:jc w:val="right"/>
              <w:rPr>
                <w:rFonts w:ascii="Arial" w:hAnsi="Arial" w:cs="Arial"/>
                <w:sz w:val="22"/>
                <w:szCs w:val="22"/>
              </w:rPr>
            </w:pPr>
            <w:r w:rsidRPr="0097461E">
              <w:rPr>
                <w:rFonts w:ascii="Arial" w:hAnsi="Arial" w:cs="Arial"/>
                <w:sz w:val="22"/>
                <w:szCs w:val="22"/>
              </w:rPr>
              <w:t>15.25</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643"/>
              <w:jc w:val="right"/>
              <w:rPr>
                <w:rFonts w:ascii="Arial" w:hAnsi="Arial" w:cs="Arial"/>
                <w:sz w:val="22"/>
                <w:szCs w:val="22"/>
              </w:rPr>
            </w:pPr>
            <w:r w:rsidRPr="0097461E">
              <w:rPr>
                <w:rFonts w:ascii="Arial" w:hAnsi="Arial" w:cs="Arial"/>
                <w:sz w:val="22"/>
                <w:szCs w:val="22"/>
              </w:rPr>
              <w:t>15.25</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359"/>
              <w:jc w:val="right"/>
              <w:rPr>
                <w:rFonts w:ascii="Arial" w:hAnsi="Arial" w:cs="Arial"/>
                <w:sz w:val="22"/>
                <w:szCs w:val="22"/>
              </w:rPr>
            </w:pPr>
            <w:r w:rsidRPr="0097461E">
              <w:rPr>
                <w:rFonts w:ascii="Arial" w:hAnsi="Arial" w:cs="Arial"/>
                <w:sz w:val="22"/>
                <w:szCs w:val="22"/>
              </w:rPr>
              <w:t>15.25</w:t>
            </w:r>
          </w:p>
        </w:tc>
      </w:tr>
      <w:tr w:rsidR="002B5A16" w:rsidRPr="0097461E" w:rsidTr="002B5A16">
        <w:tc>
          <w:tcPr>
            <w:tcW w:w="3256" w:type="dxa"/>
          </w:tcPr>
          <w:p w:rsidR="002B5A16" w:rsidRPr="0097461E" w:rsidRDefault="002B5A16" w:rsidP="002B5A16">
            <w:pPr>
              <w:rPr>
                <w:rFonts w:ascii="Arial" w:hAnsi="Arial" w:cs="Arial"/>
                <w:sz w:val="22"/>
                <w:szCs w:val="22"/>
              </w:rPr>
            </w:pPr>
            <w:r w:rsidRPr="0097461E">
              <w:rPr>
                <w:rFonts w:ascii="Arial" w:hAnsi="Arial" w:cs="Arial"/>
                <w:sz w:val="22"/>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565"/>
              <w:jc w:val="right"/>
              <w:rPr>
                <w:rFonts w:ascii="Arial" w:hAnsi="Arial" w:cs="Arial"/>
                <w:sz w:val="22"/>
                <w:szCs w:val="22"/>
              </w:rPr>
            </w:pPr>
            <w:r w:rsidRPr="0097461E">
              <w:rPr>
                <w:rFonts w:ascii="Arial" w:hAnsi="Arial" w:cs="Arial"/>
                <w:sz w:val="22"/>
                <w:szCs w:val="22"/>
              </w:rPr>
              <w:t>22.17</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643"/>
              <w:jc w:val="right"/>
              <w:rPr>
                <w:rFonts w:ascii="Arial" w:hAnsi="Arial" w:cs="Arial"/>
                <w:sz w:val="22"/>
                <w:szCs w:val="22"/>
              </w:rPr>
            </w:pPr>
            <w:r w:rsidRPr="0097461E">
              <w:rPr>
                <w:rFonts w:ascii="Arial" w:hAnsi="Arial" w:cs="Arial"/>
                <w:sz w:val="22"/>
                <w:szCs w:val="22"/>
              </w:rPr>
              <w:t>54.05</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359"/>
              <w:jc w:val="right"/>
              <w:rPr>
                <w:rFonts w:ascii="Arial" w:hAnsi="Arial" w:cs="Arial"/>
                <w:sz w:val="22"/>
                <w:szCs w:val="22"/>
              </w:rPr>
            </w:pPr>
            <w:r w:rsidRPr="0097461E">
              <w:rPr>
                <w:rFonts w:ascii="Arial" w:hAnsi="Arial" w:cs="Arial"/>
                <w:sz w:val="22"/>
                <w:szCs w:val="22"/>
              </w:rPr>
              <w:t>117.83</w:t>
            </w:r>
          </w:p>
        </w:tc>
      </w:tr>
      <w:tr w:rsidR="002B5A16" w:rsidRPr="0097461E" w:rsidTr="002B5A16">
        <w:tc>
          <w:tcPr>
            <w:tcW w:w="3256" w:type="dxa"/>
          </w:tcPr>
          <w:p w:rsidR="002B5A16" w:rsidRPr="0097461E" w:rsidRDefault="002B5A16" w:rsidP="002B5A16">
            <w:pPr>
              <w:rPr>
                <w:rFonts w:ascii="Arial" w:hAnsi="Arial" w:cs="Arial"/>
                <w:sz w:val="22"/>
                <w:szCs w:val="22"/>
              </w:rPr>
            </w:pPr>
            <w:r w:rsidRPr="0097461E">
              <w:rPr>
                <w:rFonts w:ascii="Arial" w:hAnsi="Arial" w:cs="Arial"/>
                <w:sz w:val="22"/>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565"/>
              <w:jc w:val="right"/>
              <w:rPr>
                <w:rFonts w:ascii="Arial" w:hAnsi="Arial" w:cs="Arial"/>
                <w:sz w:val="22"/>
                <w:szCs w:val="22"/>
              </w:rPr>
            </w:pPr>
            <w:r w:rsidRPr="0097461E">
              <w:rPr>
                <w:rFonts w:ascii="Arial" w:hAnsi="Arial" w:cs="Arial"/>
                <w:sz w:val="22"/>
                <w:szCs w:val="22"/>
              </w:rPr>
              <w:t>2.45</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643"/>
              <w:jc w:val="right"/>
              <w:rPr>
                <w:rFonts w:ascii="Arial" w:hAnsi="Arial" w:cs="Arial"/>
                <w:sz w:val="22"/>
                <w:szCs w:val="22"/>
              </w:rPr>
            </w:pPr>
            <w:r w:rsidRPr="0097461E">
              <w:rPr>
                <w:rFonts w:ascii="Arial" w:hAnsi="Arial" w:cs="Arial"/>
                <w:sz w:val="22"/>
                <w:szCs w:val="22"/>
              </w:rPr>
              <w:t>4.55</w:t>
            </w:r>
          </w:p>
        </w:tc>
        <w:tc>
          <w:tcPr>
            <w:tcW w:w="1920" w:type="dxa"/>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rsidP="002B5A16">
            <w:pPr>
              <w:ind w:right="359"/>
              <w:jc w:val="right"/>
              <w:rPr>
                <w:rFonts w:ascii="Arial" w:hAnsi="Arial" w:cs="Arial"/>
                <w:sz w:val="22"/>
                <w:szCs w:val="22"/>
              </w:rPr>
            </w:pPr>
            <w:r w:rsidRPr="0097461E">
              <w:rPr>
                <w:rFonts w:ascii="Arial" w:hAnsi="Arial" w:cs="Arial"/>
                <w:sz w:val="22"/>
                <w:szCs w:val="22"/>
              </w:rPr>
              <w:t>8.73</w:t>
            </w:r>
          </w:p>
        </w:tc>
      </w:tr>
    </w:tbl>
    <w:p w:rsidR="002B5A16" w:rsidRDefault="002B5A16" w:rsidP="002B5A16">
      <w:pPr>
        <w:rPr>
          <w:rFonts w:ascii="Arial" w:hAnsi="Arial" w:cs="Arial"/>
          <w:sz w:val="24"/>
        </w:rPr>
      </w:pPr>
    </w:p>
    <w:p w:rsidR="002B5A16" w:rsidRPr="00E104F3" w:rsidRDefault="002B5A16" w:rsidP="00F712CF">
      <w:pPr>
        <w:spacing w:before="240" w:after="240"/>
        <w:rPr>
          <w:rFonts w:ascii="Arial" w:hAnsi="Arial" w:cs="Arial"/>
          <w:b/>
          <w:sz w:val="24"/>
        </w:rPr>
      </w:pPr>
      <w:r w:rsidRPr="00E104F3">
        <w:rPr>
          <w:rFonts w:ascii="Arial" w:hAnsi="Arial" w:cs="Arial"/>
          <w:b/>
          <w:sz w:val="24"/>
        </w:rPr>
        <w:t xml:space="preserve">Investment Criteria </w:t>
      </w:r>
      <w:r>
        <w:rPr>
          <w:rFonts w:ascii="Arial" w:hAnsi="Arial" w:cs="Arial"/>
          <w:b/>
          <w:sz w:val="24"/>
        </w:rPr>
        <w:t xml:space="preserve">using the </w:t>
      </w:r>
      <w:r w:rsidRPr="00E104F3">
        <w:rPr>
          <w:rFonts w:ascii="Arial" w:hAnsi="Arial" w:cs="Arial"/>
          <w:b/>
          <w:sz w:val="24"/>
        </w:rPr>
        <w:t xml:space="preserve">Alternative Counterfactual </w:t>
      </w:r>
      <w:r>
        <w:rPr>
          <w:rFonts w:ascii="Arial" w:hAnsi="Arial" w:cs="Arial"/>
          <w:b/>
          <w:sz w:val="24"/>
        </w:rPr>
        <w:t xml:space="preserve"> </w:t>
      </w:r>
    </w:p>
    <w:p w:rsidR="002B5A16" w:rsidRDefault="002B5A16" w:rsidP="00A66BB1">
      <w:pPr>
        <w:spacing w:after="240"/>
        <w:rPr>
          <w:rFonts w:ascii="Arial" w:hAnsi="Arial" w:cs="Arial"/>
        </w:rPr>
      </w:pPr>
      <w:r>
        <w:rPr>
          <w:rFonts w:ascii="Arial" w:hAnsi="Arial" w:cs="Arial"/>
        </w:rPr>
        <w:t xml:space="preserve">A second </w:t>
      </w:r>
      <w:r w:rsidRPr="00D50C47">
        <w:rPr>
          <w:rFonts w:ascii="Arial" w:hAnsi="Arial" w:cs="Arial"/>
        </w:rPr>
        <w:t>analys</w:t>
      </w:r>
      <w:r>
        <w:rPr>
          <w:rFonts w:ascii="Arial" w:hAnsi="Arial" w:cs="Arial"/>
        </w:rPr>
        <w:t xml:space="preserve">is </w:t>
      </w:r>
      <w:r w:rsidRPr="00D50C47">
        <w:rPr>
          <w:rFonts w:ascii="Arial" w:hAnsi="Arial" w:cs="Arial"/>
        </w:rPr>
        <w:t>w</w:t>
      </w:r>
      <w:r>
        <w:rPr>
          <w:rFonts w:ascii="Arial" w:hAnsi="Arial" w:cs="Arial"/>
        </w:rPr>
        <w:t>as</w:t>
      </w:r>
      <w:r w:rsidRPr="00D50C47">
        <w:rPr>
          <w:rFonts w:ascii="Arial" w:hAnsi="Arial" w:cs="Arial"/>
        </w:rPr>
        <w:t xml:space="preserve"> conducted </w:t>
      </w:r>
      <w:r>
        <w:rPr>
          <w:rFonts w:ascii="Arial" w:hAnsi="Arial" w:cs="Arial"/>
        </w:rPr>
        <w:t xml:space="preserve">using the alternative counterfactual as specified in Table 21. </w:t>
      </w:r>
      <w:r w:rsidRPr="00862F97">
        <w:rPr>
          <w:rFonts w:ascii="Arial" w:hAnsi="Arial" w:cs="Arial"/>
        </w:rPr>
        <w:t>In this scenario</w:t>
      </w:r>
      <w:r w:rsidRPr="00371432">
        <w:rPr>
          <w:rFonts w:ascii="Arial" w:hAnsi="Arial" w:cs="Arial"/>
        </w:rPr>
        <w:t xml:space="preserve">, it was assumed that </w:t>
      </w:r>
      <w:r w:rsidRPr="00371432">
        <w:rPr>
          <w:rFonts w:ascii="Arial" w:hAnsi="Arial" w:cs="Arial"/>
          <w:color w:val="000000" w:themeColor="text1"/>
        </w:rPr>
        <w:t>in the absence of DAF investment in the sweetpotato industry 25% of the</w:t>
      </w:r>
      <w:r>
        <w:rPr>
          <w:rFonts w:ascii="Arial" w:hAnsi="Arial" w:cs="Arial"/>
          <w:color w:val="000000" w:themeColor="text1"/>
        </w:rPr>
        <w:t xml:space="preserve"> increase in yield, profitability and area grown would have been realised</w:t>
      </w:r>
      <w:r>
        <w:rPr>
          <w:rFonts w:ascii="Arial" w:hAnsi="Arial" w:cs="Arial"/>
        </w:rPr>
        <w:t xml:space="preserve">. In this alternative scenario, the same assumptions as for the base counterfactual were used, except that a lower share of </w:t>
      </w:r>
      <w:r w:rsidRPr="00CD0615">
        <w:rPr>
          <w:rFonts w:ascii="Arial" w:hAnsi="Arial" w:cs="Arial"/>
          <w:color w:val="000000" w:themeColor="text1"/>
        </w:rPr>
        <w:t xml:space="preserve">benefits </w:t>
      </w:r>
      <w:r>
        <w:rPr>
          <w:rFonts w:ascii="Arial" w:hAnsi="Arial" w:cs="Arial"/>
          <w:color w:val="000000" w:themeColor="text1"/>
        </w:rPr>
        <w:t>was attributed to the cluster</w:t>
      </w:r>
      <w:r>
        <w:rPr>
          <w:rFonts w:ascii="Arial" w:hAnsi="Arial" w:cs="Arial"/>
        </w:rPr>
        <w:t>. Results are provided in Table 28</w:t>
      </w:r>
      <w:r w:rsidRPr="00D50C47">
        <w:rPr>
          <w:rFonts w:ascii="Arial" w:hAnsi="Arial" w:cs="Arial"/>
        </w:rPr>
        <w:t>.</w:t>
      </w:r>
    </w:p>
    <w:p w:rsidR="002B5A16" w:rsidRPr="00D50C47" w:rsidRDefault="002B5A16" w:rsidP="00A66BB1">
      <w:pPr>
        <w:spacing w:after="240"/>
        <w:rPr>
          <w:rFonts w:ascii="Arial" w:hAnsi="Arial" w:cs="Arial"/>
        </w:rPr>
      </w:pPr>
      <w:r w:rsidRPr="00BA4222">
        <w:rPr>
          <w:rFonts w:ascii="Arial" w:hAnsi="Arial" w:cs="Arial"/>
        </w:rPr>
        <w:t>Table 2</w:t>
      </w:r>
      <w:r>
        <w:rPr>
          <w:rFonts w:ascii="Arial" w:hAnsi="Arial" w:cs="Arial"/>
        </w:rPr>
        <w:t>8</w:t>
      </w:r>
      <w:r w:rsidRPr="00BA4222">
        <w:rPr>
          <w:rFonts w:ascii="Arial" w:hAnsi="Arial" w:cs="Arial"/>
        </w:rPr>
        <w:t xml:space="preserve"> shows that the discounted benefits are lower under the alternative counterfactual. The benefit-cost ratio for the total investment dropped </w:t>
      </w:r>
      <w:r w:rsidRPr="00E970AC">
        <w:rPr>
          <w:rFonts w:ascii="Arial" w:hAnsi="Arial" w:cs="Arial"/>
        </w:rPr>
        <w:t xml:space="preserve">from </w:t>
      </w:r>
      <w:r>
        <w:rPr>
          <w:rFonts w:ascii="Arial" w:hAnsi="Arial" w:cs="Arial"/>
        </w:rPr>
        <w:t xml:space="preserve">8.7 </w:t>
      </w:r>
      <w:r w:rsidRPr="00E970AC">
        <w:rPr>
          <w:rFonts w:ascii="Arial" w:hAnsi="Arial" w:cs="Arial"/>
        </w:rPr>
        <w:t xml:space="preserve">to </w:t>
      </w:r>
      <w:r w:rsidRPr="00111088">
        <w:rPr>
          <w:rFonts w:ascii="Arial" w:hAnsi="Arial" w:cs="Arial"/>
        </w:rPr>
        <w:t>7.7</w:t>
      </w:r>
      <w:r w:rsidRPr="00E970AC">
        <w:rPr>
          <w:rFonts w:ascii="Arial" w:hAnsi="Arial" w:cs="Arial"/>
        </w:rPr>
        <w:t xml:space="preserve"> under</w:t>
      </w:r>
      <w:r w:rsidRPr="00BA4222">
        <w:rPr>
          <w:rFonts w:ascii="Arial" w:hAnsi="Arial" w:cs="Arial"/>
        </w:rPr>
        <w:t xml:space="preserve"> the alternative counterfactual.</w:t>
      </w:r>
      <w:r>
        <w:rPr>
          <w:rFonts w:ascii="Arial" w:hAnsi="Arial" w:cs="Arial"/>
        </w:rPr>
        <w:t xml:space="preserve">  </w:t>
      </w:r>
    </w:p>
    <w:p w:rsidR="002B5A16" w:rsidRPr="00A66BB1" w:rsidRDefault="002B5A16" w:rsidP="00A66BB1">
      <w:pPr>
        <w:pStyle w:val="Caption"/>
        <w:spacing w:after="240"/>
        <w:jc w:val="center"/>
        <w:rPr>
          <w:b w:val="0"/>
        </w:rPr>
      </w:pPr>
      <w:bookmarkStart w:id="494" w:name="_Toc487091302"/>
      <w:r w:rsidRPr="00A66BB1">
        <w:rPr>
          <w:rFonts w:ascii="Arial" w:hAnsi="Arial"/>
          <w:b w:val="0"/>
          <w:sz w:val="22"/>
          <w:szCs w:val="22"/>
        </w:rPr>
        <w:t xml:space="preserve">Table </w:t>
      </w:r>
      <w:r w:rsidR="00913E1D">
        <w:rPr>
          <w:rFonts w:ascii="Arial" w:hAnsi="Arial"/>
          <w:b w:val="0"/>
          <w:i/>
          <w:sz w:val="22"/>
          <w:szCs w:val="22"/>
        </w:rPr>
        <w:t>28</w:t>
      </w:r>
      <w:r w:rsidRPr="00A66BB1">
        <w:rPr>
          <w:rFonts w:ascii="Arial" w:hAnsi="Arial"/>
          <w:b w:val="0"/>
          <w:sz w:val="22"/>
          <w:szCs w:val="22"/>
        </w:rPr>
        <w:t xml:space="preserve">: </w:t>
      </w:r>
      <w:r w:rsidRPr="00A66BB1">
        <w:rPr>
          <w:rFonts w:ascii="Arial" w:hAnsi="Arial"/>
          <w:b w:val="0"/>
          <w:color w:val="000000" w:themeColor="text1"/>
          <w:sz w:val="22"/>
          <w:szCs w:val="22"/>
        </w:rPr>
        <w:t>Investment Criteria for Total Investment in the Project using the Alternative Counterfactual</w:t>
      </w:r>
      <w:bookmarkEnd w:id="494"/>
      <w:r w:rsidR="00A66BB1" w:rsidRPr="00A66BB1">
        <w:rPr>
          <w:rFonts w:ascii="Arial" w:hAnsi="Arial"/>
          <w:b w:val="0"/>
          <w:color w:val="000000" w:themeColor="text1"/>
          <w:sz w:val="22"/>
          <w:szCs w:val="22"/>
        </w:rPr>
        <w:t xml:space="preserve"> </w:t>
      </w:r>
      <w:r w:rsidR="00A66BB1" w:rsidRPr="00A66BB1">
        <w:rPr>
          <w:rFonts w:ascii="Arial" w:hAnsi="Arial"/>
          <w:b w:val="0"/>
          <w:color w:val="000000" w:themeColor="text1"/>
          <w:sz w:val="22"/>
          <w:szCs w:val="22"/>
        </w:rPr>
        <w:br/>
      </w:r>
      <w:r w:rsidRPr="00A66BB1">
        <w:rPr>
          <w:rFonts w:ascii="Arial" w:hAnsi="Arial"/>
          <w:b w:val="0"/>
          <w:color w:val="000000" w:themeColor="text1"/>
          <w:sz w:val="22"/>
          <w:szCs w:val="22"/>
        </w:rPr>
        <w:t>(Total investment, 30 years, 5% discount rate)</w:t>
      </w:r>
    </w:p>
    <w:tbl>
      <w:tblPr>
        <w:tblStyle w:val="TableGrid"/>
        <w:tblW w:w="5568" w:type="pct"/>
        <w:jc w:val="center"/>
        <w:tblLayout w:type="fixed"/>
        <w:tblLook w:val="04A0" w:firstRow="1" w:lastRow="0" w:firstColumn="1" w:lastColumn="0" w:noHBand="0" w:noVBand="1"/>
      </w:tblPr>
      <w:tblGrid>
        <w:gridCol w:w="3220"/>
        <w:gridCol w:w="1130"/>
        <w:gridCol w:w="1072"/>
        <w:gridCol w:w="904"/>
        <w:gridCol w:w="904"/>
        <w:gridCol w:w="904"/>
        <w:gridCol w:w="904"/>
        <w:gridCol w:w="1002"/>
      </w:tblGrid>
      <w:tr w:rsidR="002B5A16" w:rsidRPr="0097461E" w:rsidTr="0097461E">
        <w:trPr>
          <w:jc w:val="center"/>
        </w:trPr>
        <w:tc>
          <w:tcPr>
            <w:tcW w:w="1604" w:type="pct"/>
            <w:vMerge w:val="restart"/>
          </w:tcPr>
          <w:p w:rsidR="002B5A16" w:rsidRPr="0097461E" w:rsidRDefault="002B5A16" w:rsidP="002B5A16">
            <w:pPr>
              <w:rPr>
                <w:rFonts w:ascii="Arial" w:hAnsi="Arial" w:cs="Arial"/>
                <w:b/>
                <w:sz w:val="22"/>
                <w:szCs w:val="22"/>
              </w:rPr>
            </w:pPr>
            <w:r w:rsidRPr="0097461E">
              <w:rPr>
                <w:rFonts w:ascii="Arial" w:hAnsi="Arial" w:cs="Arial"/>
                <w:b/>
                <w:sz w:val="22"/>
                <w:szCs w:val="22"/>
              </w:rPr>
              <w:t xml:space="preserve">Investment criteria </w:t>
            </w:r>
          </w:p>
        </w:tc>
        <w:tc>
          <w:tcPr>
            <w:tcW w:w="3396" w:type="pct"/>
            <w:gridSpan w:val="7"/>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 xml:space="preserve">Number of years from year of last investment </w:t>
            </w:r>
          </w:p>
        </w:tc>
      </w:tr>
      <w:tr w:rsidR="002B5A16" w:rsidRPr="0097461E" w:rsidTr="0097461E">
        <w:trPr>
          <w:jc w:val="center"/>
        </w:trPr>
        <w:tc>
          <w:tcPr>
            <w:tcW w:w="1604" w:type="pct"/>
            <w:vMerge/>
          </w:tcPr>
          <w:p w:rsidR="002B5A16" w:rsidRPr="0097461E" w:rsidRDefault="002B5A16" w:rsidP="002B5A16">
            <w:pPr>
              <w:rPr>
                <w:rFonts w:ascii="Arial" w:hAnsi="Arial" w:cs="Arial"/>
                <w:sz w:val="22"/>
                <w:szCs w:val="22"/>
              </w:rPr>
            </w:pPr>
          </w:p>
        </w:tc>
        <w:tc>
          <w:tcPr>
            <w:tcW w:w="563" w:type="pct"/>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0</w:t>
            </w:r>
          </w:p>
        </w:tc>
        <w:tc>
          <w:tcPr>
            <w:tcW w:w="534" w:type="pct"/>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5</w:t>
            </w:r>
          </w:p>
        </w:tc>
        <w:tc>
          <w:tcPr>
            <w:tcW w:w="450" w:type="pct"/>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10</w:t>
            </w:r>
          </w:p>
        </w:tc>
        <w:tc>
          <w:tcPr>
            <w:tcW w:w="450" w:type="pct"/>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15</w:t>
            </w:r>
          </w:p>
        </w:tc>
        <w:tc>
          <w:tcPr>
            <w:tcW w:w="450" w:type="pct"/>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20</w:t>
            </w:r>
          </w:p>
        </w:tc>
        <w:tc>
          <w:tcPr>
            <w:tcW w:w="450" w:type="pct"/>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25</w:t>
            </w:r>
          </w:p>
        </w:tc>
        <w:tc>
          <w:tcPr>
            <w:tcW w:w="498" w:type="pct"/>
          </w:tcPr>
          <w:p w:rsidR="002B5A16" w:rsidRPr="0097461E" w:rsidRDefault="002B5A16" w:rsidP="002B5A16">
            <w:pPr>
              <w:jc w:val="center"/>
              <w:rPr>
                <w:rFonts w:ascii="Arial" w:hAnsi="Arial" w:cs="Arial"/>
                <w:b/>
                <w:sz w:val="22"/>
                <w:szCs w:val="22"/>
              </w:rPr>
            </w:pPr>
            <w:r w:rsidRPr="0097461E">
              <w:rPr>
                <w:rFonts w:ascii="Arial" w:hAnsi="Arial" w:cs="Arial"/>
                <w:b/>
                <w:sz w:val="22"/>
                <w:szCs w:val="22"/>
              </w:rPr>
              <w:t>30</w:t>
            </w:r>
          </w:p>
        </w:tc>
      </w:tr>
      <w:tr w:rsidR="002B5A16" w:rsidRPr="0097461E" w:rsidTr="0097461E">
        <w:trPr>
          <w:jc w:val="center"/>
        </w:trPr>
        <w:tc>
          <w:tcPr>
            <w:tcW w:w="1604" w:type="pct"/>
          </w:tcPr>
          <w:p w:rsidR="002B5A16" w:rsidRPr="0097461E" w:rsidRDefault="002B5A16" w:rsidP="002B5A16">
            <w:pPr>
              <w:widowControl w:val="0"/>
              <w:rPr>
                <w:rFonts w:ascii="Arial" w:hAnsi="Arial" w:cs="Arial"/>
                <w:sz w:val="22"/>
                <w:szCs w:val="22"/>
              </w:rPr>
            </w:pPr>
            <w:r w:rsidRPr="0097461E">
              <w:rPr>
                <w:rFonts w:ascii="Arial" w:hAnsi="Arial" w:cs="Arial"/>
                <w:sz w:val="22"/>
                <w:szCs w:val="22"/>
              </w:rPr>
              <w:t>Present value of benefits ($m)</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54.86</w:t>
            </w:r>
          </w:p>
        </w:tc>
        <w:tc>
          <w:tcPr>
            <w:tcW w:w="534" w:type="pct"/>
            <w:tcBorders>
              <w:top w:val="single" w:sz="4" w:space="0" w:color="auto"/>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72.48</w:t>
            </w:r>
          </w:p>
        </w:tc>
        <w:tc>
          <w:tcPr>
            <w:tcW w:w="450" w:type="pct"/>
            <w:tcBorders>
              <w:top w:val="single" w:sz="4" w:space="0" w:color="auto"/>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86.28</w:t>
            </w:r>
          </w:p>
        </w:tc>
        <w:tc>
          <w:tcPr>
            <w:tcW w:w="450" w:type="pct"/>
            <w:tcBorders>
              <w:top w:val="single" w:sz="4" w:space="0" w:color="auto"/>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97.10</w:t>
            </w:r>
          </w:p>
        </w:tc>
        <w:tc>
          <w:tcPr>
            <w:tcW w:w="450" w:type="pct"/>
            <w:tcBorders>
              <w:top w:val="single" w:sz="4" w:space="0" w:color="auto"/>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105.58</w:t>
            </w:r>
          </w:p>
        </w:tc>
        <w:tc>
          <w:tcPr>
            <w:tcW w:w="450" w:type="pct"/>
            <w:tcBorders>
              <w:top w:val="single" w:sz="4" w:space="0" w:color="auto"/>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112.22</w:t>
            </w:r>
          </w:p>
        </w:tc>
        <w:tc>
          <w:tcPr>
            <w:tcW w:w="498" w:type="pct"/>
            <w:tcBorders>
              <w:top w:val="single" w:sz="4" w:space="0" w:color="auto"/>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117.42</w:t>
            </w:r>
          </w:p>
        </w:tc>
      </w:tr>
      <w:tr w:rsidR="002B5A16" w:rsidRPr="0097461E" w:rsidTr="0097461E">
        <w:trPr>
          <w:jc w:val="center"/>
        </w:trPr>
        <w:tc>
          <w:tcPr>
            <w:tcW w:w="1604" w:type="pct"/>
          </w:tcPr>
          <w:p w:rsidR="002B5A16" w:rsidRPr="0097461E" w:rsidRDefault="002B5A16" w:rsidP="002B5A16">
            <w:pPr>
              <w:widowControl w:val="0"/>
              <w:rPr>
                <w:rFonts w:ascii="Arial" w:hAnsi="Arial" w:cs="Arial"/>
                <w:sz w:val="22"/>
                <w:szCs w:val="22"/>
              </w:rPr>
            </w:pPr>
            <w:r w:rsidRPr="0097461E">
              <w:rPr>
                <w:rFonts w:ascii="Arial" w:hAnsi="Arial" w:cs="Arial"/>
                <w:sz w:val="22"/>
                <w:szCs w:val="22"/>
              </w:rPr>
              <w:t>Present value of costs ($m)</w:t>
            </w:r>
          </w:p>
        </w:tc>
        <w:tc>
          <w:tcPr>
            <w:tcW w:w="563" w:type="pct"/>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15.25</w:t>
            </w:r>
          </w:p>
        </w:tc>
        <w:tc>
          <w:tcPr>
            <w:tcW w:w="534"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15.25</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15.25</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15.25</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15.25</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15.25</w:t>
            </w:r>
          </w:p>
        </w:tc>
        <w:tc>
          <w:tcPr>
            <w:tcW w:w="498"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15.25</w:t>
            </w:r>
          </w:p>
        </w:tc>
      </w:tr>
      <w:tr w:rsidR="002B5A16" w:rsidRPr="0097461E" w:rsidTr="0097461E">
        <w:trPr>
          <w:jc w:val="center"/>
        </w:trPr>
        <w:tc>
          <w:tcPr>
            <w:tcW w:w="1604" w:type="pct"/>
          </w:tcPr>
          <w:p w:rsidR="002B5A16" w:rsidRPr="0097461E" w:rsidRDefault="002B5A16" w:rsidP="002B5A16">
            <w:pPr>
              <w:widowControl w:val="0"/>
              <w:rPr>
                <w:rFonts w:ascii="Arial" w:hAnsi="Arial" w:cs="Arial"/>
                <w:sz w:val="22"/>
                <w:szCs w:val="22"/>
              </w:rPr>
            </w:pPr>
            <w:r w:rsidRPr="0097461E">
              <w:rPr>
                <w:rFonts w:ascii="Arial" w:hAnsi="Arial" w:cs="Arial"/>
                <w:sz w:val="22"/>
                <w:szCs w:val="22"/>
              </w:rPr>
              <w:t>Net present value ($m)</w:t>
            </w:r>
          </w:p>
        </w:tc>
        <w:tc>
          <w:tcPr>
            <w:tcW w:w="563" w:type="pct"/>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39.61</w:t>
            </w:r>
          </w:p>
        </w:tc>
        <w:tc>
          <w:tcPr>
            <w:tcW w:w="534"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57.23</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71.04</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81.85</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90.33</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96.97</w:t>
            </w:r>
          </w:p>
        </w:tc>
        <w:tc>
          <w:tcPr>
            <w:tcW w:w="498"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102.18</w:t>
            </w:r>
          </w:p>
        </w:tc>
      </w:tr>
      <w:tr w:rsidR="002B5A16" w:rsidRPr="0097461E" w:rsidTr="0097461E">
        <w:trPr>
          <w:jc w:val="center"/>
        </w:trPr>
        <w:tc>
          <w:tcPr>
            <w:tcW w:w="1604" w:type="pct"/>
          </w:tcPr>
          <w:p w:rsidR="002B5A16" w:rsidRPr="0097461E" w:rsidRDefault="002B5A16" w:rsidP="002B5A16">
            <w:pPr>
              <w:widowControl w:val="0"/>
              <w:rPr>
                <w:rFonts w:ascii="Arial" w:hAnsi="Arial" w:cs="Arial"/>
                <w:sz w:val="22"/>
                <w:szCs w:val="22"/>
              </w:rPr>
            </w:pPr>
            <w:r w:rsidRPr="0097461E">
              <w:rPr>
                <w:rFonts w:ascii="Arial" w:hAnsi="Arial" w:cs="Arial"/>
                <w:sz w:val="22"/>
                <w:szCs w:val="22"/>
              </w:rPr>
              <w:t>Benefit-cost ratio</w:t>
            </w:r>
          </w:p>
        </w:tc>
        <w:tc>
          <w:tcPr>
            <w:tcW w:w="563" w:type="pct"/>
            <w:tcBorders>
              <w:top w:val="nil"/>
              <w:left w:val="single" w:sz="4" w:space="0" w:color="auto"/>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3.60</w:t>
            </w:r>
          </w:p>
        </w:tc>
        <w:tc>
          <w:tcPr>
            <w:tcW w:w="534"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4.75</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5.66</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6.37</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6.92</w:t>
            </w:r>
          </w:p>
        </w:tc>
        <w:tc>
          <w:tcPr>
            <w:tcW w:w="450"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7.36</w:t>
            </w:r>
          </w:p>
        </w:tc>
        <w:tc>
          <w:tcPr>
            <w:tcW w:w="498" w:type="pct"/>
            <w:tcBorders>
              <w:top w:val="nil"/>
              <w:left w:val="nil"/>
              <w:bottom w:val="single" w:sz="4" w:space="0" w:color="auto"/>
              <w:right w:val="single" w:sz="4" w:space="0" w:color="auto"/>
            </w:tcBorders>
            <w:shd w:val="clear" w:color="auto" w:fill="auto"/>
            <w:vAlign w:val="bottom"/>
          </w:tcPr>
          <w:p w:rsidR="002B5A16" w:rsidRPr="0097461E" w:rsidRDefault="002B5A16">
            <w:pPr>
              <w:jc w:val="right"/>
              <w:rPr>
                <w:rFonts w:ascii="Arial" w:hAnsi="Arial" w:cs="Arial"/>
                <w:sz w:val="22"/>
                <w:szCs w:val="22"/>
              </w:rPr>
            </w:pPr>
            <w:r w:rsidRPr="0097461E">
              <w:rPr>
                <w:rFonts w:ascii="Arial" w:hAnsi="Arial" w:cs="Arial"/>
                <w:sz w:val="22"/>
                <w:szCs w:val="22"/>
              </w:rPr>
              <w:t>7.70</w:t>
            </w:r>
          </w:p>
        </w:tc>
      </w:tr>
    </w:tbl>
    <w:p w:rsidR="002B5A16" w:rsidRDefault="002B5A16" w:rsidP="002B5A16">
      <w:pPr>
        <w:rPr>
          <w:rFonts w:ascii="Arial" w:hAnsi="Arial" w:cs="Arial"/>
        </w:rPr>
      </w:pPr>
    </w:p>
    <w:p w:rsidR="0097461E" w:rsidRPr="00D50C47" w:rsidRDefault="0097461E" w:rsidP="002B5A16">
      <w:pPr>
        <w:rPr>
          <w:rFonts w:ascii="Arial" w:hAnsi="Arial" w:cs="Arial"/>
        </w:rPr>
      </w:pPr>
    </w:p>
    <w:p w:rsidR="002B5A16" w:rsidRPr="00D50C47" w:rsidRDefault="002B5A16" w:rsidP="00A66BB1">
      <w:pPr>
        <w:widowControl w:val="0"/>
        <w:spacing w:after="240"/>
        <w:mirrorIndents/>
        <w:rPr>
          <w:rFonts w:ascii="Arial" w:hAnsi="Arial" w:cs="Arial"/>
          <w:b/>
          <w:sz w:val="24"/>
        </w:rPr>
      </w:pPr>
      <w:r w:rsidRPr="00D50C47">
        <w:rPr>
          <w:rFonts w:ascii="Arial" w:hAnsi="Arial" w:cs="Arial"/>
          <w:b/>
          <w:sz w:val="24"/>
        </w:rPr>
        <w:t xml:space="preserve">Confidence Ratings and other Findings </w:t>
      </w:r>
    </w:p>
    <w:p w:rsidR="002B5A16" w:rsidRPr="00D50C47" w:rsidRDefault="002B5A16" w:rsidP="00A66BB1">
      <w:pPr>
        <w:widowControl w:val="0"/>
        <w:spacing w:after="240"/>
        <w:mirrorIndents/>
        <w:rPr>
          <w:rFonts w:ascii="Arial" w:hAnsi="Arial" w:cs="Arial"/>
        </w:rPr>
      </w:pPr>
      <w:r w:rsidRPr="00D50C47">
        <w:rPr>
          <w:rFonts w:ascii="Arial" w:hAnsi="Arial" w:cs="Arial"/>
        </w:rPr>
        <w:t xml:space="preserve">The results produced are highly dependent on the assumptions made, </w:t>
      </w:r>
      <w:r>
        <w:rPr>
          <w:rFonts w:ascii="Arial" w:hAnsi="Arial" w:cs="Arial"/>
        </w:rPr>
        <w:t xml:space="preserve">some </w:t>
      </w:r>
      <w:r w:rsidRPr="00D50C47">
        <w:rPr>
          <w:rFonts w:ascii="Arial" w:hAnsi="Arial" w:cs="Arial"/>
        </w:rPr>
        <w:t xml:space="preserve">of which are uncertain.  There are two factors that warrant recognition. The first factor is the coverage of benefits. Where there are multiple types of benefits it is often not possible to quantify all the benefits that may be linked to the investment. The second factor involves uncertainty regarding the assumptions made, including the linkage between the research and the assumed outcomes. </w:t>
      </w:r>
    </w:p>
    <w:p w:rsidR="002B5A16" w:rsidRDefault="002B5A16" w:rsidP="00A66BB1">
      <w:pPr>
        <w:widowControl w:val="0"/>
        <w:spacing w:after="240"/>
        <w:mirrorIndents/>
        <w:rPr>
          <w:rFonts w:ascii="Arial" w:hAnsi="Arial" w:cs="Arial"/>
        </w:rPr>
      </w:pPr>
      <w:r w:rsidRPr="00D50C47">
        <w:rPr>
          <w:rFonts w:ascii="Arial" w:hAnsi="Arial" w:cs="Arial"/>
        </w:rPr>
        <w:t xml:space="preserve">A confidence rating based on these two factors has been given to the results of </w:t>
      </w:r>
      <w:r>
        <w:rPr>
          <w:rFonts w:ascii="Arial" w:hAnsi="Arial" w:cs="Arial"/>
        </w:rPr>
        <w:t>the investment analysis (Table 29</w:t>
      </w:r>
      <w:r w:rsidRPr="00D50C47">
        <w:rPr>
          <w:rFonts w:ascii="Arial" w:hAnsi="Arial" w:cs="Arial"/>
        </w:rPr>
        <w:t>). The rating categories used are High, Medium and Low, where:</w:t>
      </w:r>
    </w:p>
    <w:p w:rsidR="002B5A16" w:rsidRPr="00D50C47" w:rsidRDefault="002B5A16" w:rsidP="002B5A16">
      <w:pPr>
        <w:widowControl w:val="0"/>
        <w:ind w:left="1890" w:hanging="1350"/>
        <w:mirrorIndents/>
        <w:rPr>
          <w:rFonts w:ascii="Arial" w:hAnsi="Arial" w:cs="Arial"/>
        </w:rPr>
      </w:pPr>
      <w:r w:rsidRPr="00D50C47">
        <w:rPr>
          <w:rFonts w:ascii="Arial" w:hAnsi="Arial" w:cs="Arial"/>
        </w:rPr>
        <w:t>High:</w:t>
      </w:r>
      <w:r w:rsidRPr="00D50C47">
        <w:rPr>
          <w:rFonts w:ascii="Arial" w:hAnsi="Arial" w:cs="Arial"/>
        </w:rPr>
        <w:tab/>
        <w:t xml:space="preserve">denotes a good coverage of benefits or reasonable confidence in the assumptions made </w:t>
      </w:r>
    </w:p>
    <w:p w:rsidR="002B5A16" w:rsidRPr="00D50C47" w:rsidRDefault="002B5A16" w:rsidP="002B5A16">
      <w:pPr>
        <w:widowControl w:val="0"/>
        <w:ind w:left="1890" w:hanging="1350"/>
        <w:mirrorIndents/>
        <w:rPr>
          <w:rFonts w:ascii="Arial" w:hAnsi="Arial" w:cs="Arial"/>
        </w:rPr>
      </w:pPr>
      <w:r w:rsidRPr="00D50C47">
        <w:rPr>
          <w:rFonts w:ascii="Arial" w:hAnsi="Arial" w:cs="Arial"/>
        </w:rPr>
        <w:t>Medium:</w:t>
      </w:r>
      <w:r w:rsidRPr="00D50C47">
        <w:rPr>
          <w:rFonts w:ascii="Arial" w:hAnsi="Arial" w:cs="Arial"/>
        </w:rPr>
        <w:tab/>
        <w:t xml:space="preserve">denotes only a reasonable coverage of benefits or some uncertainties in assumptions made </w:t>
      </w:r>
    </w:p>
    <w:p w:rsidR="002B5A16" w:rsidRPr="00D50C47" w:rsidRDefault="002B5A16" w:rsidP="002B5A16">
      <w:pPr>
        <w:widowControl w:val="0"/>
        <w:ind w:left="1890" w:hanging="1350"/>
        <w:mirrorIndents/>
        <w:rPr>
          <w:rFonts w:ascii="Arial" w:hAnsi="Arial" w:cs="Arial"/>
        </w:rPr>
      </w:pPr>
      <w:r w:rsidRPr="00D50C47">
        <w:rPr>
          <w:rFonts w:ascii="Arial" w:hAnsi="Arial" w:cs="Arial"/>
        </w:rPr>
        <w:t>Low:</w:t>
      </w:r>
      <w:r w:rsidRPr="00D50C47">
        <w:rPr>
          <w:rFonts w:ascii="Arial" w:hAnsi="Arial" w:cs="Arial"/>
        </w:rPr>
        <w:tab/>
        <w:t xml:space="preserve">denotes a poor coverage of benefits or many uncertainties in assumptions made </w:t>
      </w:r>
    </w:p>
    <w:p w:rsidR="002B5A16" w:rsidRDefault="002B5A16" w:rsidP="002B5A16">
      <w:pPr>
        <w:widowControl w:val="0"/>
        <w:mirrorIndents/>
        <w:jc w:val="center"/>
        <w:rPr>
          <w:rFonts w:ascii="Arial" w:hAnsi="Arial" w:cs="Arial"/>
        </w:rPr>
      </w:pPr>
    </w:p>
    <w:p w:rsidR="002B5A16" w:rsidRPr="00A66BB1" w:rsidRDefault="002B5A16" w:rsidP="00A66BB1">
      <w:pPr>
        <w:pStyle w:val="Caption"/>
        <w:spacing w:after="240"/>
        <w:jc w:val="center"/>
        <w:rPr>
          <w:rFonts w:ascii="Arial" w:hAnsi="Arial"/>
          <w:b w:val="0"/>
          <w:i/>
          <w:color w:val="000000" w:themeColor="text1"/>
          <w:sz w:val="22"/>
          <w:szCs w:val="22"/>
        </w:rPr>
      </w:pPr>
      <w:bookmarkStart w:id="495" w:name="_Toc487091303"/>
      <w:r w:rsidRPr="00A66BB1">
        <w:rPr>
          <w:rFonts w:ascii="Arial" w:hAnsi="Arial"/>
          <w:b w:val="0"/>
          <w:sz w:val="22"/>
          <w:szCs w:val="22"/>
        </w:rPr>
        <w:t xml:space="preserve">Table </w:t>
      </w:r>
      <w:r w:rsidR="00913E1D" w:rsidRPr="0097461E">
        <w:rPr>
          <w:rFonts w:ascii="Arial" w:hAnsi="Arial"/>
          <w:b w:val="0"/>
          <w:sz w:val="22"/>
          <w:szCs w:val="22"/>
        </w:rPr>
        <w:t>29</w:t>
      </w:r>
      <w:r w:rsidRPr="0097461E">
        <w:rPr>
          <w:rFonts w:ascii="Arial" w:hAnsi="Arial"/>
          <w:b w:val="0"/>
          <w:sz w:val="22"/>
          <w:szCs w:val="22"/>
        </w:rPr>
        <w:t>:</w:t>
      </w:r>
      <w:r w:rsidRPr="00A66BB1">
        <w:rPr>
          <w:rFonts w:ascii="Arial" w:hAnsi="Arial"/>
          <w:b w:val="0"/>
          <w:sz w:val="22"/>
          <w:szCs w:val="22"/>
        </w:rPr>
        <w:t xml:space="preserve"> </w:t>
      </w:r>
      <w:r w:rsidRPr="00A66BB1">
        <w:rPr>
          <w:rFonts w:ascii="Arial" w:hAnsi="Arial"/>
          <w:b w:val="0"/>
          <w:color w:val="000000" w:themeColor="text1"/>
          <w:sz w:val="22"/>
          <w:szCs w:val="22"/>
        </w:rPr>
        <w:t>Confidence in Analysis of Project</w:t>
      </w:r>
      <w:bookmarkEnd w:id="495"/>
    </w:p>
    <w:tbl>
      <w:tblPr>
        <w:tblStyle w:val="TableGrid"/>
        <w:tblW w:w="0" w:type="auto"/>
        <w:tblInd w:w="1951" w:type="dxa"/>
        <w:tblLook w:val="04A0" w:firstRow="1" w:lastRow="0" w:firstColumn="1" w:lastColumn="0" w:noHBand="0" w:noVBand="1"/>
      </w:tblPr>
      <w:tblGrid>
        <w:gridCol w:w="2551"/>
        <w:gridCol w:w="2552"/>
      </w:tblGrid>
      <w:tr w:rsidR="002B5A16" w:rsidRPr="00D50C47" w:rsidTr="002B5A16">
        <w:tc>
          <w:tcPr>
            <w:tcW w:w="2551" w:type="dxa"/>
            <w:vAlign w:val="center"/>
          </w:tcPr>
          <w:p w:rsidR="002B5A16" w:rsidRPr="00D50C47" w:rsidRDefault="002B5A16" w:rsidP="002B5A16">
            <w:pPr>
              <w:widowControl w:val="0"/>
              <w:mirrorIndents/>
              <w:jc w:val="center"/>
              <w:rPr>
                <w:rFonts w:ascii="Arial" w:hAnsi="Arial" w:cs="Arial"/>
                <w:b/>
                <w:sz w:val="22"/>
                <w:szCs w:val="22"/>
              </w:rPr>
            </w:pPr>
            <w:r w:rsidRPr="00D50C47">
              <w:rPr>
                <w:rFonts w:ascii="Arial" w:hAnsi="Arial" w:cs="Arial"/>
                <w:b/>
                <w:sz w:val="22"/>
                <w:szCs w:val="22"/>
              </w:rPr>
              <w:t>Coverage of Benefits</w:t>
            </w:r>
          </w:p>
        </w:tc>
        <w:tc>
          <w:tcPr>
            <w:tcW w:w="2552" w:type="dxa"/>
            <w:vAlign w:val="center"/>
          </w:tcPr>
          <w:p w:rsidR="002B5A16" w:rsidRPr="00D50C47" w:rsidRDefault="002B5A16" w:rsidP="002B5A16">
            <w:pPr>
              <w:widowControl w:val="0"/>
              <w:mirrorIndents/>
              <w:jc w:val="center"/>
              <w:rPr>
                <w:rFonts w:ascii="Arial" w:hAnsi="Arial" w:cs="Arial"/>
                <w:b/>
                <w:sz w:val="22"/>
                <w:szCs w:val="22"/>
              </w:rPr>
            </w:pPr>
            <w:r w:rsidRPr="00D50C47">
              <w:rPr>
                <w:rFonts w:ascii="Arial" w:hAnsi="Arial" w:cs="Arial"/>
                <w:b/>
                <w:sz w:val="22"/>
                <w:szCs w:val="22"/>
              </w:rPr>
              <w:t>Confidence in Assumptions</w:t>
            </w:r>
          </w:p>
        </w:tc>
      </w:tr>
      <w:tr w:rsidR="002B5A16" w:rsidRPr="00D50C47" w:rsidTr="002B5A16">
        <w:trPr>
          <w:trHeight w:val="432"/>
        </w:trPr>
        <w:tc>
          <w:tcPr>
            <w:tcW w:w="2551" w:type="dxa"/>
            <w:vAlign w:val="center"/>
          </w:tcPr>
          <w:p w:rsidR="002B5A16" w:rsidRPr="00D50C47" w:rsidRDefault="002B5A16" w:rsidP="002B5A16">
            <w:pPr>
              <w:widowControl w:val="0"/>
              <w:mirrorIndents/>
              <w:jc w:val="center"/>
              <w:rPr>
                <w:rFonts w:ascii="Arial" w:hAnsi="Arial" w:cs="Arial"/>
                <w:sz w:val="22"/>
                <w:szCs w:val="22"/>
              </w:rPr>
            </w:pPr>
            <w:r>
              <w:rPr>
                <w:rFonts w:ascii="Arial" w:hAnsi="Arial" w:cs="Arial"/>
                <w:sz w:val="22"/>
                <w:szCs w:val="22"/>
              </w:rPr>
              <w:t>High</w:t>
            </w:r>
          </w:p>
        </w:tc>
        <w:tc>
          <w:tcPr>
            <w:tcW w:w="2552" w:type="dxa"/>
            <w:vAlign w:val="center"/>
          </w:tcPr>
          <w:p w:rsidR="002B5A16" w:rsidRPr="00D50C47" w:rsidRDefault="002B5A16" w:rsidP="002B5A16">
            <w:pPr>
              <w:widowControl w:val="0"/>
              <w:mirrorIndents/>
              <w:jc w:val="center"/>
              <w:rPr>
                <w:rFonts w:ascii="Arial" w:hAnsi="Arial" w:cs="Arial"/>
                <w:sz w:val="22"/>
                <w:szCs w:val="22"/>
              </w:rPr>
            </w:pPr>
            <w:r>
              <w:rPr>
                <w:rFonts w:ascii="Arial" w:hAnsi="Arial" w:cs="Arial"/>
                <w:sz w:val="22"/>
                <w:szCs w:val="22"/>
              </w:rPr>
              <w:t xml:space="preserve">High </w:t>
            </w:r>
          </w:p>
        </w:tc>
      </w:tr>
    </w:tbl>
    <w:p w:rsidR="002B5A16" w:rsidRPr="00D50C47" w:rsidRDefault="002B5A16" w:rsidP="002B5A16">
      <w:pPr>
        <w:rPr>
          <w:rFonts w:ascii="Arial" w:hAnsi="Arial" w:cs="Arial"/>
          <w:sz w:val="18"/>
          <w:szCs w:val="18"/>
        </w:rPr>
      </w:pPr>
    </w:p>
    <w:p w:rsidR="002B5A16" w:rsidRPr="00D50C47" w:rsidRDefault="002B5A16" w:rsidP="00A66BB1">
      <w:pPr>
        <w:spacing w:after="240"/>
        <w:rPr>
          <w:rFonts w:ascii="Arial" w:hAnsi="Arial" w:cs="Arial"/>
        </w:rPr>
      </w:pPr>
      <w:r w:rsidRPr="00D50C47">
        <w:rPr>
          <w:rFonts w:ascii="Arial" w:hAnsi="Arial" w:cs="Arial"/>
        </w:rPr>
        <w:t xml:space="preserve">Coverage of benefits was assessed as high as most benefits were economic in nature </w:t>
      </w:r>
      <w:r>
        <w:rPr>
          <w:rFonts w:ascii="Arial" w:hAnsi="Arial" w:cs="Arial"/>
        </w:rPr>
        <w:t xml:space="preserve">and </w:t>
      </w:r>
      <w:r w:rsidRPr="00D50C47">
        <w:rPr>
          <w:rFonts w:ascii="Arial" w:hAnsi="Arial" w:cs="Arial"/>
        </w:rPr>
        <w:t>relat</w:t>
      </w:r>
      <w:r>
        <w:rPr>
          <w:rFonts w:ascii="Arial" w:hAnsi="Arial" w:cs="Arial"/>
        </w:rPr>
        <w:t xml:space="preserve">ed </w:t>
      </w:r>
      <w:r w:rsidRPr="00D50C47">
        <w:rPr>
          <w:rFonts w:ascii="Arial" w:hAnsi="Arial" w:cs="Arial"/>
        </w:rPr>
        <w:t xml:space="preserve">to </w:t>
      </w:r>
      <w:r>
        <w:rPr>
          <w:rFonts w:ascii="Arial" w:hAnsi="Arial" w:cs="Arial"/>
        </w:rPr>
        <w:t xml:space="preserve">increased grower returns. </w:t>
      </w:r>
      <w:r w:rsidRPr="00D50C47">
        <w:rPr>
          <w:rFonts w:ascii="Arial" w:hAnsi="Arial" w:cs="Arial"/>
        </w:rPr>
        <w:t>While some impacts were not valued, the</w:t>
      </w:r>
      <w:r>
        <w:rPr>
          <w:rFonts w:ascii="Arial" w:hAnsi="Arial" w:cs="Arial"/>
        </w:rPr>
        <w:t xml:space="preserve">ir contribution was considered minor compared with those valued. </w:t>
      </w:r>
    </w:p>
    <w:p w:rsidR="002B5A16" w:rsidRDefault="002B5A16" w:rsidP="00A66BB1">
      <w:pPr>
        <w:spacing w:after="240"/>
        <w:rPr>
          <w:rFonts w:ascii="Arial" w:hAnsi="Arial" w:cs="Arial"/>
        </w:rPr>
      </w:pPr>
      <w:r w:rsidRPr="00D50C47">
        <w:rPr>
          <w:rFonts w:ascii="Arial" w:hAnsi="Arial" w:cs="Arial"/>
        </w:rPr>
        <w:t xml:space="preserve">Confidence in assumptions was rated as </w:t>
      </w:r>
      <w:r>
        <w:rPr>
          <w:rFonts w:ascii="Arial" w:hAnsi="Arial" w:cs="Arial"/>
        </w:rPr>
        <w:t>high</w:t>
      </w:r>
      <w:r w:rsidRPr="00D50C47">
        <w:rPr>
          <w:rFonts w:ascii="Arial" w:hAnsi="Arial" w:cs="Arial"/>
        </w:rPr>
        <w:t xml:space="preserve">. </w:t>
      </w:r>
      <w:r>
        <w:rPr>
          <w:rFonts w:ascii="Arial" w:hAnsi="Arial" w:cs="Arial"/>
        </w:rPr>
        <w:t xml:space="preserve">Principal assumptions around yield gain, increased profitability and additional sweetpotato area grown have already been realised.  </w:t>
      </w:r>
    </w:p>
    <w:p w:rsidR="00913E1D" w:rsidRDefault="00913E1D" w:rsidP="00A66BB1">
      <w:pPr>
        <w:spacing w:after="240"/>
        <w:rPr>
          <w:rFonts w:ascii="Arial" w:hAnsi="Arial" w:cs="Arial"/>
        </w:rPr>
      </w:pPr>
    </w:p>
    <w:p w:rsidR="002B5A16" w:rsidRPr="00A66BB1" w:rsidRDefault="002B5A16" w:rsidP="00A66BB1">
      <w:pPr>
        <w:spacing w:after="240"/>
        <w:rPr>
          <w:rFonts w:ascii="Arial" w:hAnsi="Arial" w:cs="Arial"/>
          <w:b/>
          <w:sz w:val="40"/>
          <w:szCs w:val="40"/>
        </w:rPr>
      </w:pPr>
      <w:bookmarkStart w:id="496" w:name="_Toc487091265"/>
      <w:r w:rsidRPr="00A66BB1">
        <w:rPr>
          <w:rFonts w:ascii="Arial" w:hAnsi="Arial" w:cs="Arial"/>
          <w:b/>
          <w:sz w:val="40"/>
          <w:szCs w:val="40"/>
        </w:rPr>
        <w:t>8. Conclusions</w:t>
      </w:r>
      <w:bookmarkEnd w:id="496"/>
      <w:r w:rsidRPr="00A66BB1">
        <w:rPr>
          <w:rFonts w:ascii="Arial" w:hAnsi="Arial" w:cs="Arial"/>
          <w:b/>
          <w:sz w:val="40"/>
          <w:szCs w:val="40"/>
        </w:rPr>
        <w:t xml:space="preserve"> </w:t>
      </w:r>
    </w:p>
    <w:p w:rsidR="002B5A16" w:rsidRPr="00D81D63" w:rsidRDefault="002B5A16" w:rsidP="00A66BB1">
      <w:pPr>
        <w:spacing w:after="240"/>
        <w:rPr>
          <w:rFonts w:ascii="Arial" w:hAnsi="Arial" w:cs="Arial"/>
        </w:rPr>
      </w:pPr>
      <w:r w:rsidRPr="00D81D63">
        <w:rPr>
          <w:rFonts w:ascii="Arial" w:hAnsi="Arial" w:cs="Arial"/>
        </w:rPr>
        <w:t xml:space="preserve">Investment in this cluster of projects has led to growth and further development of the Australian </w:t>
      </w:r>
      <w:r>
        <w:rPr>
          <w:rFonts w:ascii="Arial" w:hAnsi="Arial" w:cs="Arial"/>
        </w:rPr>
        <w:t>sweetpotato</w:t>
      </w:r>
      <w:r w:rsidRPr="00D81D63">
        <w:rPr>
          <w:rFonts w:ascii="Arial" w:hAnsi="Arial" w:cs="Arial"/>
        </w:rPr>
        <w:t xml:space="preserve"> industry. The industry is now positioned to become the third largest vegetable industry in Queensland. </w:t>
      </w:r>
    </w:p>
    <w:p w:rsidR="002B5A16" w:rsidRPr="00305360" w:rsidRDefault="002B5A16" w:rsidP="00A66BB1">
      <w:pPr>
        <w:spacing w:after="240"/>
        <w:rPr>
          <w:rFonts w:ascii="Arial" w:hAnsi="Arial" w:cs="Arial"/>
          <w:highlight w:val="yellow"/>
        </w:rPr>
      </w:pPr>
      <w:r w:rsidRPr="00D81D63">
        <w:rPr>
          <w:rFonts w:ascii="Arial" w:hAnsi="Arial" w:cs="Arial"/>
        </w:rPr>
        <w:t>Under the base counterfactual scenario, funding for this cluster of projects totalled $15.3 million (present value terms) and produced aggregate total expected benefits of $</w:t>
      </w:r>
      <w:r>
        <w:rPr>
          <w:rFonts w:ascii="Arial" w:hAnsi="Arial" w:cs="Arial"/>
        </w:rPr>
        <w:t>133.1</w:t>
      </w:r>
      <w:r w:rsidRPr="00D81D63">
        <w:rPr>
          <w:rFonts w:ascii="Arial" w:hAnsi="Arial" w:cs="Arial"/>
        </w:rPr>
        <w:t xml:space="preserve"> million (present value terms). This gave a net present value of $</w:t>
      </w:r>
      <w:r>
        <w:rPr>
          <w:rFonts w:ascii="Arial" w:hAnsi="Arial" w:cs="Arial"/>
        </w:rPr>
        <w:t>11</w:t>
      </w:r>
      <w:r w:rsidRPr="006E794C">
        <w:rPr>
          <w:rFonts w:ascii="Arial" w:hAnsi="Arial" w:cs="Arial"/>
        </w:rPr>
        <w:t>7.</w:t>
      </w:r>
      <w:r>
        <w:rPr>
          <w:rFonts w:ascii="Arial" w:hAnsi="Arial" w:cs="Arial"/>
        </w:rPr>
        <w:t>8</w:t>
      </w:r>
      <w:r w:rsidRPr="006E794C">
        <w:rPr>
          <w:rFonts w:ascii="Arial" w:hAnsi="Arial" w:cs="Arial"/>
        </w:rPr>
        <w:t xml:space="preserve"> million</w:t>
      </w:r>
      <w:r w:rsidRPr="00D81D63">
        <w:rPr>
          <w:rFonts w:ascii="Arial" w:hAnsi="Arial" w:cs="Arial"/>
        </w:rPr>
        <w:t xml:space="preserve">, a benefit-cost ratio of </w:t>
      </w:r>
      <w:r>
        <w:rPr>
          <w:rFonts w:ascii="Arial" w:hAnsi="Arial" w:cs="Arial"/>
        </w:rPr>
        <w:t>8.7</w:t>
      </w:r>
      <w:r w:rsidRPr="00D81D63">
        <w:rPr>
          <w:rFonts w:ascii="Arial" w:hAnsi="Arial" w:cs="Arial"/>
        </w:rPr>
        <w:t xml:space="preserve"> to 1 </w:t>
      </w:r>
      <w:r w:rsidRPr="00CC46D8">
        <w:rPr>
          <w:rFonts w:ascii="Arial" w:hAnsi="Arial" w:cs="Arial"/>
        </w:rPr>
        <w:t>and a modified internal rate of return of</w:t>
      </w:r>
      <w:r>
        <w:rPr>
          <w:rFonts w:ascii="Arial" w:hAnsi="Arial" w:cs="Arial"/>
        </w:rPr>
        <w:t xml:space="preserve"> 23.6%.</w:t>
      </w:r>
    </w:p>
    <w:p w:rsidR="002B5A16" w:rsidRDefault="002B5A16" w:rsidP="00A66BB1">
      <w:pPr>
        <w:spacing w:after="240"/>
        <w:rPr>
          <w:rFonts w:ascii="Arial" w:hAnsi="Arial" w:cs="Arial"/>
        </w:rPr>
      </w:pPr>
      <w:r w:rsidRPr="00EA1FB8">
        <w:rPr>
          <w:rFonts w:ascii="Arial" w:hAnsi="Arial" w:cs="Arial"/>
        </w:rPr>
        <w:t xml:space="preserve">Using the alternative counterfactual, that </w:t>
      </w:r>
      <w:r>
        <w:rPr>
          <w:rFonts w:ascii="Arial" w:hAnsi="Arial" w:cs="Arial"/>
          <w:color w:val="000000" w:themeColor="text1"/>
        </w:rPr>
        <w:t>in the absence of DAF investment in the sweetpotato industry, 25% of the increase in yield, profitability and area grown would have been realised</w:t>
      </w:r>
      <w:r w:rsidRPr="00EA1FB8">
        <w:rPr>
          <w:rFonts w:ascii="Arial" w:hAnsi="Arial" w:cs="Arial"/>
        </w:rPr>
        <w:t xml:space="preserve">, the benefit-cost ratio was estimated as </w:t>
      </w:r>
      <w:r>
        <w:rPr>
          <w:rFonts w:ascii="Arial" w:hAnsi="Arial" w:cs="Arial"/>
        </w:rPr>
        <w:t>7</w:t>
      </w:r>
      <w:r w:rsidRPr="00EE2B86">
        <w:rPr>
          <w:rFonts w:ascii="Arial" w:hAnsi="Arial" w:cs="Arial"/>
        </w:rPr>
        <w:t>.</w:t>
      </w:r>
      <w:r>
        <w:rPr>
          <w:rFonts w:ascii="Arial" w:hAnsi="Arial" w:cs="Arial"/>
        </w:rPr>
        <w:t>7</w:t>
      </w:r>
      <w:r w:rsidRPr="00EA1FB8">
        <w:rPr>
          <w:rFonts w:ascii="Arial" w:hAnsi="Arial" w:cs="Arial"/>
        </w:rPr>
        <w:t xml:space="preserve"> to 1. Hence, it can be concluded that the performance of the investment as measured by the benefit-cost ratio was probably at least </w:t>
      </w:r>
      <w:r>
        <w:rPr>
          <w:rFonts w:ascii="Arial" w:hAnsi="Arial" w:cs="Arial"/>
        </w:rPr>
        <w:t>7</w:t>
      </w:r>
      <w:r w:rsidRPr="00EE2B86">
        <w:rPr>
          <w:rFonts w:ascii="Arial" w:hAnsi="Arial" w:cs="Arial"/>
        </w:rPr>
        <w:t>.</w:t>
      </w:r>
      <w:r>
        <w:rPr>
          <w:rFonts w:ascii="Arial" w:hAnsi="Arial" w:cs="Arial"/>
        </w:rPr>
        <w:t>7</w:t>
      </w:r>
      <w:r w:rsidRPr="00EA1FB8">
        <w:rPr>
          <w:rFonts w:ascii="Arial" w:hAnsi="Arial" w:cs="Arial"/>
        </w:rPr>
        <w:t xml:space="preserve"> to 1, and potentially as high as </w:t>
      </w:r>
      <w:r>
        <w:rPr>
          <w:rFonts w:ascii="Arial" w:hAnsi="Arial" w:cs="Arial"/>
        </w:rPr>
        <w:t>8</w:t>
      </w:r>
      <w:r w:rsidRPr="00EE2B86">
        <w:rPr>
          <w:rFonts w:ascii="Arial" w:hAnsi="Arial" w:cs="Arial"/>
        </w:rPr>
        <w:t>.</w:t>
      </w:r>
      <w:r>
        <w:rPr>
          <w:rFonts w:ascii="Arial" w:hAnsi="Arial" w:cs="Arial"/>
        </w:rPr>
        <w:t>7</w:t>
      </w:r>
      <w:r w:rsidRPr="00EA1FB8">
        <w:rPr>
          <w:rFonts w:ascii="Arial" w:hAnsi="Arial" w:cs="Arial"/>
        </w:rPr>
        <w:t xml:space="preserve"> to 1. </w:t>
      </w:r>
    </w:p>
    <w:p w:rsidR="002B5A16" w:rsidRPr="00305360" w:rsidRDefault="002B5A16" w:rsidP="00A66BB1">
      <w:pPr>
        <w:spacing w:after="240"/>
        <w:rPr>
          <w:rFonts w:ascii="Arial" w:hAnsi="Arial" w:cs="Arial"/>
          <w:highlight w:val="yellow"/>
        </w:rPr>
      </w:pPr>
      <w:r>
        <w:rPr>
          <w:rFonts w:ascii="Arial" w:hAnsi="Arial" w:cs="Arial"/>
        </w:rPr>
        <w:t>In addition to benefits quantified for the Australian economy, this same cluster of projects has benefited sweetpotato production in PNG and the Solomon Islands. Benefits include an increase in yield and profitability, increased research, extension and industry capacity, environmental gain, improved food security, improved human health and increased regional income. Quantification of these benefits was the subject of a separate impact assessment commissioned by ACIAR.</w:t>
      </w:r>
    </w:p>
    <w:p w:rsidR="002B5A16" w:rsidRDefault="002B5A16" w:rsidP="00A66BB1">
      <w:pPr>
        <w:spacing w:after="240"/>
        <w:rPr>
          <w:rFonts w:ascii="Arial" w:hAnsi="Arial" w:cs="Arial"/>
        </w:rPr>
      </w:pPr>
      <w:r w:rsidRPr="0017474A">
        <w:rPr>
          <w:rFonts w:ascii="Arial" w:hAnsi="Arial" w:cs="Arial"/>
        </w:rPr>
        <w:t>Th</w:t>
      </w:r>
      <w:r>
        <w:rPr>
          <w:rFonts w:ascii="Arial" w:hAnsi="Arial" w:cs="Arial"/>
        </w:rPr>
        <w:t>is</w:t>
      </w:r>
      <w:r w:rsidRPr="0017474A">
        <w:rPr>
          <w:rFonts w:ascii="Arial" w:hAnsi="Arial" w:cs="Arial"/>
        </w:rPr>
        <w:t xml:space="preserve"> </w:t>
      </w:r>
      <w:r>
        <w:rPr>
          <w:rFonts w:ascii="Arial" w:hAnsi="Arial" w:cs="Arial"/>
        </w:rPr>
        <w:t xml:space="preserve">assessment </w:t>
      </w:r>
      <w:r w:rsidRPr="0017474A">
        <w:rPr>
          <w:rFonts w:ascii="Arial" w:hAnsi="Arial" w:cs="Arial"/>
        </w:rPr>
        <w:t>provided a good example of a long</w:t>
      </w:r>
      <w:r>
        <w:rPr>
          <w:rFonts w:ascii="Arial" w:hAnsi="Arial" w:cs="Arial"/>
        </w:rPr>
        <w:t>-</w:t>
      </w:r>
      <w:r w:rsidRPr="0017474A">
        <w:rPr>
          <w:rFonts w:ascii="Arial" w:hAnsi="Arial" w:cs="Arial"/>
        </w:rPr>
        <w:t>term commitment to industry development by DAF that has provided strong returns for Queensland</w:t>
      </w:r>
      <w:r>
        <w:rPr>
          <w:rFonts w:ascii="Arial" w:hAnsi="Arial" w:cs="Arial"/>
        </w:rPr>
        <w:t>, Australia and, potentially, contributed to positive impacts on two Pacific Island countries</w:t>
      </w:r>
      <w:r w:rsidRPr="0017474A">
        <w:rPr>
          <w:rFonts w:ascii="Arial" w:hAnsi="Arial" w:cs="Arial"/>
        </w:rPr>
        <w:t>.</w:t>
      </w:r>
      <w:r>
        <w:rPr>
          <w:rFonts w:ascii="Arial" w:hAnsi="Arial" w:cs="Arial"/>
        </w:rPr>
        <w:t xml:space="preserve"> </w:t>
      </w:r>
      <w:r w:rsidRPr="00064C72">
        <w:rPr>
          <w:rFonts w:ascii="Arial" w:hAnsi="Arial" w:cs="Arial"/>
        </w:rPr>
        <w:t xml:space="preserve"> </w:t>
      </w:r>
    </w:p>
    <w:p w:rsidR="00005AA0" w:rsidRDefault="00005AA0" w:rsidP="00005AA0">
      <w:bookmarkStart w:id="497" w:name="_Toc487091266"/>
    </w:p>
    <w:p w:rsidR="00005AA0" w:rsidRDefault="00005AA0" w:rsidP="00005AA0"/>
    <w:p w:rsidR="00005AA0" w:rsidRDefault="00005AA0" w:rsidP="00005AA0"/>
    <w:p w:rsidR="002B5A16" w:rsidRPr="00A66BB1" w:rsidRDefault="002B5A16" w:rsidP="00A66BB1">
      <w:pPr>
        <w:spacing w:after="240"/>
        <w:rPr>
          <w:rFonts w:ascii="Arial" w:hAnsi="Arial" w:cs="Arial"/>
          <w:b/>
          <w:sz w:val="40"/>
          <w:szCs w:val="40"/>
        </w:rPr>
      </w:pPr>
      <w:r w:rsidRPr="00A66BB1">
        <w:rPr>
          <w:rFonts w:ascii="Arial" w:hAnsi="Arial" w:cs="Arial"/>
          <w:b/>
          <w:sz w:val="40"/>
          <w:szCs w:val="40"/>
        </w:rPr>
        <w:t>References</w:t>
      </w:r>
      <w:bookmarkEnd w:id="497"/>
    </w:p>
    <w:p w:rsidR="002B5A16" w:rsidRPr="005B1D42" w:rsidRDefault="002B5A16" w:rsidP="002B5A16">
      <w:pPr>
        <w:rPr>
          <w:rFonts w:ascii="Arial" w:hAnsi="Arial" w:cs="Arial"/>
          <w:color w:val="000000" w:themeColor="text1"/>
        </w:rPr>
      </w:pPr>
      <w:r w:rsidRPr="005B1D42">
        <w:rPr>
          <w:rFonts w:ascii="Arial" w:hAnsi="Arial" w:cs="Arial"/>
          <w:color w:val="000000" w:themeColor="text1"/>
        </w:rPr>
        <w:t>CRRDC (2014) Impact Assessment Guidelines – Version 1, May 2014, CRRDC, Canberra</w:t>
      </w:r>
    </w:p>
    <w:p w:rsidR="002B5A16" w:rsidRPr="005B1D42" w:rsidRDefault="00402DE3" w:rsidP="00005AA0">
      <w:pPr>
        <w:ind w:left="567"/>
        <w:rPr>
          <w:rFonts w:ascii="Arial" w:hAnsi="Arial" w:cs="Arial"/>
          <w:color w:val="000000" w:themeColor="text1"/>
        </w:rPr>
      </w:pPr>
      <w:hyperlink r:id="rId41" w:history="1">
        <w:r w:rsidR="00005AA0" w:rsidRPr="00545B8D">
          <w:rPr>
            <w:rStyle w:val="Hyperlink"/>
            <w:rFonts w:ascii="Arial" w:hAnsi="Arial" w:cs="Arial"/>
          </w:rPr>
          <w:t>http://www.ruralrdc.com.au/wp-content/uploads/2016/04/CRRDC-Impact-Assessment-Guidelines-V.1-070514.pdf</w:t>
        </w:r>
      </w:hyperlink>
      <w:r w:rsidR="002B5A16" w:rsidRPr="005B1D42">
        <w:rPr>
          <w:rFonts w:ascii="Arial" w:hAnsi="Arial" w:cs="Arial"/>
          <w:color w:val="000000" w:themeColor="text1"/>
        </w:rPr>
        <w:t xml:space="preserve"> </w:t>
      </w:r>
    </w:p>
    <w:p w:rsidR="002B5A16" w:rsidRPr="00213DAF" w:rsidRDefault="002B5A16" w:rsidP="002B5A16">
      <w:pPr>
        <w:rPr>
          <w:rFonts w:ascii="Arial" w:hAnsi="Arial" w:cs="Arial"/>
        </w:rPr>
      </w:pPr>
    </w:p>
    <w:p w:rsidR="002B5A16" w:rsidRPr="00D05710" w:rsidRDefault="002B5A16" w:rsidP="002B5A16">
      <w:pPr>
        <w:widowControl w:val="0"/>
        <w:autoSpaceDE w:val="0"/>
        <w:autoSpaceDN w:val="0"/>
        <w:adjustRightInd w:val="0"/>
        <w:ind w:left="567" w:hanging="567"/>
        <w:rPr>
          <w:rFonts w:ascii="Arial" w:hAnsi="Arial" w:cs="Arial"/>
          <w:lang w:val="en-US"/>
        </w:rPr>
      </w:pPr>
      <w:r w:rsidRPr="00D05710">
        <w:rPr>
          <w:rFonts w:ascii="Arial" w:hAnsi="Arial" w:cs="Arial"/>
          <w:lang w:val="en-US"/>
        </w:rPr>
        <w:t>Bourke RM (2005) The Continuing Ipomoean Revolution in Papua New Guinea.</w:t>
      </w:r>
    </w:p>
    <w:p w:rsidR="002B5A16" w:rsidRPr="00D05710" w:rsidRDefault="002B5A16" w:rsidP="00005AA0">
      <w:pPr>
        <w:ind w:left="567"/>
        <w:rPr>
          <w:rFonts w:ascii="Arial" w:hAnsi="Arial" w:cs="Arial"/>
          <w:lang w:val="en-US"/>
        </w:rPr>
      </w:pPr>
      <w:r w:rsidRPr="00D05710">
        <w:rPr>
          <w:rFonts w:ascii="Arial" w:hAnsi="Arial" w:cs="Arial"/>
          <w:lang w:val="en-US"/>
        </w:rPr>
        <w:t xml:space="preserve">in The </w:t>
      </w:r>
      <w:r>
        <w:rPr>
          <w:rFonts w:ascii="Arial" w:hAnsi="Arial" w:cs="Arial"/>
          <w:lang w:val="en-US"/>
        </w:rPr>
        <w:t>Sweetpotato</w:t>
      </w:r>
      <w:r w:rsidRPr="00D05710">
        <w:rPr>
          <w:rFonts w:ascii="Arial" w:hAnsi="Arial" w:cs="Arial"/>
          <w:lang w:val="en-US"/>
        </w:rPr>
        <w:t xml:space="preserve"> in Oceania: a reappraisal.  Eds Ballard c, Brown P, Bourke RM &amp; Harwood T. Oceania Monograph 56. University of Sydney, NSW, Australia. pp 171-179</w:t>
      </w:r>
    </w:p>
    <w:p w:rsidR="002B5A16" w:rsidRPr="00D05710" w:rsidRDefault="002B5A16" w:rsidP="002B5A16">
      <w:pPr>
        <w:rPr>
          <w:rFonts w:ascii="Arial" w:hAnsi="Arial" w:cs="Arial"/>
        </w:rPr>
      </w:pPr>
    </w:p>
    <w:p w:rsidR="00005AA0" w:rsidRDefault="002B5A16" w:rsidP="002B5A16">
      <w:pPr>
        <w:rPr>
          <w:rFonts w:ascii="Arial" w:hAnsi="Arial" w:cs="Arial"/>
        </w:rPr>
      </w:pPr>
      <w:r w:rsidRPr="00D05710">
        <w:rPr>
          <w:rFonts w:ascii="Arial" w:hAnsi="Arial" w:cs="Arial"/>
        </w:rPr>
        <w:t xml:space="preserve">Coleman (2002) Retail Buying Preferences Surveyed and Evaluated: A HAL Project Report </w:t>
      </w:r>
    </w:p>
    <w:p w:rsidR="002B5A16" w:rsidRPr="00D05710" w:rsidRDefault="002B5A16" w:rsidP="00005AA0">
      <w:pPr>
        <w:ind w:firstLine="720"/>
        <w:rPr>
          <w:rFonts w:ascii="Arial" w:hAnsi="Arial" w:cs="Arial"/>
        </w:rPr>
      </w:pPr>
      <w:r w:rsidRPr="00D05710">
        <w:rPr>
          <w:rFonts w:ascii="Arial" w:hAnsi="Arial" w:cs="Arial"/>
        </w:rPr>
        <w:t xml:space="preserve">VG01010 </w:t>
      </w:r>
      <w:r>
        <w:rPr>
          <w:rFonts w:ascii="Arial" w:hAnsi="Arial" w:cs="Arial"/>
        </w:rPr>
        <w:t>Sweetpotato</w:t>
      </w:r>
      <w:r w:rsidRPr="00D05710">
        <w:rPr>
          <w:rFonts w:ascii="Arial" w:hAnsi="Arial" w:cs="Arial"/>
        </w:rPr>
        <w:t xml:space="preserve"> Market Evaluation Report. Queensland Horticulture Institute</w:t>
      </w:r>
    </w:p>
    <w:p w:rsidR="002B5A16" w:rsidRPr="00D05710" w:rsidRDefault="002B5A16" w:rsidP="002B5A16">
      <w:pPr>
        <w:rPr>
          <w:rFonts w:ascii="Arial" w:hAnsi="Arial" w:cs="Arial"/>
        </w:rPr>
      </w:pPr>
    </w:p>
    <w:p w:rsidR="00005AA0" w:rsidRDefault="002B5A16" w:rsidP="002B5A16">
      <w:pPr>
        <w:rPr>
          <w:rFonts w:ascii="Arial" w:hAnsi="Arial" w:cs="Arial"/>
        </w:rPr>
      </w:pPr>
      <w:r w:rsidRPr="00D05710">
        <w:rPr>
          <w:rFonts w:ascii="Arial" w:hAnsi="Arial" w:cs="Arial"/>
        </w:rPr>
        <w:t xml:space="preserve">DAF (2016) Gross Margin for </w:t>
      </w:r>
      <w:r>
        <w:rPr>
          <w:rFonts w:ascii="Arial" w:hAnsi="Arial" w:cs="Arial"/>
        </w:rPr>
        <w:t>Sweetpotato</w:t>
      </w:r>
      <w:r w:rsidRPr="00D05710">
        <w:rPr>
          <w:rFonts w:ascii="Arial" w:hAnsi="Arial" w:cs="Arial"/>
        </w:rPr>
        <w:t xml:space="preserve"> – Washed </w:t>
      </w:r>
    </w:p>
    <w:p w:rsidR="002B5A16" w:rsidRPr="00D05710" w:rsidRDefault="00402DE3" w:rsidP="00005AA0">
      <w:pPr>
        <w:ind w:left="720"/>
        <w:rPr>
          <w:rFonts w:ascii="Arial" w:hAnsi="Arial" w:cs="Arial"/>
        </w:rPr>
      </w:pPr>
      <w:hyperlink r:id="rId42" w:history="1">
        <w:r w:rsidR="00005AA0" w:rsidRPr="00545B8D">
          <w:rPr>
            <w:rStyle w:val="Hyperlink"/>
            <w:rFonts w:ascii="Arial" w:hAnsi="Arial" w:cs="Arial"/>
          </w:rPr>
          <w:t>https://publications.qld.gov.au/dataset/agbiz-tools-plants-vegetables/resource/cb917e46-dcd8-4510-b7ee-1ed2a8fc1a42</w:t>
        </w:r>
      </w:hyperlink>
      <w:r w:rsidR="002B5A16" w:rsidRPr="00D05710">
        <w:rPr>
          <w:rFonts w:ascii="Arial" w:hAnsi="Arial" w:cs="Arial"/>
        </w:rPr>
        <w:t xml:space="preserve"> </w:t>
      </w:r>
    </w:p>
    <w:p w:rsidR="002B5A16" w:rsidRPr="00D05710" w:rsidRDefault="002B5A16" w:rsidP="002B5A16">
      <w:pPr>
        <w:rPr>
          <w:rFonts w:ascii="Arial" w:hAnsi="Arial" w:cs="Arial"/>
        </w:rPr>
      </w:pPr>
    </w:p>
    <w:p w:rsidR="00005AA0" w:rsidRDefault="002B5A16" w:rsidP="002B5A16">
      <w:pPr>
        <w:rPr>
          <w:rFonts w:ascii="Arial" w:hAnsi="Arial" w:cs="Arial"/>
          <w:color w:val="000000" w:themeColor="text1"/>
        </w:rPr>
      </w:pPr>
      <w:r w:rsidRPr="005B1D42">
        <w:rPr>
          <w:rFonts w:ascii="Arial" w:hAnsi="Arial" w:cs="Arial"/>
          <w:color w:val="000000" w:themeColor="text1"/>
        </w:rPr>
        <w:t xml:space="preserve">DAWR (2015) Rural Research and Development Priorities, Department of Agriculture and </w:t>
      </w:r>
    </w:p>
    <w:p w:rsidR="002B5A16" w:rsidRPr="005B1D42" w:rsidRDefault="002B5A16" w:rsidP="00005AA0">
      <w:pPr>
        <w:ind w:left="720"/>
        <w:rPr>
          <w:rStyle w:val="Hyperlink"/>
          <w:rFonts w:ascii="Arial" w:hAnsi="Arial" w:cs="Arial"/>
          <w:color w:val="000000" w:themeColor="text1"/>
        </w:rPr>
      </w:pPr>
      <w:r w:rsidRPr="005B1D42">
        <w:rPr>
          <w:rFonts w:ascii="Arial" w:hAnsi="Arial" w:cs="Arial"/>
          <w:color w:val="000000" w:themeColor="text1"/>
        </w:rPr>
        <w:t xml:space="preserve">Water Resources, Canberra, ACT, accessed January 2016 at: </w:t>
      </w:r>
      <w:hyperlink r:id="rId43" w:history="1">
        <w:r w:rsidRPr="005B1D42">
          <w:rPr>
            <w:rStyle w:val="Hyperlink"/>
            <w:rFonts w:ascii="Arial" w:hAnsi="Arial" w:cs="Arial"/>
            <w:color w:val="000000" w:themeColor="text1"/>
          </w:rPr>
          <w:t>http://www.agriculture.gov.au/ag-farm-food/innovation/priorities</w:t>
        </w:r>
      </w:hyperlink>
    </w:p>
    <w:p w:rsidR="002B5A16" w:rsidRPr="00D05710" w:rsidRDefault="002B5A16" w:rsidP="002B5A16">
      <w:pPr>
        <w:rPr>
          <w:rFonts w:ascii="Arial" w:hAnsi="Arial" w:cs="Arial"/>
          <w:color w:val="000000" w:themeColor="text1"/>
        </w:rPr>
      </w:pPr>
    </w:p>
    <w:p w:rsidR="00005AA0" w:rsidRDefault="002B5A16" w:rsidP="002B5A16">
      <w:pPr>
        <w:rPr>
          <w:rFonts w:ascii="Arial" w:hAnsi="Arial" w:cs="Arial"/>
        </w:rPr>
      </w:pPr>
      <w:r w:rsidRPr="006A4A78">
        <w:rPr>
          <w:rFonts w:ascii="Arial" w:hAnsi="Arial" w:cs="Arial"/>
        </w:rPr>
        <w:t xml:space="preserve">HIA (2016) Horticulture Innovation Australia Annual Report 2015-16 </w:t>
      </w:r>
    </w:p>
    <w:p w:rsidR="002B5A16" w:rsidRPr="006A4A78" w:rsidRDefault="00402DE3" w:rsidP="00005AA0">
      <w:pPr>
        <w:ind w:left="720"/>
        <w:rPr>
          <w:rFonts w:ascii="Arial" w:hAnsi="Arial" w:cs="Arial"/>
        </w:rPr>
      </w:pPr>
      <w:hyperlink r:id="rId44" w:history="1">
        <w:r w:rsidR="00005AA0" w:rsidRPr="00545B8D">
          <w:rPr>
            <w:rStyle w:val="Hyperlink"/>
            <w:rFonts w:ascii="Arial" w:hAnsi="Arial" w:cs="Arial"/>
          </w:rPr>
          <w:t>http://horticulture.com.au/wp-content/uploads/2016/10/Hort-Innovation-Annual-</w:t>
        </w:r>
      </w:hyperlink>
      <w:r w:rsidR="002B5A16" w:rsidRPr="006A4A78">
        <w:rPr>
          <w:rFonts w:ascii="Arial" w:hAnsi="Arial" w:cs="Arial"/>
        </w:rPr>
        <w:t xml:space="preserve">Report-2015-16-Web.pdf </w:t>
      </w:r>
    </w:p>
    <w:p w:rsidR="002B5A16" w:rsidRPr="006A4A78" w:rsidRDefault="002B5A16" w:rsidP="002B5A16">
      <w:pPr>
        <w:rPr>
          <w:rFonts w:ascii="Arial" w:hAnsi="Arial" w:cs="Arial"/>
        </w:rPr>
      </w:pPr>
    </w:p>
    <w:p w:rsidR="00005AA0" w:rsidRDefault="002B5A16" w:rsidP="002B5A16">
      <w:pPr>
        <w:rPr>
          <w:rFonts w:ascii="Arial" w:hAnsi="Arial" w:cs="Arial"/>
          <w:color w:val="000000" w:themeColor="text1"/>
        </w:rPr>
      </w:pPr>
      <w:r w:rsidRPr="005B1D42">
        <w:rPr>
          <w:rFonts w:ascii="Arial" w:hAnsi="Arial" w:cs="Arial"/>
          <w:color w:val="000000" w:themeColor="text1"/>
        </w:rPr>
        <w:t>OCS (2016) Science and Research Priorities</w:t>
      </w:r>
      <w:r w:rsidRPr="005B1D42">
        <w:rPr>
          <w:rFonts w:ascii="Arial" w:hAnsi="Arial" w:cs="Arial"/>
          <w:i/>
          <w:color w:val="000000" w:themeColor="text1"/>
        </w:rPr>
        <w:t xml:space="preserve">, </w:t>
      </w:r>
      <w:r w:rsidRPr="005B1D42">
        <w:rPr>
          <w:rFonts w:ascii="Arial" w:hAnsi="Arial" w:cs="Arial"/>
          <w:color w:val="000000" w:themeColor="text1"/>
        </w:rPr>
        <w:t xml:space="preserve">Office of the Chief Scientist, Department of </w:t>
      </w:r>
    </w:p>
    <w:p w:rsidR="002B5A16" w:rsidRPr="005B1D42" w:rsidRDefault="002B5A16" w:rsidP="00005AA0">
      <w:pPr>
        <w:ind w:left="720"/>
        <w:rPr>
          <w:rStyle w:val="Hyperlink"/>
          <w:rFonts w:ascii="Arial" w:hAnsi="Arial" w:cs="Arial"/>
          <w:color w:val="000000" w:themeColor="text1"/>
        </w:rPr>
      </w:pPr>
      <w:r w:rsidRPr="005B1D42">
        <w:rPr>
          <w:rFonts w:ascii="Arial" w:hAnsi="Arial" w:cs="Arial"/>
          <w:color w:val="000000" w:themeColor="text1"/>
        </w:rPr>
        <w:t xml:space="preserve">Industry, Innovation and Science, Canberra, accessed 02 November 16 at: </w:t>
      </w:r>
      <w:hyperlink r:id="rId45" w:history="1">
        <w:r w:rsidRPr="005B1D42">
          <w:rPr>
            <w:rStyle w:val="Hyperlink"/>
            <w:rFonts w:ascii="Arial" w:hAnsi="Arial" w:cs="Arial"/>
            <w:color w:val="000000" w:themeColor="text1"/>
          </w:rPr>
          <w:t>http://science.gov.au/scienceGov/ScienceAndResearchPriorities/Pages/default.aspx</w:t>
        </w:r>
      </w:hyperlink>
    </w:p>
    <w:p w:rsidR="00005AA0" w:rsidRDefault="00005AA0" w:rsidP="002B5A16">
      <w:pPr>
        <w:autoSpaceDE w:val="0"/>
        <w:autoSpaceDN w:val="0"/>
        <w:adjustRightInd w:val="0"/>
        <w:rPr>
          <w:rFonts w:ascii="Arial" w:hAnsi="Arial" w:cs="Arial"/>
          <w:color w:val="000000" w:themeColor="text1"/>
        </w:rPr>
      </w:pPr>
    </w:p>
    <w:p w:rsidR="00005AA0" w:rsidRDefault="002B5A16" w:rsidP="002B5A16">
      <w:pPr>
        <w:autoSpaceDE w:val="0"/>
        <w:autoSpaceDN w:val="0"/>
        <w:adjustRightInd w:val="0"/>
        <w:rPr>
          <w:rFonts w:ascii="Arial" w:hAnsi="Arial" w:cs="Arial"/>
          <w:color w:val="000000" w:themeColor="text1"/>
        </w:rPr>
      </w:pPr>
      <w:r w:rsidRPr="005B1D42">
        <w:rPr>
          <w:rFonts w:ascii="Arial" w:hAnsi="Arial" w:cs="Arial"/>
          <w:color w:val="000000" w:themeColor="text1"/>
        </w:rPr>
        <w:t xml:space="preserve">Office of the Chief Scientist, Queensland Government (2015) Revised Queensland Science </w:t>
      </w:r>
    </w:p>
    <w:p w:rsidR="002B5A16" w:rsidRPr="005B1D42" w:rsidRDefault="002B5A16" w:rsidP="00005AA0">
      <w:pPr>
        <w:autoSpaceDE w:val="0"/>
        <w:autoSpaceDN w:val="0"/>
        <w:adjustRightInd w:val="0"/>
        <w:ind w:left="720"/>
        <w:rPr>
          <w:rFonts w:ascii="Arial" w:hAnsi="Arial" w:cs="Arial"/>
          <w:color w:val="000000" w:themeColor="text1"/>
        </w:rPr>
      </w:pPr>
      <w:r w:rsidRPr="005B1D42">
        <w:rPr>
          <w:rFonts w:ascii="Arial" w:hAnsi="Arial" w:cs="Arial"/>
          <w:color w:val="000000" w:themeColor="text1"/>
        </w:rPr>
        <w:t xml:space="preserve">and Research Priorities, accessed 17 February 2017 at: </w:t>
      </w:r>
      <w:hyperlink r:id="rId46" w:history="1">
        <w:r w:rsidR="00005AA0" w:rsidRPr="00005AA0">
          <w:rPr>
            <w:rStyle w:val="Hyperlink"/>
            <w:rFonts w:ascii="Arial" w:hAnsi="Arial" w:cs="Arial"/>
          </w:rPr>
          <w:t>http://www.chiefscientist.qld.gov.au/images/documents/chiefscientist/pubs/reports-</w:t>
        </w:r>
      </w:hyperlink>
      <w:r w:rsidRPr="00005AA0">
        <w:rPr>
          <w:rStyle w:val="Hyperlink"/>
          <w:rFonts w:ascii="Arial" w:hAnsi="Arial" w:cs="Arial"/>
        </w:rPr>
        <w:t>other/qld-science-n-research-priorities-2015-2016.pdf</w:t>
      </w:r>
    </w:p>
    <w:p w:rsidR="002B5A16" w:rsidRPr="005B1D42" w:rsidRDefault="002B5A16" w:rsidP="002B5A16">
      <w:pPr>
        <w:rPr>
          <w:rFonts w:ascii="Arial" w:hAnsi="Arial" w:cs="Arial"/>
          <w:color w:val="000000" w:themeColor="text1"/>
        </w:rPr>
      </w:pPr>
    </w:p>
    <w:p w:rsidR="00A66BB1" w:rsidRDefault="00A66BB1">
      <w:pPr>
        <w:spacing w:line="276" w:lineRule="auto"/>
        <w:rPr>
          <w:rFonts w:ascii="Arial" w:hAnsi="Arial" w:cs="Arial"/>
          <w:b/>
          <w:color w:val="000000"/>
          <w:sz w:val="40"/>
          <w:szCs w:val="40"/>
        </w:rPr>
      </w:pPr>
      <w:r>
        <w:rPr>
          <w:rFonts w:ascii="Arial" w:hAnsi="Arial" w:cs="Arial"/>
          <w:sz w:val="40"/>
          <w:szCs w:val="40"/>
        </w:rPr>
        <w:br w:type="page"/>
      </w:r>
    </w:p>
    <w:p w:rsidR="002B5A16" w:rsidRPr="002B5A16" w:rsidRDefault="002B5A16" w:rsidP="00A66BB1">
      <w:pPr>
        <w:pStyle w:val="Heading2"/>
      </w:pPr>
      <w:bookmarkStart w:id="498" w:name="_Toc490036920"/>
      <w:r w:rsidRPr="002B5A16">
        <w:t>Appendix 6: An Impact Assessment of DAF Investment in Plum Breeding 1981-2007</w:t>
      </w:r>
      <w:bookmarkEnd w:id="498"/>
    </w:p>
    <w:p w:rsidR="002B5A16" w:rsidRPr="005173A2" w:rsidRDefault="002B5A16" w:rsidP="005173A2">
      <w:pPr>
        <w:spacing w:after="240"/>
        <w:rPr>
          <w:rFonts w:ascii="Arial" w:hAnsi="Arial" w:cs="Arial"/>
          <w:b/>
          <w:color w:val="000000" w:themeColor="text1"/>
          <w:sz w:val="24"/>
        </w:rPr>
      </w:pPr>
      <w:bookmarkStart w:id="499" w:name="_Toc487018693"/>
      <w:r w:rsidRPr="005173A2">
        <w:rPr>
          <w:rFonts w:ascii="Arial" w:hAnsi="Arial" w:cs="Arial"/>
          <w:b/>
          <w:color w:val="000000" w:themeColor="text1"/>
          <w:sz w:val="24"/>
        </w:rPr>
        <w:t>Acknowledgments</w:t>
      </w:r>
      <w:bookmarkEnd w:id="499"/>
    </w:p>
    <w:p w:rsidR="00225BB8" w:rsidRDefault="00225BB8" w:rsidP="00E87BF4">
      <w:pPr>
        <w:spacing w:after="60"/>
        <w:rPr>
          <w:rFonts w:ascii="Arial" w:hAnsi="Arial" w:cs="Arial"/>
        </w:rPr>
      </w:pPr>
      <w:r w:rsidRPr="00D1246F">
        <w:rPr>
          <w:rFonts w:ascii="Arial" w:hAnsi="Arial" w:cs="Arial"/>
        </w:rPr>
        <w:t xml:space="preserve">Bruce Topp, </w:t>
      </w:r>
      <w:r w:rsidR="00CD3D8B">
        <w:rPr>
          <w:rFonts w:ascii="Arial" w:hAnsi="Arial" w:cs="Arial"/>
        </w:rPr>
        <w:t>Principal Research Fellow, Queensland Alliance for Agriculture and Food Innovation</w:t>
      </w:r>
    </w:p>
    <w:p w:rsidR="00225BB8" w:rsidRDefault="00225BB8" w:rsidP="00E87BF4">
      <w:pPr>
        <w:spacing w:after="60"/>
        <w:rPr>
          <w:rFonts w:ascii="Arial" w:hAnsi="Arial" w:cs="Arial"/>
        </w:rPr>
      </w:pPr>
      <w:r>
        <w:rPr>
          <w:rFonts w:ascii="Arial" w:hAnsi="Arial" w:cs="Arial"/>
        </w:rPr>
        <w:t xml:space="preserve">Dougal Russell, </w:t>
      </w:r>
      <w:r w:rsidR="00CD3D8B">
        <w:rPr>
          <w:rFonts w:ascii="Arial" w:hAnsi="Arial" w:cs="Arial"/>
        </w:rPr>
        <w:t xml:space="preserve">Principal Horticultural Experimentalist, </w:t>
      </w:r>
      <w:r w:rsidR="00CD3D8B" w:rsidRPr="008B25B1">
        <w:rPr>
          <w:rFonts w:ascii="Arial" w:hAnsi="Arial" w:cs="Arial"/>
          <w:color w:val="000000" w:themeColor="text1"/>
        </w:rPr>
        <w:t>Department of Agriculture and Fisheries, Queensland</w:t>
      </w:r>
    </w:p>
    <w:p w:rsidR="002B5A16" w:rsidRDefault="002B5A16" w:rsidP="00E87BF4">
      <w:pPr>
        <w:spacing w:after="60"/>
        <w:rPr>
          <w:rFonts w:ascii="Arial" w:hAnsi="Arial" w:cs="Arial"/>
        </w:rPr>
      </w:pPr>
      <w:r>
        <w:rPr>
          <w:rFonts w:ascii="Arial" w:hAnsi="Arial" w:cs="Arial"/>
        </w:rPr>
        <w:t xml:space="preserve">Hugh Macintosh, </w:t>
      </w:r>
      <w:r w:rsidR="00CD3D8B">
        <w:rPr>
          <w:rFonts w:ascii="Arial" w:hAnsi="Arial" w:cs="Arial"/>
        </w:rPr>
        <w:t xml:space="preserve">Director, </w:t>
      </w:r>
      <w:r>
        <w:rPr>
          <w:rFonts w:ascii="Arial" w:hAnsi="Arial" w:cs="Arial"/>
        </w:rPr>
        <w:t>Nutrafruit</w:t>
      </w:r>
      <w:r w:rsidR="00CD3D8B">
        <w:rPr>
          <w:rFonts w:ascii="Arial" w:hAnsi="Arial" w:cs="Arial"/>
        </w:rPr>
        <w:t xml:space="preserve"> Pty Ltd</w:t>
      </w:r>
    </w:p>
    <w:p w:rsidR="00CD3D8B" w:rsidRDefault="00CD3D8B" w:rsidP="00E87BF4">
      <w:pPr>
        <w:spacing w:after="60"/>
        <w:rPr>
          <w:rFonts w:ascii="Arial" w:hAnsi="Arial" w:cs="Arial"/>
        </w:rPr>
      </w:pPr>
      <w:r>
        <w:rPr>
          <w:rFonts w:ascii="Arial" w:hAnsi="Arial" w:cs="Arial"/>
        </w:rPr>
        <w:t>Fruity Capers, Toowong, Queensland</w:t>
      </w:r>
    </w:p>
    <w:p w:rsidR="00CD3D8B" w:rsidRDefault="00CD3D8B" w:rsidP="00E87BF4">
      <w:pPr>
        <w:spacing w:after="60"/>
        <w:rPr>
          <w:rFonts w:ascii="Arial" w:hAnsi="Arial" w:cs="Arial"/>
        </w:rPr>
      </w:pPr>
      <w:r>
        <w:rPr>
          <w:rFonts w:ascii="Arial" w:hAnsi="Arial" w:cs="Arial"/>
        </w:rPr>
        <w:t xml:space="preserve">Jodie Campbell, Business Manager, </w:t>
      </w:r>
      <w:r w:rsidRPr="008B25B1">
        <w:rPr>
          <w:rFonts w:ascii="Arial" w:hAnsi="Arial" w:cs="Arial"/>
          <w:color w:val="000000" w:themeColor="text1"/>
        </w:rPr>
        <w:t>Department of Agriculture and Fisheries, Queensland</w:t>
      </w:r>
    </w:p>
    <w:p w:rsidR="00CD3D8B" w:rsidRDefault="00CD3D8B" w:rsidP="00E87BF4">
      <w:pPr>
        <w:spacing w:after="60"/>
        <w:rPr>
          <w:rFonts w:ascii="Arial" w:hAnsi="Arial" w:cs="Arial"/>
        </w:rPr>
      </w:pPr>
      <w:r>
        <w:rPr>
          <w:rFonts w:ascii="Arial" w:hAnsi="Arial" w:cs="Arial"/>
        </w:rPr>
        <w:t xml:space="preserve">Rod Edmonds, Acting Business Manager, </w:t>
      </w:r>
      <w:r w:rsidRPr="008B25B1">
        <w:rPr>
          <w:rFonts w:ascii="Arial" w:hAnsi="Arial" w:cs="Arial"/>
          <w:color w:val="000000" w:themeColor="text1"/>
        </w:rPr>
        <w:t>Department of Agriculture and Fisheries, Queensland</w:t>
      </w:r>
    </w:p>
    <w:p w:rsidR="002B5A16" w:rsidRDefault="002B5A16" w:rsidP="00E87BF4">
      <w:pPr>
        <w:spacing w:after="60"/>
        <w:rPr>
          <w:rFonts w:ascii="Arial" w:hAnsi="Arial" w:cs="Arial"/>
        </w:rPr>
      </w:pPr>
      <w:r>
        <w:rPr>
          <w:rFonts w:ascii="Arial" w:hAnsi="Arial" w:cs="Arial"/>
        </w:rPr>
        <w:t xml:space="preserve">Michael Kennedy, </w:t>
      </w:r>
      <w:r w:rsidR="00CD3D8B">
        <w:rPr>
          <w:rFonts w:ascii="Arial" w:hAnsi="Arial" w:cs="Arial"/>
        </w:rPr>
        <w:t xml:space="preserve">General Manager, </w:t>
      </w:r>
      <w:r w:rsidR="00CD3D8B" w:rsidRPr="008B25B1">
        <w:rPr>
          <w:rFonts w:ascii="Arial" w:hAnsi="Arial" w:cs="Arial"/>
          <w:color w:val="000000" w:themeColor="text1"/>
        </w:rPr>
        <w:t>Department of Agriculture and Fisheries, Queensland</w:t>
      </w:r>
    </w:p>
    <w:p w:rsidR="00225BB8" w:rsidRPr="008B25B1" w:rsidRDefault="00225BB8" w:rsidP="00E87BF4">
      <w:pPr>
        <w:spacing w:after="60"/>
        <w:rPr>
          <w:rFonts w:ascii="Arial" w:hAnsi="Arial" w:cs="Arial"/>
          <w:color w:val="000000" w:themeColor="text1"/>
        </w:rPr>
      </w:pPr>
      <w:r w:rsidRPr="008B25B1">
        <w:rPr>
          <w:rFonts w:ascii="Arial" w:hAnsi="Arial" w:cs="Arial"/>
          <w:color w:val="000000" w:themeColor="text1"/>
        </w:rPr>
        <w:t xml:space="preserve">Lynda </w:t>
      </w:r>
      <w:r w:rsidRPr="00E87BF4">
        <w:rPr>
          <w:rFonts w:ascii="Arial" w:hAnsi="Arial" w:cs="Arial"/>
        </w:rPr>
        <w:t>Bull</w:t>
      </w:r>
      <w:r w:rsidRPr="008B25B1">
        <w:rPr>
          <w:rFonts w:ascii="Arial" w:hAnsi="Arial" w:cs="Arial"/>
          <w:color w:val="000000" w:themeColor="text1"/>
        </w:rPr>
        <w:t>, Executive Support Officer, Department of Agriculture and Fisheries, Queensland</w:t>
      </w:r>
    </w:p>
    <w:p w:rsidR="00225BB8" w:rsidRPr="00D1246F" w:rsidRDefault="00225BB8" w:rsidP="00E87BF4">
      <w:pPr>
        <w:spacing w:after="60"/>
        <w:rPr>
          <w:rFonts w:ascii="Arial" w:hAnsi="Arial" w:cs="Arial"/>
        </w:rPr>
      </w:pPr>
      <w:r>
        <w:rPr>
          <w:rFonts w:ascii="Arial" w:hAnsi="Arial" w:cs="Arial"/>
          <w:color w:val="000000" w:themeColor="text1"/>
        </w:rPr>
        <w:t xml:space="preserve">Wayne Hall, </w:t>
      </w:r>
      <w:r w:rsidRPr="00AB5F04">
        <w:rPr>
          <w:rFonts w:ascii="Arial" w:hAnsi="Arial" w:cs="Arial"/>
          <w:color w:val="000000" w:themeColor="text1"/>
        </w:rPr>
        <w:t xml:space="preserve">Executive Director, </w:t>
      </w:r>
      <w:r w:rsidRPr="008B25B1">
        <w:rPr>
          <w:rFonts w:ascii="Arial" w:hAnsi="Arial" w:cs="Arial"/>
          <w:color w:val="000000" w:themeColor="text1"/>
        </w:rPr>
        <w:t>Department of Agriculture and Fisheries, Queensland</w:t>
      </w:r>
    </w:p>
    <w:p w:rsidR="002B5A16" w:rsidRPr="00D1246F" w:rsidRDefault="002B5A16" w:rsidP="002B5A16">
      <w:pPr>
        <w:rPr>
          <w:rFonts w:ascii="Arial" w:hAnsi="Arial" w:cs="Arial"/>
        </w:rPr>
      </w:pPr>
    </w:p>
    <w:p w:rsidR="002B5A16" w:rsidRPr="00180D4C" w:rsidRDefault="002B5A16" w:rsidP="002B5A16">
      <w:pPr>
        <w:rPr>
          <w:rFonts w:ascii="Arial" w:hAnsi="Arial" w:cs="Arial"/>
        </w:rPr>
      </w:pPr>
    </w:p>
    <w:p w:rsidR="002B5A16" w:rsidRPr="005173A2" w:rsidRDefault="002B5A16" w:rsidP="005173A2">
      <w:pPr>
        <w:spacing w:after="240"/>
        <w:rPr>
          <w:rFonts w:ascii="Arial" w:hAnsi="Arial" w:cs="Arial"/>
          <w:b/>
          <w:color w:val="000000" w:themeColor="text1"/>
          <w:sz w:val="24"/>
        </w:rPr>
      </w:pPr>
      <w:bookmarkStart w:id="500" w:name="_Toc487018694"/>
      <w:r w:rsidRPr="005173A2">
        <w:rPr>
          <w:rFonts w:ascii="Arial" w:hAnsi="Arial" w:cs="Arial"/>
          <w:b/>
          <w:color w:val="000000" w:themeColor="text1"/>
          <w:sz w:val="24"/>
        </w:rPr>
        <w:t>Abbreviations</w:t>
      </w:r>
      <w:bookmarkEnd w:id="500"/>
    </w:p>
    <w:p w:rsidR="002B5A16" w:rsidRPr="00180D4C" w:rsidRDefault="002B5A16" w:rsidP="002B5A16">
      <w:pPr>
        <w:rPr>
          <w:rFonts w:ascii="Arial" w:hAnsi="Arial" w:cs="Arial"/>
        </w:rPr>
      </w:pPr>
      <w:r w:rsidRPr="00180D4C">
        <w:rPr>
          <w:rFonts w:ascii="Arial" w:hAnsi="Arial" w:cs="Arial"/>
        </w:rPr>
        <w:t>CBA</w:t>
      </w:r>
      <w:r w:rsidRPr="00180D4C">
        <w:rPr>
          <w:rFonts w:ascii="Arial" w:hAnsi="Arial" w:cs="Arial"/>
        </w:rPr>
        <w:tab/>
      </w:r>
      <w:r w:rsidRPr="00180D4C">
        <w:rPr>
          <w:rFonts w:ascii="Arial" w:hAnsi="Arial" w:cs="Arial"/>
        </w:rPr>
        <w:tab/>
        <w:t>Cost-Benefit Analysis</w:t>
      </w:r>
    </w:p>
    <w:p w:rsidR="002B5A16" w:rsidRDefault="002B5A16" w:rsidP="002B5A16">
      <w:pPr>
        <w:rPr>
          <w:rFonts w:ascii="Arial" w:hAnsi="Arial" w:cs="Arial"/>
        </w:rPr>
      </w:pPr>
      <w:r>
        <w:rPr>
          <w:rFonts w:ascii="Arial" w:hAnsi="Arial" w:cs="Arial"/>
        </w:rPr>
        <w:t>CRRDC</w:t>
      </w:r>
      <w:r>
        <w:rPr>
          <w:rFonts w:ascii="Arial" w:hAnsi="Arial" w:cs="Arial"/>
        </w:rPr>
        <w:tab/>
        <w:t xml:space="preserve">Council of Research and Development Corporations </w:t>
      </w:r>
    </w:p>
    <w:p w:rsidR="002B5A16" w:rsidRDefault="002B5A16" w:rsidP="002B5A16">
      <w:pPr>
        <w:rPr>
          <w:rFonts w:ascii="Arial" w:hAnsi="Arial" w:cs="Arial"/>
        </w:rPr>
      </w:pPr>
      <w:r>
        <w:rPr>
          <w:rFonts w:ascii="Arial" w:hAnsi="Arial" w:cs="Arial"/>
        </w:rPr>
        <w:t>DAF</w:t>
      </w:r>
      <w:r>
        <w:rPr>
          <w:rFonts w:ascii="Arial" w:hAnsi="Arial" w:cs="Arial"/>
        </w:rPr>
        <w:tab/>
      </w:r>
      <w:r>
        <w:rPr>
          <w:rFonts w:ascii="Arial" w:hAnsi="Arial" w:cs="Arial"/>
        </w:rPr>
        <w:tab/>
        <w:t xml:space="preserve">Department of Agriculture and Fisheries </w:t>
      </w:r>
    </w:p>
    <w:p w:rsidR="002B5A16" w:rsidRDefault="002B5A16" w:rsidP="002B5A16">
      <w:pPr>
        <w:rPr>
          <w:rFonts w:ascii="Arial" w:hAnsi="Arial" w:cs="Arial"/>
        </w:rPr>
      </w:pPr>
      <w:r>
        <w:rPr>
          <w:rFonts w:ascii="Arial" w:hAnsi="Arial" w:cs="Arial"/>
        </w:rPr>
        <w:t>GDP</w:t>
      </w:r>
      <w:r>
        <w:rPr>
          <w:rFonts w:ascii="Arial" w:hAnsi="Arial" w:cs="Arial"/>
        </w:rPr>
        <w:tab/>
      </w:r>
      <w:r>
        <w:rPr>
          <w:rFonts w:ascii="Arial" w:hAnsi="Arial" w:cs="Arial"/>
        </w:rPr>
        <w:tab/>
        <w:t xml:space="preserve">Gross Domestic Product </w:t>
      </w:r>
    </w:p>
    <w:p w:rsidR="002B5A16" w:rsidRPr="00180D4C" w:rsidRDefault="002B5A16" w:rsidP="002B5A16">
      <w:pPr>
        <w:rPr>
          <w:rFonts w:ascii="Arial" w:hAnsi="Arial" w:cs="Arial"/>
        </w:rPr>
      </w:pPr>
      <w:r w:rsidRPr="00180D4C">
        <w:rPr>
          <w:rFonts w:ascii="Arial" w:hAnsi="Arial" w:cs="Arial"/>
        </w:rPr>
        <w:t>IRR</w:t>
      </w:r>
      <w:r w:rsidRPr="00180D4C">
        <w:rPr>
          <w:rFonts w:ascii="Arial" w:hAnsi="Arial" w:cs="Arial"/>
        </w:rPr>
        <w:tab/>
      </w:r>
      <w:r w:rsidRPr="00180D4C">
        <w:rPr>
          <w:rFonts w:ascii="Arial" w:hAnsi="Arial" w:cs="Arial"/>
        </w:rPr>
        <w:tab/>
        <w:t>Internal Rate of Return</w:t>
      </w:r>
    </w:p>
    <w:p w:rsidR="002B5A16" w:rsidRDefault="002B5A16" w:rsidP="002B5A16">
      <w:pPr>
        <w:rPr>
          <w:rFonts w:ascii="Arial" w:hAnsi="Arial" w:cs="Arial"/>
        </w:rPr>
      </w:pPr>
      <w:r>
        <w:rPr>
          <w:rFonts w:ascii="Arial" w:hAnsi="Arial" w:cs="Arial"/>
        </w:rPr>
        <w:t>HIAL</w:t>
      </w:r>
      <w:r>
        <w:rPr>
          <w:rFonts w:ascii="Arial" w:hAnsi="Arial" w:cs="Arial"/>
        </w:rPr>
        <w:tab/>
      </w:r>
      <w:r>
        <w:rPr>
          <w:rFonts w:ascii="Arial" w:hAnsi="Arial" w:cs="Arial"/>
        </w:rPr>
        <w:tab/>
        <w:t xml:space="preserve">Horticulture Innovation Australia Limited </w:t>
      </w:r>
    </w:p>
    <w:p w:rsidR="002B5A16" w:rsidRDefault="002B5A16" w:rsidP="002B5A16">
      <w:pPr>
        <w:rPr>
          <w:rFonts w:ascii="Arial" w:hAnsi="Arial" w:cs="Arial"/>
        </w:rPr>
      </w:pPr>
      <w:r>
        <w:rPr>
          <w:rFonts w:ascii="Arial" w:hAnsi="Arial" w:cs="Arial"/>
        </w:rPr>
        <w:t xml:space="preserve">HRDC </w:t>
      </w:r>
      <w:r>
        <w:rPr>
          <w:rFonts w:ascii="Arial" w:hAnsi="Arial" w:cs="Arial"/>
        </w:rPr>
        <w:tab/>
      </w:r>
      <w:r>
        <w:rPr>
          <w:rFonts w:ascii="Arial" w:hAnsi="Arial" w:cs="Arial"/>
        </w:rPr>
        <w:tab/>
        <w:t xml:space="preserve">Horticultural Research and Development Corporation </w:t>
      </w:r>
    </w:p>
    <w:p w:rsidR="002B5A16" w:rsidRPr="00180D4C" w:rsidRDefault="002B5A16" w:rsidP="002B5A16">
      <w:pPr>
        <w:rPr>
          <w:rFonts w:ascii="Arial" w:hAnsi="Arial" w:cs="Arial"/>
        </w:rPr>
      </w:pPr>
      <w:r w:rsidRPr="00180D4C">
        <w:rPr>
          <w:rFonts w:ascii="Arial" w:hAnsi="Arial" w:cs="Arial"/>
        </w:rPr>
        <w:t>MIRR</w:t>
      </w:r>
      <w:r w:rsidRPr="00180D4C">
        <w:rPr>
          <w:rFonts w:ascii="Arial" w:hAnsi="Arial" w:cs="Arial"/>
        </w:rPr>
        <w:tab/>
      </w:r>
      <w:r w:rsidRPr="00180D4C">
        <w:rPr>
          <w:rFonts w:ascii="Arial" w:hAnsi="Arial" w:cs="Arial"/>
        </w:rPr>
        <w:tab/>
        <w:t>Modified Internal Rate of Return</w:t>
      </w:r>
    </w:p>
    <w:p w:rsidR="002B5A16" w:rsidRPr="00180D4C" w:rsidRDefault="002B5A16" w:rsidP="002B5A16">
      <w:pPr>
        <w:rPr>
          <w:rFonts w:ascii="Arial" w:hAnsi="Arial" w:cs="Arial"/>
        </w:rPr>
      </w:pPr>
      <w:r w:rsidRPr="00180D4C">
        <w:rPr>
          <w:rFonts w:ascii="Arial" w:hAnsi="Arial" w:cs="Arial"/>
        </w:rPr>
        <w:t>NPV</w:t>
      </w:r>
      <w:r w:rsidRPr="00180D4C">
        <w:rPr>
          <w:rFonts w:ascii="Arial" w:hAnsi="Arial" w:cs="Arial"/>
        </w:rPr>
        <w:tab/>
      </w:r>
      <w:r w:rsidRPr="00180D4C">
        <w:rPr>
          <w:rFonts w:ascii="Arial" w:hAnsi="Arial" w:cs="Arial"/>
        </w:rPr>
        <w:tab/>
        <w:t>Net Present Value</w:t>
      </w:r>
    </w:p>
    <w:p w:rsidR="002B5A16" w:rsidRDefault="002B5A16" w:rsidP="002B5A16">
      <w:pPr>
        <w:rPr>
          <w:rFonts w:ascii="Arial" w:hAnsi="Arial" w:cs="Arial"/>
        </w:rPr>
      </w:pPr>
      <w:r>
        <w:rPr>
          <w:rFonts w:ascii="Arial" w:hAnsi="Arial" w:cs="Arial"/>
        </w:rPr>
        <w:t>PEG</w:t>
      </w:r>
      <w:r>
        <w:rPr>
          <w:rFonts w:ascii="Arial" w:hAnsi="Arial" w:cs="Arial"/>
        </w:rPr>
        <w:tab/>
      </w:r>
      <w:r>
        <w:rPr>
          <w:rFonts w:ascii="Arial" w:hAnsi="Arial" w:cs="Arial"/>
        </w:rPr>
        <w:tab/>
        <w:t xml:space="preserve">Plum Evaluation Group </w:t>
      </w:r>
    </w:p>
    <w:p w:rsidR="002B5A16" w:rsidRPr="00180D4C" w:rsidRDefault="002B5A16" w:rsidP="002B5A16">
      <w:pPr>
        <w:rPr>
          <w:rFonts w:ascii="Arial" w:hAnsi="Arial" w:cs="Arial"/>
        </w:rPr>
      </w:pPr>
      <w:r w:rsidRPr="00180D4C">
        <w:rPr>
          <w:rFonts w:ascii="Arial" w:hAnsi="Arial" w:cs="Arial"/>
        </w:rPr>
        <w:t>PVB</w:t>
      </w:r>
      <w:r w:rsidRPr="00180D4C">
        <w:rPr>
          <w:rFonts w:ascii="Arial" w:hAnsi="Arial" w:cs="Arial"/>
        </w:rPr>
        <w:tab/>
      </w:r>
      <w:r w:rsidRPr="00180D4C">
        <w:rPr>
          <w:rFonts w:ascii="Arial" w:hAnsi="Arial" w:cs="Arial"/>
        </w:rPr>
        <w:tab/>
        <w:t>Present Value of Benefits</w:t>
      </w:r>
    </w:p>
    <w:p w:rsidR="002B5A16" w:rsidRPr="00180D4C" w:rsidRDefault="002B5A16" w:rsidP="002B5A16">
      <w:pPr>
        <w:rPr>
          <w:rFonts w:ascii="Arial" w:hAnsi="Arial" w:cs="Arial"/>
        </w:rPr>
      </w:pPr>
      <w:r w:rsidRPr="00180D4C">
        <w:rPr>
          <w:rFonts w:ascii="Arial" w:hAnsi="Arial" w:cs="Arial"/>
        </w:rPr>
        <w:t>PVC</w:t>
      </w:r>
      <w:r w:rsidRPr="00180D4C">
        <w:rPr>
          <w:rFonts w:ascii="Arial" w:hAnsi="Arial" w:cs="Arial"/>
        </w:rPr>
        <w:tab/>
      </w:r>
      <w:r w:rsidRPr="00180D4C">
        <w:rPr>
          <w:rFonts w:ascii="Arial" w:hAnsi="Arial" w:cs="Arial"/>
        </w:rPr>
        <w:tab/>
        <w:t>Present Value of Costs</w:t>
      </w:r>
    </w:p>
    <w:p w:rsidR="002B5A16" w:rsidRPr="00180D4C" w:rsidRDefault="002B5A16" w:rsidP="002B5A16">
      <w:pPr>
        <w:rPr>
          <w:rFonts w:ascii="Arial" w:hAnsi="Arial" w:cs="Arial"/>
        </w:rPr>
      </w:pPr>
      <w:r w:rsidRPr="00180D4C">
        <w:rPr>
          <w:rFonts w:ascii="Arial" w:hAnsi="Arial" w:cs="Arial"/>
        </w:rPr>
        <w:t>R&amp;D</w:t>
      </w:r>
      <w:r w:rsidRPr="00180D4C">
        <w:rPr>
          <w:rFonts w:ascii="Arial" w:hAnsi="Arial" w:cs="Arial"/>
        </w:rPr>
        <w:tab/>
      </w:r>
      <w:r w:rsidRPr="00180D4C">
        <w:rPr>
          <w:rFonts w:ascii="Arial" w:hAnsi="Arial" w:cs="Arial"/>
        </w:rPr>
        <w:tab/>
        <w:t>Research and Development</w:t>
      </w:r>
    </w:p>
    <w:p w:rsidR="002B5A16" w:rsidRDefault="002B5A16" w:rsidP="002B5A16">
      <w:pPr>
        <w:rPr>
          <w:rFonts w:ascii="Arial" w:hAnsi="Arial" w:cs="Arial"/>
        </w:rPr>
      </w:pPr>
      <w:r w:rsidRPr="00180D4C">
        <w:rPr>
          <w:rFonts w:ascii="Arial" w:hAnsi="Arial" w:cs="Arial"/>
        </w:rPr>
        <w:t>RD&amp;E</w:t>
      </w:r>
      <w:r w:rsidRPr="00180D4C">
        <w:rPr>
          <w:rFonts w:ascii="Arial" w:hAnsi="Arial" w:cs="Arial"/>
        </w:rPr>
        <w:tab/>
      </w:r>
      <w:r w:rsidRPr="00180D4C">
        <w:rPr>
          <w:rFonts w:ascii="Arial" w:hAnsi="Arial" w:cs="Arial"/>
        </w:rPr>
        <w:tab/>
        <w:t>Research, Development and Extension</w:t>
      </w:r>
    </w:p>
    <w:p w:rsidR="002B5A16" w:rsidRDefault="002B5A16" w:rsidP="002B5A16">
      <w:pPr>
        <w:rPr>
          <w:rFonts w:ascii="Arial" w:hAnsi="Arial" w:cs="Arial"/>
        </w:rPr>
      </w:pPr>
      <w:r>
        <w:rPr>
          <w:rFonts w:ascii="Arial" w:hAnsi="Arial" w:cs="Arial"/>
        </w:rPr>
        <w:t>QG</w:t>
      </w:r>
      <w:r>
        <w:rPr>
          <w:rFonts w:ascii="Arial" w:hAnsi="Arial" w:cs="Arial"/>
        </w:rPr>
        <w:tab/>
      </w:r>
      <w:r>
        <w:rPr>
          <w:rFonts w:ascii="Arial" w:hAnsi="Arial" w:cs="Arial"/>
        </w:rPr>
        <w:tab/>
        <w:t xml:space="preserve">Queen Garnet </w:t>
      </w:r>
    </w:p>
    <w:p w:rsidR="002B5A16" w:rsidRDefault="002B5A16" w:rsidP="002B5A16">
      <w:pPr>
        <w:rPr>
          <w:rFonts w:ascii="Arial" w:hAnsi="Arial" w:cs="Arial"/>
        </w:rPr>
      </w:pPr>
      <w:r>
        <w:rPr>
          <w:rFonts w:ascii="Arial" w:hAnsi="Arial" w:cs="Arial"/>
        </w:rPr>
        <w:t>QAAFI</w:t>
      </w:r>
      <w:r>
        <w:rPr>
          <w:rFonts w:ascii="Arial" w:hAnsi="Arial" w:cs="Arial"/>
        </w:rPr>
        <w:tab/>
      </w:r>
      <w:r>
        <w:rPr>
          <w:rFonts w:ascii="Arial" w:hAnsi="Arial" w:cs="Arial"/>
        </w:rPr>
        <w:tab/>
        <w:t xml:space="preserve">Queensland Alliance for Agriculture and Food Innovation </w:t>
      </w:r>
    </w:p>
    <w:p w:rsidR="002B5A16" w:rsidRPr="00180D4C" w:rsidRDefault="002B5A16" w:rsidP="002B5A16">
      <w:pPr>
        <w:rPr>
          <w:rFonts w:ascii="Arial" w:hAnsi="Arial" w:cs="Arial"/>
        </w:rPr>
      </w:pPr>
      <w:r>
        <w:rPr>
          <w:rFonts w:ascii="Arial" w:hAnsi="Arial" w:cs="Arial"/>
        </w:rPr>
        <w:t>QDPI</w:t>
      </w:r>
      <w:r>
        <w:rPr>
          <w:rFonts w:ascii="Arial" w:hAnsi="Arial" w:cs="Arial"/>
        </w:rPr>
        <w:tab/>
      </w:r>
      <w:r>
        <w:rPr>
          <w:rFonts w:ascii="Arial" w:hAnsi="Arial" w:cs="Arial"/>
        </w:rPr>
        <w:tab/>
        <w:t xml:space="preserve">Queensland Department of Primary Industries </w:t>
      </w:r>
    </w:p>
    <w:p w:rsidR="002B5A16" w:rsidRPr="00180D4C" w:rsidRDefault="002B5A16" w:rsidP="002B5A16">
      <w:pPr>
        <w:rPr>
          <w:rFonts w:ascii="Arial" w:hAnsi="Arial" w:cs="Arial"/>
        </w:rPr>
      </w:pPr>
      <w:r>
        <w:rPr>
          <w:rFonts w:ascii="Arial" w:hAnsi="Arial" w:cs="Arial"/>
        </w:rPr>
        <w:t>WADA</w:t>
      </w:r>
      <w:r>
        <w:rPr>
          <w:rFonts w:ascii="Arial" w:hAnsi="Arial" w:cs="Arial"/>
        </w:rPr>
        <w:tab/>
      </w:r>
      <w:r>
        <w:rPr>
          <w:rFonts w:ascii="Arial" w:hAnsi="Arial" w:cs="Arial"/>
        </w:rPr>
        <w:tab/>
        <w:t xml:space="preserve">Western Australian Department of Agriculture </w:t>
      </w:r>
    </w:p>
    <w:p w:rsidR="002B5A16" w:rsidRPr="00180D4C" w:rsidRDefault="002B5A16" w:rsidP="002B5A16">
      <w:pPr>
        <w:rPr>
          <w:rFonts w:ascii="Arial" w:hAnsi="Arial" w:cs="Arial"/>
        </w:rPr>
      </w:pPr>
    </w:p>
    <w:p w:rsidR="002B5A16" w:rsidRPr="00180D4C" w:rsidRDefault="002B5A16" w:rsidP="002B5A16">
      <w:pPr>
        <w:rPr>
          <w:rFonts w:ascii="Arial" w:hAnsi="Arial" w:cs="Arial"/>
        </w:rPr>
      </w:pPr>
    </w:p>
    <w:p w:rsidR="002B5A16" w:rsidRDefault="002B5A16" w:rsidP="002B5A16">
      <w:r>
        <w:br w:type="page"/>
      </w:r>
    </w:p>
    <w:p w:rsidR="002B5A16" w:rsidRPr="00A66BB1" w:rsidRDefault="002B5A16" w:rsidP="00A66BB1">
      <w:pPr>
        <w:spacing w:after="240"/>
        <w:rPr>
          <w:rFonts w:ascii="Arial" w:hAnsi="Arial" w:cs="Arial"/>
          <w:b/>
          <w:sz w:val="40"/>
          <w:szCs w:val="40"/>
        </w:rPr>
      </w:pPr>
      <w:bookmarkStart w:id="501" w:name="_Toc487018695"/>
      <w:r w:rsidRPr="00A66BB1">
        <w:rPr>
          <w:rFonts w:ascii="Arial" w:hAnsi="Arial" w:cs="Arial"/>
          <w:b/>
          <w:sz w:val="40"/>
          <w:szCs w:val="40"/>
        </w:rPr>
        <w:t>Executive Summary</w:t>
      </w:r>
      <w:bookmarkEnd w:id="501"/>
    </w:p>
    <w:p w:rsidR="002B5A16" w:rsidRPr="00180D4C" w:rsidRDefault="002B5A16" w:rsidP="00A66BB1">
      <w:pPr>
        <w:spacing w:after="240"/>
        <w:rPr>
          <w:rFonts w:ascii="Arial" w:hAnsi="Arial" w:cs="Arial"/>
          <w:b/>
          <w:sz w:val="24"/>
        </w:rPr>
      </w:pPr>
      <w:r>
        <w:rPr>
          <w:rFonts w:ascii="Arial" w:hAnsi="Arial" w:cs="Arial"/>
          <w:b/>
          <w:sz w:val="24"/>
        </w:rPr>
        <w:t xml:space="preserve">Introduction </w:t>
      </w:r>
    </w:p>
    <w:p w:rsidR="002B5A16" w:rsidRDefault="002B5A16" w:rsidP="00A66BB1">
      <w:pPr>
        <w:spacing w:after="240"/>
        <w:rPr>
          <w:rFonts w:ascii="Arial" w:hAnsi="Arial" w:cs="Arial"/>
        </w:rPr>
      </w:pPr>
      <w:r w:rsidRPr="00180D4C">
        <w:rPr>
          <w:rFonts w:ascii="Arial" w:hAnsi="Arial" w:cs="Arial"/>
        </w:rPr>
        <w:t xml:space="preserve">This report presents the results of an impact assessment of </w:t>
      </w:r>
      <w:r>
        <w:rPr>
          <w:rFonts w:ascii="Arial" w:hAnsi="Arial" w:cs="Arial"/>
        </w:rPr>
        <w:t xml:space="preserve">an investment the </w:t>
      </w:r>
      <w:r w:rsidRPr="007A3A63">
        <w:rPr>
          <w:rFonts w:ascii="Arial" w:hAnsi="Arial" w:cs="Arial"/>
        </w:rPr>
        <w:t>by the Queensland Department of Agriculture and Fisheries (DAF) (previously known as the Department of Primary Industries</w:t>
      </w:r>
      <w:r>
        <w:rPr>
          <w:rFonts w:ascii="Arial" w:hAnsi="Arial" w:cs="Arial"/>
        </w:rPr>
        <w:t>) and others in plum breeding over the years ending June 1981 to June 2007.</w:t>
      </w:r>
      <w:r w:rsidRPr="00180D4C">
        <w:rPr>
          <w:rFonts w:ascii="Arial" w:hAnsi="Arial" w:cs="Arial"/>
        </w:rPr>
        <w:t xml:space="preserve"> </w:t>
      </w:r>
      <w:r>
        <w:rPr>
          <w:rFonts w:ascii="Arial" w:hAnsi="Arial" w:cs="Arial"/>
        </w:rPr>
        <w:t>Apart from funding by DAF, other funding was provided by the Horticulture Research and Development Corporation (HRDC) (now Horticultural Innovation Australia Limited (HIAL)), the Australian Fresh Stone Fruit Growers Association, and Agriculture Western Australia.</w:t>
      </w:r>
    </w:p>
    <w:p w:rsidR="002B5A16" w:rsidRDefault="002B5A16" w:rsidP="00A66BB1">
      <w:pPr>
        <w:spacing w:after="240"/>
        <w:rPr>
          <w:rFonts w:ascii="Arial" w:hAnsi="Arial" w:cs="Arial"/>
        </w:rPr>
      </w:pPr>
      <w:r w:rsidRPr="00EE1F1F">
        <w:rPr>
          <w:rFonts w:ascii="Arial" w:hAnsi="Arial" w:cs="Arial"/>
        </w:rPr>
        <w:t xml:space="preserve">There was a </w:t>
      </w:r>
      <w:r>
        <w:rPr>
          <w:rFonts w:ascii="Arial" w:hAnsi="Arial" w:cs="Arial"/>
        </w:rPr>
        <w:t xml:space="preserve">considerable </w:t>
      </w:r>
      <w:r w:rsidRPr="00EE1F1F">
        <w:rPr>
          <w:rFonts w:ascii="Arial" w:hAnsi="Arial" w:cs="Arial"/>
        </w:rPr>
        <w:t xml:space="preserve">time </w:t>
      </w:r>
      <w:r>
        <w:rPr>
          <w:rFonts w:ascii="Arial" w:hAnsi="Arial" w:cs="Arial"/>
        </w:rPr>
        <w:t xml:space="preserve">lag </w:t>
      </w:r>
      <w:r w:rsidRPr="00EE1F1F">
        <w:rPr>
          <w:rFonts w:ascii="Arial" w:hAnsi="Arial" w:cs="Arial"/>
        </w:rPr>
        <w:t>between the early</w:t>
      </w:r>
      <w:r>
        <w:rPr>
          <w:rFonts w:ascii="Arial" w:hAnsi="Arial" w:cs="Arial"/>
        </w:rPr>
        <w:t>,</w:t>
      </w:r>
      <w:r w:rsidRPr="00EE1F1F">
        <w:rPr>
          <w:rFonts w:ascii="Arial" w:hAnsi="Arial" w:cs="Arial"/>
        </w:rPr>
        <w:t xml:space="preserve"> formative breeding investment involving various crosses of parental material and the eventual successful commercialisation of a new plum variety, the Queen </w:t>
      </w:r>
      <w:r>
        <w:rPr>
          <w:rFonts w:ascii="Arial" w:hAnsi="Arial" w:cs="Arial"/>
        </w:rPr>
        <w:t>Garnet</w:t>
      </w:r>
      <w:r w:rsidRPr="00EE1F1F">
        <w:rPr>
          <w:rFonts w:ascii="Arial" w:hAnsi="Arial" w:cs="Arial"/>
        </w:rPr>
        <w:t xml:space="preserve"> plum. Much of the breeding and assessment investment for the commercialisation was completed by June 2000 when </w:t>
      </w:r>
      <w:r>
        <w:rPr>
          <w:rFonts w:ascii="Arial" w:hAnsi="Arial" w:cs="Arial"/>
        </w:rPr>
        <w:t>a principal breeding project ended</w:t>
      </w:r>
      <w:r w:rsidRPr="00EE1F1F">
        <w:rPr>
          <w:rFonts w:ascii="Arial" w:hAnsi="Arial" w:cs="Arial"/>
        </w:rPr>
        <w:t xml:space="preserve">. </w:t>
      </w:r>
      <w:r>
        <w:rPr>
          <w:rFonts w:ascii="Arial" w:hAnsi="Arial" w:cs="Arial"/>
        </w:rPr>
        <w:t xml:space="preserve">There was then some additional funding up to 2007. </w:t>
      </w:r>
    </w:p>
    <w:p w:rsidR="002B5A16" w:rsidRPr="00180D4C" w:rsidRDefault="002B5A16" w:rsidP="00A66BB1">
      <w:pPr>
        <w:spacing w:after="240"/>
        <w:rPr>
          <w:rFonts w:ascii="Arial" w:hAnsi="Arial" w:cs="Arial"/>
          <w:b/>
          <w:sz w:val="24"/>
        </w:rPr>
      </w:pPr>
      <w:r w:rsidRPr="00180D4C">
        <w:rPr>
          <w:rFonts w:ascii="Arial" w:hAnsi="Arial" w:cs="Arial"/>
          <w:b/>
          <w:sz w:val="24"/>
        </w:rPr>
        <w:t>Methods</w:t>
      </w:r>
    </w:p>
    <w:p w:rsidR="002B5A16" w:rsidRDefault="002B5A16" w:rsidP="00A66BB1">
      <w:pPr>
        <w:spacing w:after="240"/>
        <w:rPr>
          <w:rFonts w:ascii="Arial" w:hAnsi="Arial" w:cs="Arial"/>
        </w:rPr>
      </w:pPr>
      <w:r>
        <w:rPr>
          <w:rFonts w:ascii="Arial" w:hAnsi="Arial" w:cs="Arial"/>
        </w:rPr>
        <w:t xml:space="preserve">The investment was </w:t>
      </w:r>
      <w:r w:rsidRPr="00180D4C">
        <w:rPr>
          <w:rFonts w:ascii="Arial" w:hAnsi="Arial" w:cs="Arial"/>
        </w:rPr>
        <w:t xml:space="preserve">analysed qualitatively within a logical framework that considered project rationale, objectives, activities/outputs, outcomes, and impacts. </w:t>
      </w:r>
      <w:r>
        <w:rPr>
          <w:rFonts w:ascii="Arial" w:hAnsi="Arial" w:cs="Arial"/>
        </w:rPr>
        <w:t xml:space="preserve">Much of the early material used was sourced from the Final Report for Project SF 97005 (Topp et al., 2000). From 2000 to 2007 information was sourced mainly from personal communications with DAF personnel and from Nutrafruit, the company that </w:t>
      </w:r>
      <w:r w:rsidR="00E421C2">
        <w:rPr>
          <w:rFonts w:ascii="Arial" w:hAnsi="Arial" w:cs="Arial"/>
        </w:rPr>
        <w:t xml:space="preserve">is DAF’s </w:t>
      </w:r>
      <w:r>
        <w:rPr>
          <w:rFonts w:ascii="Arial" w:hAnsi="Arial" w:cs="Arial"/>
        </w:rPr>
        <w:t>commercial</w:t>
      </w:r>
      <w:r w:rsidR="00E421C2">
        <w:rPr>
          <w:rFonts w:ascii="Arial" w:hAnsi="Arial" w:cs="Arial"/>
        </w:rPr>
        <w:t xml:space="preserve"> licensee for</w:t>
      </w:r>
      <w:r>
        <w:rPr>
          <w:rFonts w:ascii="Arial" w:hAnsi="Arial" w:cs="Arial"/>
        </w:rPr>
        <w:t xml:space="preserve"> the Queen Garnet plum. The most significant impact of the Queen Garnet plum was then </w:t>
      </w:r>
      <w:r w:rsidRPr="00180D4C">
        <w:rPr>
          <w:rFonts w:ascii="Arial" w:hAnsi="Arial" w:cs="Arial"/>
        </w:rPr>
        <w:t xml:space="preserve">valued. Benefits were calculated for a range of time frames up to </w:t>
      </w:r>
      <w:r>
        <w:rPr>
          <w:rFonts w:ascii="Arial" w:hAnsi="Arial" w:cs="Arial"/>
        </w:rPr>
        <w:t>30</w:t>
      </w:r>
      <w:r w:rsidRPr="00180D4C">
        <w:rPr>
          <w:rFonts w:ascii="Arial" w:hAnsi="Arial" w:cs="Arial"/>
        </w:rPr>
        <w:t xml:space="preserve"> years from the </w:t>
      </w:r>
      <w:r>
        <w:rPr>
          <w:rFonts w:ascii="Arial" w:hAnsi="Arial" w:cs="Arial"/>
        </w:rPr>
        <w:t xml:space="preserve">last year of Research and Development </w:t>
      </w:r>
      <w:r w:rsidRPr="00180D4C">
        <w:rPr>
          <w:rFonts w:ascii="Arial" w:hAnsi="Arial" w:cs="Arial"/>
        </w:rPr>
        <w:t>investment</w:t>
      </w:r>
      <w:r>
        <w:rPr>
          <w:rFonts w:ascii="Arial" w:hAnsi="Arial" w:cs="Arial"/>
        </w:rPr>
        <w:t xml:space="preserve"> (2007).</w:t>
      </w:r>
      <w:r w:rsidRPr="00180D4C">
        <w:rPr>
          <w:rFonts w:ascii="Arial" w:hAnsi="Arial" w:cs="Arial"/>
        </w:rPr>
        <w:t xml:space="preserve"> </w:t>
      </w:r>
    </w:p>
    <w:p w:rsidR="002B5A16" w:rsidRPr="00180D4C" w:rsidRDefault="002B5A16" w:rsidP="00A66BB1">
      <w:pPr>
        <w:spacing w:after="240"/>
        <w:rPr>
          <w:rFonts w:ascii="Arial" w:hAnsi="Arial" w:cs="Arial"/>
        </w:rPr>
      </w:pPr>
      <w:r>
        <w:rPr>
          <w:rFonts w:ascii="Arial" w:hAnsi="Arial" w:cs="Arial"/>
        </w:rPr>
        <w:t xml:space="preserve">The early development of the Queen Garnet took over twenty years of investment. The total annual investment costs that were involved in its development were available from the year ended June 1981 to June 2000 and some smaller investments after that up to 2007. </w:t>
      </w:r>
      <w:r w:rsidRPr="00180D4C">
        <w:rPr>
          <w:rFonts w:ascii="Arial" w:hAnsi="Arial" w:cs="Arial"/>
        </w:rPr>
        <w:t xml:space="preserve">Past and future cash flows </w:t>
      </w:r>
      <w:r>
        <w:rPr>
          <w:rFonts w:ascii="Arial" w:hAnsi="Arial" w:cs="Arial"/>
        </w:rPr>
        <w:t xml:space="preserve">were expressed </w:t>
      </w:r>
      <w:r w:rsidRPr="00180D4C">
        <w:rPr>
          <w:rFonts w:ascii="Arial" w:hAnsi="Arial" w:cs="Arial"/>
        </w:rPr>
        <w:t>in 201</w:t>
      </w:r>
      <w:r>
        <w:rPr>
          <w:rFonts w:ascii="Arial" w:hAnsi="Arial" w:cs="Arial"/>
        </w:rPr>
        <w:t>6</w:t>
      </w:r>
      <w:r w:rsidRPr="00180D4C">
        <w:rPr>
          <w:rFonts w:ascii="Arial" w:hAnsi="Arial" w:cs="Arial"/>
        </w:rPr>
        <w:t>/1</w:t>
      </w:r>
      <w:r>
        <w:rPr>
          <w:rFonts w:ascii="Arial" w:hAnsi="Arial" w:cs="Arial"/>
        </w:rPr>
        <w:t>7</w:t>
      </w:r>
      <w:r w:rsidRPr="00180D4C">
        <w:rPr>
          <w:rFonts w:ascii="Arial" w:hAnsi="Arial" w:cs="Arial"/>
        </w:rPr>
        <w:t xml:space="preserve"> $ terms </w:t>
      </w:r>
      <w:r>
        <w:rPr>
          <w:rFonts w:ascii="Arial" w:hAnsi="Arial" w:cs="Arial"/>
        </w:rPr>
        <w:t xml:space="preserve">and </w:t>
      </w:r>
      <w:r w:rsidRPr="00180D4C">
        <w:rPr>
          <w:rFonts w:ascii="Arial" w:hAnsi="Arial" w:cs="Arial"/>
        </w:rPr>
        <w:t>were discounted to the year 201</w:t>
      </w:r>
      <w:r>
        <w:rPr>
          <w:rFonts w:ascii="Arial" w:hAnsi="Arial" w:cs="Arial"/>
        </w:rPr>
        <w:t>6</w:t>
      </w:r>
      <w:r w:rsidRPr="00180D4C">
        <w:rPr>
          <w:rFonts w:ascii="Arial" w:hAnsi="Arial" w:cs="Arial"/>
        </w:rPr>
        <w:t>/1</w:t>
      </w:r>
      <w:r>
        <w:rPr>
          <w:rFonts w:ascii="Arial" w:hAnsi="Arial" w:cs="Arial"/>
        </w:rPr>
        <w:t>7</w:t>
      </w:r>
      <w:r w:rsidRPr="00180D4C">
        <w:rPr>
          <w:rFonts w:ascii="Arial" w:hAnsi="Arial" w:cs="Arial"/>
        </w:rPr>
        <w:t xml:space="preserve"> using a discount rate of 5% to estimate investment criteria.</w:t>
      </w:r>
    </w:p>
    <w:p w:rsidR="002B5A16" w:rsidRPr="00180D4C" w:rsidRDefault="002B5A16" w:rsidP="00A66BB1">
      <w:pPr>
        <w:spacing w:after="240"/>
        <w:rPr>
          <w:rFonts w:ascii="Arial" w:hAnsi="Arial" w:cs="Arial"/>
          <w:b/>
          <w:sz w:val="24"/>
        </w:rPr>
      </w:pPr>
      <w:r w:rsidRPr="00180D4C">
        <w:rPr>
          <w:rFonts w:ascii="Arial" w:hAnsi="Arial" w:cs="Arial"/>
          <w:b/>
          <w:sz w:val="24"/>
        </w:rPr>
        <w:t>Impacts</w:t>
      </w:r>
    </w:p>
    <w:p w:rsidR="002B5A16" w:rsidRDefault="002B5A16" w:rsidP="00A66BB1">
      <w:pPr>
        <w:spacing w:after="240"/>
        <w:rPr>
          <w:rFonts w:ascii="Arial" w:hAnsi="Arial" w:cs="Arial"/>
        </w:rPr>
      </w:pPr>
      <w:r>
        <w:rPr>
          <w:rFonts w:ascii="Arial" w:hAnsi="Arial" w:cs="Arial"/>
        </w:rPr>
        <w:t xml:space="preserve">The major impact from the plum breeding investment has emanated from the one plum variety developed by the investment. The Queen Garnet plum was commercialised in 2010. This </w:t>
      </w:r>
      <w:r w:rsidRPr="00180D4C">
        <w:rPr>
          <w:rFonts w:ascii="Arial" w:hAnsi="Arial" w:cs="Arial"/>
        </w:rPr>
        <w:t xml:space="preserve">impact </w:t>
      </w:r>
      <w:r>
        <w:rPr>
          <w:rFonts w:ascii="Arial" w:hAnsi="Arial" w:cs="Arial"/>
        </w:rPr>
        <w:t>assessment focuses on the commercial benefits from this plum variety. However, it is likely there will be some minor commercial benefits from other plum releases due to the investment, as well as some social benefits associated also with the commercialisation of the Queen Garnet.</w:t>
      </w:r>
    </w:p>
    <w:p w:rsidR="002B5A16" w:rsidRDefault="002B5A16" w:rsidP="00A66BB1">
      <w:pPr>
        <w:spacing w:after="240"/>
        <w:rPr>
          <w:rFonts w:ascii="Arial" w:hAnsi="Arial" w:cs="Arial"/>
        </w:rPr>
      </w:pPr>
      <w:r>
        <w:rPr>
          <w:rFonts w:ascii="Arial" w:hAnsi="Arial" w:cs="Arial"/>
        </w:rPr>
        <w:t>Benefits will be captured by Australian and potentially overseas growers of the Queen Garnet plum, the Australian commercialising company, and the investors in the plum breeding investment including the Queensland Government.  Potential royalties from overseas plantings will be a further source of benefits to Australia.</w:t>
      </w:r>
    </w:p>
    <w:p w:rsidR="002B5A16" w:rsidRPr="00180D4C" w:rsidRDefault="002B5A16" w:rsidP="00A66BB1">
      <w:pPr>
        <w:spacing w:after="240"/>
        <w:rPr>
          <w:rFonts w:ascii="Arial" w:hAnsi="Arial" w:cs="Arial"/>
          <w:b/>
          <w:sz w:val="24"/>
        </w:rPr>
      </w:pPr>
      <w:r w:rsidRPr="00180D4C">
        <w:rPr>
          <w:rFonts w:ascii="Arial" w:hAnsi="Arial" w:cs="Arial"/>
          <w:b/>
          <w:sz w:val="24"/>
        </w:rPr>
        <w:t>Investment Criteria</w:t>
      </w:r>
    </w:p>
    <w:p w:rsidR="002B5A16" w:rsidRPr="00131E81" w:rsidRDefault="002B5A16" w:rsidP="00A66BB1">
      <w:pPr>
        <w:spacing w:after="240"/>
        <w:rPr>
          <w:rFonts w:ascii="Arial" w:hAnsi="Arial" w:cs="Arial"/>
          <w:color w:val="000000" w:themeColor="text1"/>
        </w:rPr>
      </w:pPr>
      <w:r w:rsidRPr="00131E81">
        <w:rPr>
          <w:rFonts w:ascii="Arial" w:hAnsi="Arial" w:cs="Arial"/>
          <w:color w:val="000000" w:themeColor="text1"/>
        </w:rPr>
        <w:t xml:space="preserve">Total funding from all sources for the investment totalled $19.7 million (present value terms). The benefits from the </w:t>
      </w:r>
      <w:r w:rsidRPr="00A66BB1">
        <w:rPr>
          <w:rFonts w:ascii="Arial" w:hAnsi="Arial" w:cs="Arial"/>
        </w:rPr>
        <w:t>investment</w:t>
      </w:r>
      <w:r w:rsidRPr="00131E81">
        <w:rPr>
          <w:rFonts w:ascii="Arial" w:hAnsi="Arial" w:cs="Arial"/>
          <w:color w:val="000000" w:themeColor="text1"/>
        </w:rPr>
        <w:t xml:space="preserve"> were valued at $255.7 million (present value terms). This gave an estimated net present value of $236 million, and a benefit-cost ratio of </w:t>
      </w:r>
      <w:r>
        <w:rPr>
          <w:rFonts w:ascii="Arial" w:hAnsi="Arial" w:cs="Arial"/>
          <w:color w:val="000000" w:themeColor="text1"/>
        </w:rPr>
        <w:t xml:space="preserve">approximately </w:t>
      </w:r>
      <w:r w:rsidRPr="00131E81">
        <w:rPr>
          <w:rFonts w:ascii="Arial" w:hAnsi="Arial" w:cs="Arial"/>
          <w:color w:val="000000" w:themeColor="text1"/>
        </w:rPr>
        <w:t xml:space="preserve">13 to 1. </w:t>
      </w:r>
    </w:p>
    <w:p w:rsidR="00A66BB1" w:rsidRDefault="00A66BB1">
      <w:pPr>
        <w:spacing w:line="276" w:lineRule="auto"/>
        <w:rPr>
          <w:rFonts w:ascii="Arial" w:hAnsi="Arial" w:cs="Arial"/>
          <w:b/>
          <w:sz w:val="40"/>
          <w:szCs w:val="40"/>
        </w:rPr>
      </w:pPr>
      <w:bookmarkStart w:id="502" w:name="_Toc476634716"/>
      <w:bookmarkStart w:id="503" w:name="_Toc487018696"/>
      <w:r>
        <w:br w:type="page"/>
      </w:r>
    </w:p>
    <w:p w:rsidR="002B5A16" w:rsidRPr="00A66BB1" w:rsidRDefault="002B5A16" w:rsidP="00A66BB1">
      <w:pPr>
        <w:spacing w:after="240"/>
        <w:rPr>
          <w:rFonts w:ascii="Arial" w:hAnsi="Arial" w:cs="Arial"/>
          <w:b/>
          <w:sz w:val="40"/>
          <w:szCs w:val="40"/>
        </w:rPr>
      </w:pPr>
      <w:r w:rsidRPr="00A66BB1">
        <w:rPr>
          <w:rFonts w:ascii="Arial" w:hAnsi="Arial" w:cs="Arial"/>
          <w:b/>
          <w:sz w:val="40"/>
          <w:szCs w:val="40"/>
        </w:rPr>
        <w:t>1. Methods</w:t>
      </w:r>
      <w:bookmarkEnd w:id="502"/>
      <w:bookmarkEnd w:id="503"/>
    </w:p>
    <w:p w:rsidR="002B5A16" w:rsidRPr="0094710F" w:rsidRDefault="002B5A16" w:rsidP="00A66BB1">
      <w:pPr>
        <w:spacing w:after="240"/>
        <w:rPr>
          <w:rFonts w:ascii="Arial" w:hAnsi="Arial" w:cs="Arial"/>
        </w:rPr>
      </w:pPr>
      <w:r w:rsidRPr="0094710F">
        <w:rPr>
          <w:rFonts w:ascii="Arial" w:hAnsi="Arial" w:cs="Arial"/>
        </w:rPr>
        <w:t xml:space="preserve">The evaluation approach follows general evaluation guidelines that are now well entrenched within the Australian primary industry research sector including </w:t>
      </w:r>
      <w:r>
        <w:rPr>
          <w:rFonts w:ascii="Arial" w:hAnsi="Arial" w:cs="Arial"/>
        </w:rPr>
        <w:t>Research and Development Corporations</w:t>
      </w:r>
      <w:r w:rsidRPr="0094710F">
        <w:rPr>
          <w:rFonts w:ascii="Arial" w:hAnsi="Arial" w:cs="Arial"/>
        </w:rPr>
        <w:t xml:space="preserve">, Cooperative Research Centres, State Departments of Agriculture, and some </w:t>
      </w:r>
      <w:r w:rsidRPr="00A66BB1">
        <w:rPr>
          <w:rFonts w:ascii="Arial" w:hAnsi="Arial" w:cs="Arial"/>
          <w:color w:val="000000" w:themeColor="text1"/>
        </w:rPr>
        <w:t>Universities</w:t>
      </w:r>
      <w:r w:rsidRPr="0094710F">
        <w:rPr>
          <w:rFonts w:ascii="Arial" w:hAnsi="Arial" w:cs="Arial"/>
        </w:rPr>
        <w:t>. This impact assessment uses Cost-Benefit Analysis (CBA)</w:t>
      </w:r>
      <w:r>
        <w:rPr>
          <w:rFonts w:ascii="Arial" w:hAnsi="Arial" w:cs="Arial"/>
        </w:rPr>
        <w:t xml:space="preserve"> as its principal tool</w:t>
      </w:r>
      <w:r w:rsidRPr="0094710F">
        <w:rPr>
          <w:rFonts w:ascii="Arial" w:hAnsi="Arial" w:cs="Arial"/>
        </w:rPr>
        <w:t>. Th</w:t>
      </w:r>
      <w:r>
        <w:rPr>
          <w:rFonts w:ascii="Arial" w:hAnsi="Arial" w:cs="Arial"/>
        </w:rPr>
        <w:t>e</w:t>
      </w:r>
      <w:r w:rsidRPr="0094710F">
        <w:rPr>
          <w:rFonts w:ascii="Arial" w:hAnsi="Arial" w:cs="Arial"/>
        </w:rPr>
        <w:t xml:space="preserve"> </w:t>
      </w:r>
      <w:r>
        <w:rPr>
          <w:rFonts w:ascii="Arial" w:hAnsi="Arial" w:cs="Arial"/>
        </w:rPr>
        <w:t xml:space="preserve">approach included </w:t>
      </w:r>
      <w:r w:rsidRPr="0094710F">
        <w:rPr>
          <w:rFonts w:ascii="Arial" w:hAnsi="Arial" w:cs="Arial"/>
        </w:rPr>
        <w:t>both qualitative and quantitative</w:t>
      </w:r>
      <w:r>
        <w:rPr>
          <w:rFonts w:ascii="Arial" w:hAnsi="Arial" w:cs="Arial"/>
        </w:rPr>
        <w:t xml:space="preserve"> descriptions </w:t>
      </w:r>
      <w:r w:rsidRPr="0094710F">
        <w:rPr>
          <w:rFonts w:ascii="Arial" w:hAnsi="Arial" w:cs="Arial"/>
        </w:rPr>
        <w:t xml:space="preserve">that are in accord with the evaluation guidelines of the Council of Research and Development Corporations (CRRDC, 2014). </w:t>
      </w:r>
    </w:p>
    <w:p w:rsidR="002B5A16" w:rsidRPr="0094710F" w:rsidRDefault="002B5A16" w:rsidP="00A66BB1">
      <w:pPr>
        <w:spacing w:after="240"/>
        <w:rPr>
          <w:rFonts w:ascii="Arial" w:hAnsi="Arial" w:cs="Arial"/>
          <w:szCs w:val="22"/>
        </w:rPr>
      </w:pPr>
      <w:r w:rsidRPr="0094710F">
        <w:rPr>
          <w:rFonts w:ascii="Arial" w:hAnsi="Arial" w:cs="Arial"/>
          <w:szCs w:val="22"/>
        </w:rPr>
        <w:t xml:space="preserve">The evaluation process involved identifying and briefly describing </w:t>
      </w:r>
      <w:r>
        <w:rPr>
          <w:rFonts w:ascii="Arial" w:hAnsi="Arial" w:cs="Arial"/>
          <w:szCs w:val="22"/>
        </w:rPr>
        <w:t xml:space="preserve">project </w:t>
      </w:r>
      <w:r w:rsidRPr="0094710F">
        <w:rPr>
          <w:rFonts w:ascii="Arial" w:hAnsi="Arial" w:cs="Arial"/>
          <w:szCs w:val="22"/>
        </w:rPr>
        <w:t>objectives, activities</w:t>
      </w:r>
      <w:r>
        <w:rPr>
          <w:rFonts w:ascii="Arial" w:hAnsi="Arial" w:cs="Arial"/>
          <w:szCs w:val="22"/>
        </w:rPr>
        <w:t xml:space="preserve"> and</w:t>
      </w:r>
      <w:r w:rsidRPr="0094710F">
        <w:rPr>
          <w:rFonts w:ascii="Arial" w:hAnsi="Arial" w:cs="Arial"/>
          <w:szCs w:val="22"/>
        </w:rPr>
        <w:t xml:space="preserve"> </w:t>
      </w:r>
      <w:r w:rsidRPr="00A66BB1">
        <w:rPr>
          <w:rFonts w:ascii="Arial" w:hAnsi="Arial" w:cs="Arial"/>
          <w:color w:val="000000" w:themeColor="text1"/>
        </w:rPr>
        <w:t>outputs</w:t>
      </w:r>
      <w:r w:rsidRPr="0094710F">
        <w:rPr>
          <w:rFonts w:ascii="Arial" w:hAnsi="Arial" w:cs="Arial"/>
          <w:szCs w:val="22"/>
        </w:rPr>
        <w:t>, outcomes, and impacts</w:t>
      </w:r>
      <w:r>
        <w:rPr>
          <w:rFonts w:ascii="Arial" w:hAnsi="Arial" w:cs="Arial"/>
          <w:szCs w:val="22"/>
        </w:rPr>
        <w:t>.</w:t>
      </w:r>
      <w:r w:rsidRPr="0094710F">
        <w:rPr>
          <w:rFonts w:ascii="Arial" w:hAnsi="Arial" w:cs="Arial"/>
          <w:szCs w:val="22"/>
        </w:rPr>
        <w:t xml:space="preserve"> The principal economic, environmental and social impacts are then summarised in a triple bottom line framework. </w:t>
      </w:r>
    </w:p>
    <w:p w:rsidR="002B5A16" w:rsidRPr="00F045ED" w:rsidRDefault="002B5A16" w:rsidP="00A66BB1">
      <w:pPr>
        <w:spacing w:after="240"/>
        <w:rPr>
          <w:rFonts w:ascii="Arial" w:hAnsi="Arial" w:cs="Arial"/>
          <w:szCs w:val="22"/>
        </w:rPr>
      </w:pPr>
      <w:r w:rsidRPr="00F045ED">
        <w:rPr>
          <w:rFonts w:ascii="Arial" w:hAnsi="Arial" w:cs="Arial"/>
          <w:szCs w:val="22"/>
        </w:rPr>
        <w:t xml:space="preserve">Some, </w:t>
      </w:r>
      <w:r w:rsidRPr="00A66BB1">
        <w:rPr>
          <w:rFonts w:ascii="Arial" w:hAnsi="Arial" w:cs="Arial"/>
          <w:color w:val="000000" w:themeColor="text1"/>
        </w:rPr>
        <w:t>but</w:t>
      </w:r>
      <w:r w:rsidRPr="00F045ED">
        <w:rPr>
          <w:rFonts w:ascii="Arial" w:hAnsi="Arial" w:cs="Arial"/>
          <w:szCs w:val="22"/>
        </w:rPr>
        <w:t xml:space="preserve"> not all, of the impacts identified were then valued in monetary terms. The decision not to value certain impacts was due either to a shortage of necessary evidence/data, a high degree of uncertainty surrounding the potential impact, or the likely low relative significance of the benefit compared to benefits that were valued. The impacts valued therefore are deemed to represent the principal benefits delivered by the investment.</w:t>
      </w:r>
    </w:p>
    <w:p w:rsidR="002B5A16" w:rsidRPr="00A66BB1" w:rsidRDefault="002B5A16" w:rsidP="00A66BB1">
      <w:pPr>
        <w:spacing w:after="240"/>
        <w:rPr>
          <w:rFonts w:ascii="Arial" w:hAnsi="Arial" w:cs="Arial"/>
          <w:b/>
          <w:sz w:val="40"/>
          <w:szCs w:val="40"/>
        </w:rPr>
      </w:pPr>
      <w:bookmarkStart w:id="504" w:name="_Toc476634717"/>
      <w:bookmarkStart w:id="505" w:name="_Toc487018697"/>
      <w:r w:rsidRPr="00A66BB1">
        <w:rPr>
          <w:rFonts w:ascii="Arial" w:hAnsi="Arial" w:cs="Arial"/>
          <w:b/>
          <w:sz w:val="40"/>
          <w:szCs w:val="40"/>
        </w:rPr>
        <w:t>2. Background and Rationale</w:t>
      </w:r>
      <w:bookmarkEnd w:id="504"/>
      <w:bookmarkEnd w:id="505"/>
      <w:r w:rsidRPr="00A66BB1">
        <w:rPr>
          <w:rFonts w:ascii="Arial" w:hAnsi="Arial" w:cs="Arial"/>
          <w:b/>
          <w:sz w:val="40"/>
          <w:szCs w:val="40"/>
        </w:rPr>
        <w:t xml:space="preserve"> </w:t>
      </w:r>
    </w:p>
    <w:p w:rsidR="002B5A16" w:rsidRPr="002C122E" w:rsidRDefault="002B5A16" w:rsidP="00A66BB1">
      <w:pPr>
        <w:spacing w:after="240"/>
        <w:rPr>
          <w:rFonts w:ascii="Arial" w:eastAsiaTheme="majorEastAsia" w:hAnsi="Arial" w:cs="Arial"/>
          <w:b/>
          <w:bCs/>
          <w:sz w:val="24"/>
        </w:rPr>
      </w:pPr>
      <w:r w:rsidRPr="002C122E">
        <w:rPr>
          <w:rFonts w:ascii="Arial" w:eastAsiaTheme="majorEastAsia" w:hAnsi="Arial" w:cs="Arial"/>
          <w:b/>
          <w:bCs/>
          <w:sz w:val="24"/>
        </w:rPr>
        <w:t xml:space="preserve">Background </w:t>
      </w:r>
    </w:p>
    <w:p w:rsidR="002B5A16" w:rsidRDefault="002B5A16" w:rsidP="00A66BB1">
      <w:pPr>
        <w:spacing w:after="240"/>
        <w:rPr>
          <w:rFonts w:ascii="Arial" w:eastAsiaTheme="majorEastAsia" w:hAnsi="Arial" w:cs="Arial"/>
          <w:bCs/>
        </w:rPr>
      </w:pPr>
      <w:r>
        <w:rPr>
          <w:rFonts w:ascii="Arial" w:eastAsiaTheme="majorEastAsia" w:hAnsi="Arial" w:cs="Arial"/>
          <w:bCs/>
        </w:rPr>
        <w:t xml:space="preserve">The Australian plum industry is part of the summerfruit industry that also includes nectarines, peaches and </w:t>
      </w:r>
      <w:r w:rsidRPr="00A66BB1">
        <w:rPr>
          <w:rFonts w:ascii="Arial" w:hAnsi="Arial" w:cs="Arial"/>
          <w:color w:val="000000" w:themeColor="text1"/>
        </w:rPr>
        <w:t>apricots</w:t>
      </w:r>
      <w:r>
        <w:rPr>
          <w:rFonts w:ascii="Arial" w:eastAsiaTheme="majorEastAsia" w:hAnsi="Arial" w:cs="Arial"/>
          <w:bCs/>
        </w:rPr>
        <w:t>. Queensland is a relatively small producer compared to other states, producing only 5% of all Australian plums in the year ended June 2015 (Table 1).</w:t>
      </w:r>
    </w:p>
    <w:p w:rsidR="002B5A16" w:rsidRDefault="002B5A16" w:rsidP="002B5A16">
      <w:pPr>
        <w:rPr>
          <w:rFonts w:ascii="Arial" w:eastAsiaTheme="majorEastAsia" w:hAnsi="Arial" w:cs="Arial"/>
          <w:bCs/>
        </w:rPr>
      </w:pPr>
    </w:p>
    <w:p w:rsidR="002B5A16" w:rsidRPr="00A66BB1" w:rsidRDefault="002B5A16" w:rsidP="002B5A16">
      <w:pPr>
        <w:pStyle w:val="Caption"/>
        <w:jc w:val="center"/>
        <w:rPr>
          <w:rFonts w:ascii="Arial" w:eastAsiaTheme="majorEastAsia" w:hAnsi="Arial"/>
          <w:b w:val="0"/>
          <w:bCs w:val="0"/>
          <w:i/>
          <w:sz w:val="22"/>
          <w:szCs w:val="22"/>
        </w:rPr>
      </w:pPr>
      <w:bookmarkStart w:id="506" w:name="_Toc487018706"/>
      <w:r w:rsidRPr="00005AA0">
        <w:rPr>
          <w:rFonts w:ascii="Arial" w:hAnsi="Arial"/>
          <w:b w:val="0"/>
          <w:sz w:val="22"/>
          <w:szCs w:val="22"/>
        </w:rPr>
        <w:t xml:space="preserve">Table </w:t>
      </w:r>
      <w:r w:rsidR="00913E1D" w:rsidRPr="00005AA0">
        <w:rPr>
          <w:rFonts w:ascii="Arial" w:hAnsi="Arial"/>
          <w:b w:val="0"/>
          <w:sz w:val="22"/>
          <w:szCs w:val="22"/>
        </w:rPr>
        <w:t>1</w:t>
      </w:r>
      <w:r w:rsidRPr="00005AA0">
        <w:rPr>
          <w:rFonts w:ascii="Arial" w:hAnsi="Arial"/>
          <w:b w:val="0"/>
          <w:sz w:val="22"/>
          <w:szCs w:val="22"/>
        </w:rPr>
        <w:t>:</w:t>
      </w:r>
      <w:r w:rsidRPr="00A66BB1">
        <w:rPr>
          <w:rFonts w:ascii="Arial" w:hAnsi="Arial"/>
          <w:b w:val="0"/>
          <w:sz w:val="22"/>
          <w:szCs w:val="22"/>
        </w:rPr>
        <w:t xml:space="preserve"> Production of Fresh Plums by State</w:t>
      </w:r>
      <w:bookmarkEnd w:id="506"/>
    </w:p>
    <w:p w:rsidR="002B5A16" w:rsidRPr="00A66BB1" w:rsidRDefault="002B5A16" w:rsidP="00A66BB1">
      <w:pPr>
        <w:pStyle w:val="Caption"/>
        <w:keepNext/>
        <w:spacing w:after="240"/>
        <w:jc w:val="center"/>
        <w:rPr>
          <w:rFonts w:ascii="Arial" w:hAnsi="Arial"/>
          <w:b w:val="0"/>
          <w:i/>
          <w:sz w:val="22"/>
          <w:szCs w:val="22"/>
        </w:rPr>
      </w:pPr>
      <w:r w:rsidRPr="00A66BB1">
        <w:rPr>
          <w:rFonts w:ascii="Arial" w:hAnsi="Arial"/>
          <w:b w:val="0"/>
          <w:sz w:val="22"/>
          <w:szCs w:val="22"/>
        </w:rPr>
        <w:t xml:space="preserve"> (Year ended June 2015)</w:t>
      </w:r>
    </w:p>
    <w:tbl>
      <w:tblPr>
        <w:tblStyle w:val="TableGrid"/>
        <w:tblW w:w="0" w:type="auto"/>
        <w:jc w:val="center"/>
        <w:tblLook w:val="04A0" w:firstRow="1" w:lastRow="0" w:firstColumn="1" w:lastColumn="0" w:noHBand="0" w:noVBand="1"/>
      </w:tblPr>
      <w:tblGrid>
        <w:gridCol w:w="2547"/>
        <w:gridCol w:w="2268"/>
      </w:tblGrid>
      <w:tr w:rsidR="002B5A16" w:rsidRPr="00005AA0" w:rsidTr="002B5A16">
        <w:trPr>
          <w:trHeight w:val="58"/>
          <w:jc w:val="center"/>
        </w:trPr>
        <w:tc>
          <w:tcPr>
            <w:tcW w:w="2547"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State</w:t>
            </w:r>
          </w:p>
        </w:tc>
        <w:tc>
          <w:tcPr>
            <w:tcW w:w="2268" w:type="dxa"/>
          </w:tcPr>
          <w:p w:rsidR="002B5A16" w:rsidRPr="00005AA0" w:rsidRDefault="002B5A16" w:rsidP="00005AA0">
            <w:pPr>
              <w:jc w:val="center"/>
              <w:rPr>
                <w:rFonts w:ascii="Arial" w:eastAsiaTheme="majorEastAsia" w:hAnsi="Arial" w:cs="Arial"/>
                <w:b/>
                <w:bCs/>
                <w:sz w:val="22"/>
                <w:szCs w:val="22"/>
              </w:rPr>
            </w:pPr>
            <w:r w:rsidRPr="00005AA0">
              <w:rPr>
                <w:rFonts w:ascii="Arial" w:eastAsiaTheme="majorEastAsia" w:hAnsi="Arial" w:cs="Arial"/>
                <w:b/>
                <w:bCs/>
                <w:sz w:val="22"/>
                <w:szCs w:val="22"/>
              </w:rPr>
              <w:t>Production (tonnes)</w:t>
            </w:r>
          </w:p>
        </w:tc>
      </w:tr>
      <w:tr w:rsidR="002B5A16" w:rsidRPr="00005AA0" w:rsidTr="002B5A16">
        <w:trPr>
          <w:jc w:val="center"/>
        </w:trPr>
        <w:tc>
          <w:tcPr>
            <w:tcW w:w="2547"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Victoria</w:t>
            </w:r>
          </w:p>
        </w:tc>
        <w:tc>
          <w:tcPr>
            <w:tcW w:w="226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11,997</w:t>
            </w:r>
          </w:p>
        </w:tc>
      </w:tr>
      <w:tr w:rsidR="002B5A16" w:rsidRPr="00005AA0" w:rsidTr="002B5A16">
        <w:trPr>
          <w:jc w:val="center"/>
        </w:trPr>
        <w:tc>
          <w:tcPr>
            <w:tcW w:w="2547"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 xml:space="preserve">Western Australia </w:t>
            </w:r>
          </w:p>
        </w:tc>
        <w:tc>
          <w:tcPr>
            <w:tcW w:w="226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4,692</w:t>
            </w:r>
          </w:p>
        </w:tc>
      </w:tr>
      <w:tr w:rsidR="002B5A16" w:rsidRPr="00005AA0" w:rsidTr="002B5A16">
        <w:trPr>
          <w:jc w:val="center"/>
        </w:trPr>
        <w:tc>
          <w:tcPr>
            <w:tcW w:w="2547"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 xml:space="preserve">New South Wales </w:t>
            </w:r>
          </w:p>
        </w:tc>
        <w:tc>
          <w:tcPr>
            <w:tcW w:w="226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4,476</w:t>
            </w:r>
          </w:p>
        </w:tc>
      </w:tr>
      <w:tr w:rsidR="002B5A16" w:rsidRPr="00005AA0" w:rsidTr="002B5A16">
        <w:trPr>
          <w:jc w:val="center"/>
        </w:trPr>
        <w:tc>
          <w:tcPr>
            <w:tcW w:w="2547"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 xml:space="preserve">South Australia </w:t>
            </w:r>
          </w:p>
        </w:tc>
        <w:tc>
          <w:tcPr>
            <w:tcW w:w="226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1,221</w:t>
            </w:r>
          </w:p>
        </w:tc>
      </w:tr>
      <w:tr w:rsidR="002B5A16" w:rsidRPr="00005AA0" w:rsidTr="002B5A16">
        <w:trPr>
          <w:jc w:val="center"/>
        </w:trPr>
        <w:tc>
          <w:tcPr>
            <w:tcW w:w="2547"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 xml:space="preserve">Queensland </w:t>
            </w:r>
          </w:p>
        </w:tc>
        <w:tc>
          <w:tcPr>
            <w:tcW w:w="226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1,197</w:t>
            </w:r>
          </w:p>
        </w:tc>
      </w:tr>
      <w:tr w:rsidR="002B5A16" w:rsidRPr="00005AA0" w:rsidTr="002B5A16">
        <w:trPr>
          <w:jc w:val="center"/>
        </w:trPr>
        <w:tc>
          <w:tcPr>
            <w:tcW w:w="2547"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Tasmania</w:t>
            </w:r>
          </w:p>
        </w:tc>
        <w:tc>
          <w:tcPr>
            <w:tcW w:w="226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66</w:t>
            </w:r>
          </w:p>
        </w:tc>
      </w:tr>
      <w:tr w:rsidR="002B5A16" w:rsidRPr="00005AA0" w:rsidTr="002B5A16">
        <w:trPr>
          <w:jc w:val="center"/>
        </w:trPr>
        <w:tc>
          <w:tcPr>
            <w:tcW w:w="2547"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Imported</w:t>
            </w:r>
          </w:p>
        </w:tc>
        <w:tc>
          <w:tcPr>
            <w:tcW w:w="226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62</w:t>
            </w:r>
          </w:p>
        </w:tc>
      </w:tr>
      <w:tr w:rsidR="002B5A16" w:rsidRPr="00005AA0" w:rsidTr="002B5A16">
        <w:trPr>
          <w:jc w:val="center"/>
        </w:trPr>
        <w:tc>
          <w:tcPr>
            <w:tcW w:w="2547"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Total</w:t>
            </w:r>
          </w:p>
        </w:tc>
        <w:tc>
          <w:tcPr>
            <w:tcW w:w="226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23,711</w:t>
            </w:r>
          </w:p>
        </w:tc>
      </w:tr>
    </w:tbl>
    <w:p w:rsidR="002B5A16" w:rsidRDefault="002B5A16" w:rsidP="00A66BB1">
      <w:pPr>
        <w:spacing w:after="240"/>
        <w:rPr>
          <w:rFonts w:ascii="Arial" w:eastAsiaTheme="majorEastAsia" w:hAnsi="Arial" w:cs="Arial"/>
          <w:bCs/>
        </w:rPr>
      </w:pPr>
      <w:r>
        <w:rPr>
          <w:rFonts w:ascii="Arial" w:eastAsiaTheme="majorEastAsia" w:hAnsi="Arial" w:cs="Arial"/>
          <w:bCs/>
        </w:rPr>
        <w:tab/>
      </w:r>
      <w:r>
        <w:rPr>
          <w:rFonts w:ascii="Arial" w:eastAsiaTheme="majorEastAsia" w:hAnsi="Arial" w:cs="Arial"/>
          <w:bCs/>
        </w:rPr>
        <w:tab/>
      </w:r>
      <w:r>
        <w:rPr>
          <w:rFonts w:ascii="Arial" w:eastAsiaTheme="majorEastAsia" w:hAnsi="Arial" w:cs="Arial"/>
          <w:bCs/>
        </w:rPr>
        <w:tab/>
        <w:t>Source: HIAL, 2015</w:t>
      </w:r>
    </w:p>
    <w:p w:rsidR="002B5A16" w:rsidRDefault="002B5A16" w:rsidP="00A66BB1">
      <w:pPr>
        <w:spacing w:after="240"/>
        <w:rPr>
          <w:rFonts w:ascii="Arial" w:eastAsiaTheme="majorEastAsia" w:hAnsi="Arial" w:cs="Arial"/>
          <w:bCs/>
        </w:rPr>
      </w:pPr>
      <w:r>
        <w:rPr>
          <w:rFonts w:ascii="Arial" w:eastAsiaTheme="majorEastAsia" w:hAnsi="Arial" w:cs="Arial"/>
          <w:bCs/>
        </w:rPr>
        <w:t xml:space="preserve">The 23,000 tonnes of plums produced in 2015 compares with about 19,000 tonnes produced in 1993, so national growth in production has been slow. Statistics for production, production value and the average unit price for plums over the past three years are shown in Table 2.  Most production is consumed fresh in Australia with only 15% exported (Table 3).   </w:t>
      </w:r>
    </w:p>
    <w:p w:rsidR="002B5A16" w:rsidRDefault="002B5A16" w:rsidP="002B5A16">
      <w:pPr>
        <w:rPr>
          <w:rFonts w:ascii="Arial" w:eastAsiaTheme="majorEastAsia" w:hAnsi="Arial" w:cs="Arial"/>
          <w:bCs/>
        </w:rPr>
      </w:pPr>
    </w:p>
    <w:p w:rsidR="002B5A16" w:rsidRDefault="002B5A16" w:rsidP="002B5A16">
      <w:pPr>
        <w:rPr>
          <w:rFonts w:ascii="Arial" w:eastAsiaTheme="majorEastAsia" w:hAnsi="Arial" w:cs="Arial"/>
          <w:bCs/>
        </w:rPr>
      </w:pPr>
    </w:p>
    <w:p w:rsidR="002B5A16" w:rsidRDefault="002B5A16" w:rsidP="002B5A16">
      <w:pPr>
        <w:rPr>
          <w:rFonts w:ascii="Arial" w:eastAsiaTheme="majorEastAsia" w:hAnsi="Arial" w:cs="Arial"/>
          <w:bCs/>
        </w:rPr>
      </w:pPr>
    </w:p>
    <w:p w:rsidR="002B5A16" w:rsidRDefault="002B5A16" w:rsidP="002B5A16">
      <w:pPr>
        <w:rPr>
          <w:rFonts w:ascii="Arial" w:eastAsiaTheme="majorEastAsia" w:hAnsi="Arial" w:cs="Arial"/>
          <w:bCs/>
        </w:rPr>
      </w:pPr>
    </w:p>
    <w:p w:rsidR="002B5A16" w:rsidRPr="00A66BB1" w:rsidRDefault="002B5A16" w:rsidP="00A66BB1">
      <w:pPr>
        <w:pStyle w:val="Caption"/>
        <w:keepNext/>
        <w:spacing w:after="240"/>
        <w:jc w:val="center"/>
        <w:rPr>
          <w:rFonts w:ascii="Arial" w:hAnsi="Arial"/>
          <w:b w:val="0"/>
          <w:i/>
          <w:sz w:val="22"/>
          <w:szCs w:val="22"/>
        </w:rPr>
      </w:pPr>
      <w:bookmarkStart w:id="507" w:name="_Toc487018707"/>
      <w:r w:rsidRPr="00A66BB1">
        <w:rPr>
          <w:rFonts w:ascii="Arial" w:hAnsi="Arial"/>
          <w:b w:val="0"/>
          <w:sz w:val="22"/>
          <w:szCs w:val="22"/>
        </w:rPr>
        <w:t xml:space="preserve">Table </w:t>
      </w:r>
      <w:r w:rsidR="00913E1D">
        <w:rPr>
          <w:rFonts w:ascii="Arial" w:hAnsi="Arial"/>
          <w:b w:val="0"/>
          <w:i/>
          <w:sz w:val="22"/>
          <w:szCs w:val="22"/>
        </w:rPr>
        <w:t>2</w:t>
      </w:r>
      <w:r w:rsidRPr="00A66BB1">
        <w:rPr>
          <w:rFonts w:ascii="Arial" w:hAnsi="Arial"/>
          <w:b w:val="0"/>
          <w:sz w:val="22"/>
          <w:szCs w:val="22"/>
        </w:rPr>
        <w:t>: Australian Fresh Plum Production and Value (2013 to 2015)</w:t>
      </w:r>
      <w:bookmarkEnd w:id="507"/>
    </w:p>
    <w:tbl>
      <w:tblPr>
        <w:tblStyle w:val="TableGrid"/>
        <w:tblW w:w="0" w:type="auto"/>
        <w:jc w:val="center"/>
        <w:tblLook w:val="04A0" w:firstRow="1" w:lastRow="0" w:firstColumn="1" w:lastColumn="0" w:noHBand="0" w:noVBand="1"/>
      </w:tblPr>
      <w:tblGrid>
        <w:gridCol w:w="1843"/>
        <w:gridCol w:w="1420"/>
        <w:gridCol w:w="1421"/>
        <w:gridCol w:w="1554"/>
        <w:gridCol w:w="1288"/>
      </w:tblGrid>
      <w:tr w:rsidR="002B5A16" w:rsidRPr="00005AA0" w:rsidTr="00005AA0">
        <w:trPr>
          <w:trHeight w:val="58"/>
          <w:jc w:val="center"/>
        </w:trPr>
        <w:tc>
          <w:tcPr>
            <w:tcW w:w="1843"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 xml:space="preserve">Year ended June </w:t>
            </w:r>
          </w:p>
        </w:tc>
        <w:tc>
          <w:tcPr>
            <w:tcW w:w="1420"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Production (tonnes)</w:t>
            </w:r>
          </w:p>
        </w:tc>
        <w:tc>
          <w:tcPr>
            <w:tcW w:w="1421"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 xml:space="preserve">Production </w:t>
            </w:r>
          </w:p>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value ($m)</w:t>
            </w:r>
          </w:p>
        </w:tc>
        <w:tc>
          <w:tcPr>
            <w:tcW w:w="1554"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 xml:space="preserve">Unit price all production </w:t>
            </w:r>
          </w:p>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($/tonne)</w:t>
            </w:r>
          </w:p>
        </w:tc>
        <w:tc>
          <w:tcPr>
            <w:tcW w:w="1288"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Fresh Supply</w:t>
            </w:r>
          </w:p>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(tonnes)</w:t>
            </w:r>
          </w:p>
        </w:tc>
      </w:tr>
      <w:tr w:rsidR="002B5A16" w:rsidRPr="00005AA0" w:rsidTr="00005AA0">
        <w:trPr>
          <w:jc w:val="center"/>
        </w:trPr>
        <w:tc>
          <w:tcPr>
            <w:tcW w:w="1843"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2013</w:t>
            </w:r>
          </w:p>
        </w:tc>
        <w:tc>
          <w:tcPr>
            <w:tcW w:w="1420"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24,199</w:t>
            </w:r>
          </w:p>
        </w:tc>
        <w:tc>
          <w:tcPr>
            <w:tcW w:w="1421"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43.1</w:t>
            </w:r>
          </w:p>
        </w:tc>
        <w:tc>
          <w:tcPr>
            <w:tcW w:w="1554"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1,781</w:t>
            </w:r>
          </w:p>
        </w:tc>
        <w:tc>
          <w:tcPr>
            <w:tcW w:w="128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11,965</w:t>
            </w:r>
          </w:p>
        </w:tc>
      </w:tr>
      <w:tr w:rsidR="002B5A16" w:rsidRPr="00005AA0" w:rsidTr="00005AA0">
        <w:trPr>
          <w:jc w:val="center"/>
        </w:trPr>
        <w:tc>
          <w:tcPr>
            <w:tcW w:w="1843"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2014</w:t>
            </w:r>
          </w:p>
        </w:tc>
        <w:tc>
          <w:tcPr>
            <w:tcW w:w="1420"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26,749</w:t>
            </w:r>
          </w:p>
        </w:tc>
        <w:tc>
          <w:tcPr>
            <w:tcW w:w="1421"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59.5</w:t>
            </w:r>
          </w:p>
        </w:tc>
        <w:tc>
          <w:tcPr>
            <w:tcW w:w="1554"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2,224</w:t>
            </w:r>
          </w:p>
        </w:tc>
        <w:tc>
          <w:tcPr>
            <w:tcW w:w="128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13,019</w:t>
            </w:r>
          </w:p>
        </w:tc>
      </w:tr>
      <w:tr w:rsidR="002B5A16" w:rsidRPr="00005AA0" w:rsidTr="00005AA0">
        <w:trPr>
          <w:jc w:val="center"/>
        </w:trPr>
        <w:tc>
          <w:tcPr>
            <w:tcW w:w="1843"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2015</w:t>
            </w:r>
          </w:p>
        </w:tc>
        <w:tc>
          <w:tcPr>
            <w:tcW w:w="1420"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23,649</w:t>
            </w:r>
          </w:p>
        </w:tc>
        <w:tc>
          <w:tcPr>
            <w:tcW w:w="1421"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51.9</w:t>
            </w:r>
          </w:p>
        </w:tc>
        <w:tc>
          <w:tcPr>
            <w:tcW w:w="1554"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2,195</w:t>
            </w:r>
          </w:p>
        </w:tc>
        <w:tc>
          <w:tcPr>
            <w:tcW w:w="128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13,809</w:t>
            </w:r>
          </w:p>
        </w:tc>
      </w:tr>
      <w:tr w:rsidR="002B5A16" w:rsidRPr="00005AA0" w:rsidTr="00005AA0">
        <w:trPr>
          <w:jc w:val="center"/>
        </w:trPr>
        <w:tc>
          <w:tcPr>
            <w:tcW w:w="1843"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Simple Average</w:t>
            </w:r>
          </w:p>
        </w:tc>
        <w:tc>
          <w:tcPr>
            <w:tcW w:w="1420"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24,866</w:t>
            </w:r>
          </w:p>
        </w:tc>
        <w:tc>
          <w:tcPr>
            <w:tcW w:w="1421"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51.5</w:t>
            </w:r>
          </w:p>
        </w:tc>
        <w:tc>
          <w:tcPr>
            <w:tcW w:w="1554"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2,067</w:t>
            </w:r>
          </w:p>
        </w:tc>
        <w:tc>
          <w:tcPr>
            <w:tcW w:w="1288"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12,931</w:t>
            </w:r>
          </w:p>
        </w:tc>
      </w:tr>
    </w:tbl>
    <w:p w:rsidR="002B5A16" w:rsidRDefault="002B5A16" w:rsidP="002B5A16">
      <w:pPr>
        <w:rPr>
          <w:rFonts w:ascii="Arial" w:eastAsiaTheme="majorEastAsia" w:hAnsi="Arial" w:cs="Arial"/>
          <w:bCs/>
        </w:rPr>
      </w:pPr>
      <w:r>
        <w:rPr>
          <w:rFonts w:ascii="Arial" w:eastAsiaTheme="majorEastAsia" w:hAnsi="Arial" w:cs="Arial"/>
          <w:bCs/>
        </w:rPr>
        <w:tab/>
        <w:t xml:space="preserve">  Source: HIAL, 2015</w:t>
      </w:r>
    </w:p>
    <w:p w:rsidR="002B5A16" w:rsidRDefault="002B5A16" w:rsidP="002B5A16">
      <w:pPr>
        <w:rPr>
          <w:rFonts w:ascii="Arial" w:eastAsiaTheme="majorEastAsia" w:hAnsi="Arial" w:cs="Arial"/>
          <w:bCs/>
        </w:rPr>
      </w:pPr>
    </w:p>
    <w:p w:rsidR="002B5A16" w:rsidRPr="00A66BB1" w:rsidRDefault="002B5A16" w:rsidP="00A66BB1">
      <w:pPr>
        <w:pStyle w:val="Caption"/>
        <w:keepNext/>
        <w:spacing w:after="240"/>
        <w:jc w:val="center"/>
        <w:rPr>
          <w:rFonts w:ascii="Arial" w:hAnsi="Arial"/>
          <w:b w:val="0"/>
          <w:sz w:val="22"/>
          <w:szCs w:val="22"/>
        </w:rPr>
      </w:pPr>
      <w:bookmarkStart w:id="508" w:name="_Toc487018708"/>
      <w:r w:rsidRPr="00A66BB1">
        <w:rPr>
          <w:rFonts w:ascii="Arial" w:hAnsi="Arial"/>
          <w:b w:val="0"/>
          <w:sz w:val="22"/>
          <w:szCs w:val="22"/>
        </w:rPr>
        <w:t xml:space="preserve">Table </w:t>
      </w:r>
      <w:r w:rsidR="00913E1D">
        <w:rPr>
          <w:rFonts w:ascii="Arial" w:hAnsi="Arial"/>
          <w:b w:val="0"/>
          <w:sz w:val="22"/>
          <w:szCs w:val="22"/>
        </w:rPr>
        <w:t>3</w:t>
      </w:r>
      <w:r w:rsidRPr="00A66BB1">
        <w:rPr>
          <w:rFonts w:ascii="Arial" w:hAnsi="Arial"/>
          <w:b w:val="0"/>
          <w:sz w:val="22"/>
          <w:szCs w:val="22"/>
        </w:rPr>
        <w:t>: Disposal of Australian Fresh Production of Plums (2013 to 2015)</w:t>
      </w:r>
      <w:bookmarkEnd w:id="508"/>
    </w:p>
    <w:tbl>
      <w:tblPr>
        <w:tblStyle w:val="TableGrid"/>
        <w:tblW w:w="0" w:type="auto"/>
        <w:jc w:val="center"/>
        <w:tblLook w:val="04A0" w:firstRow="1" w:lastRow="0" w:firstColumn="1" w:lastColumn="0" w:noHBand="0" w:noVBand="1"/>
      </w:tblPr>
      <w:tblGrid>
        <w:gridCol w:w="1843"/>
        <w:gridCol w:w="1420"/>
        <w:gridCol w:w="1421"/>
        <w:gridCol w:w="1695"/>
        <w:gridCol w:w="1365"/>
      </w:tblGrid>
      <w:tr w:rsidR="002B5A16" w:rsidRPr="00005AA0" w:rsidTr="00005AA0">
        <w:trPr>
          <w:trHeight w:val="58"/>
          <w:jc w:val="center"/>
        </w:trPr>
        <w:tc>
          <w:tcPr>
            <w:tcW w:w="1843"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 xml:space="preserve">Year ended June </w:t>
            </w:r>
          </w:p>
        </w:tc>
        <w:tc>
          <w:tcPr>
            <w:tcW w:w="1420"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Fresh domestic supply (tonnes)</w:t>
            </w:r>
          </w:p>
        </w:tc>
        <w:tc>
          <w:tcPr>
            <w:tcW w:w="1421"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 xml:space="preserve">Fresh export  </w:t>
            </w:r>
          </w:p>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 xml:space="preserve">(tonnes) </w:t>
            </w:r>
          </w:p>
        </w:tc>
        <w:tc>
          <w:tcPr>
            <w:tcW w:w="1695"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 xml:space="preserve">Processing domestic  </w:t>
            </w:r>
          </w:p>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(tonnes)</w:t>
            </w:r>
          </w:p>
        </w:tc>
        <w:tc>
          <w:tcPr>
            <w:tcW w:w="1365" w:type="dxa"/>
          </w:tcPr>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 xml:space="preserve">Total production </w:t>
            </w:r>
          </w:p>
          <w:p w:rsidR="002B5A16" w:rsidRPr="00005AA0" w:rsidRDefault="002B5A16" w:rsidP="002B5A16">
            <w:pPr>
              <w:rPr>
                <w:rFonts w:ascii="Arial" w:eastAsiaTheme="majorEastAsia" w:hAnsi="Arial" w:cs="Arial"/>
                <w:b/>
                <w:bCs/>
                <w:sz w:val="22"/>
                <w:szCs w:val="22"/>
              </w:rPr>
            </w:pPr>
            <w:r w:rsidRPr="00005AA0">
              <w:rPr>
                <w:rFonts w:ascii="Arial" w:eastAsiaTheme="majorEastAsia" w:hAnsi="Arial" w:cs="Arial"/>
                <w:b/>
                <w:bCs/>
                <w:sz w:val="22"/>
                <w:szCs w:val="22"/>
              </w:rPr>
              <w:t>(tonnes)</w:t>
            </w:r>
          </w:p>
        </w:tc>
      </w:tr>
      <w:tr w:rsidR="002B5A16" w:rsidRPr="00005AA0" w:rsidTr="00005AA0">
        <w:trPr>
          <w:jc w:val="center"/>
        </w:trPr>
        <w:tc>
          <w:tcPr>
            <w:tcW w:w="1843"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2013</w:t>
            </w:r>
          </w:p>
        </w:tc>
        <w:tc>
          <w:tcPr>
            <w:tcW w:w="1420"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11,965</w:t>
            </w:r>
          </w:p>
        </w:tc>
        <w:tc>
          <w:tcPr>
            <w:tcW w:w="1421"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3,268</w:t>
            </w:r>
          </w:p>
        </w:tc>
        <w:tc>
          <w:tcPr>
            <w:tcW w:w="1695" w:type="dxa"/>
          </w:tcPr>
          <w:p w:rsidR="002B5A16" w:rsidRPr="00005AA0" w:rsidRDefault="002B5A16" w:rsidP="002B5A16">
            <w:pPr>
              <w:jc w:val="center"/>
              <w:rPr>
                <w:rFonts w:ascii="Arial" w:eastAsiaTheme="majorEastAsia" w:hAnsi="Arial" w:cs="Arial"/>
                <w:bCs/>
                <w:sz w:val="22"/>
                <w:szCs w:val="22"/>
              </w:rPr>
            </w:pPr>
            <w:r w:rsidRPr="00005AA0">
              <w:rPr>
                <w:rFonts w:ascii="Arial" w:eastAsiaTheme="majorEastAsia" w:hAnsi="Arial" w:cs="Arial"/>
                <w:bCs/>
                <w:sz w:val="22"/>
                <w:szCs w:val="22"/>
              </w:rPr>
              <w:t>8,966</w:t>
            </w:r>
          </w:p>
        </w:tc>
        <w:tc>
          <w:tcPr>
            <w:tcW w:w="1365"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24,199</w:t>
            </w:r>
          </w:p>
        </w:tc>
      </w:tr>
      <w:tr w:rsidR="002B5A16" w:rsidRPr="00005AA0" w:rsidTr="00005AA0">
        <w:trPr>
          <w:jc w:val="center"/>
        </w:trPr>
        <w:tc>
          <w:tcPr>
            <w:tcW w:w="1843"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2014</w:t>
            </w:r>
          </w:p>
        </w:tc>
        <w:tc>
          <w:tcPr>
            <w:tcW w:w="1420"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13,019</w:t>
            </w:r>
          </w:p>
        </w:tc>
        <w:tc>
          <w:tcPr>
            <w:tcW w:w="1421"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4,205</w:t>
            </w:r>
          </w:p>
        </w:tc>
        <w:tc>
          <w:tcPr>
            <w:tcW w:w="1695" w:type="dxa"/>
          </w:tcPr>
          <w:p w:rsidR="002B5A16" w:rsidRPr="00005AA0" w:rsidRDefault="002B5A16" w:rsidP="002B5A16">
            <w:pPr>
              <w:jc w:val="center"/>
              <w:rPr>
                <w:rFonts w:ascii="Arial" w:eastAsiaTheme="majorEastAsia" w:hAnsi="Arial" w:cs="Arial"/>
                <w:bCs/>
                <w:sz w:val="22"/>
                <w:szCs w:val="22"/>
              </w:rPr>
            </w:pPr>
            <w:r w:rsidRPr="00005AA0">
              <w:rPr>
                <w:rFonts w:ascii="Arial" w:eastAsiaTheme="majorEastAsia" w:hAnsi="Arial" w:cs="Arial"/>
                <w:bCs/>
                <w:sz w:val="22"/>
                <w:szCs w:val="22"/>
              </w:rPr>
              <w:t>9,525</w:t>
            </w:r>
          </w:p>
        </w:tc>
        <w:tc>
          <w:tcPr>
            <w:tcW w:w="1365"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26,749</w:t>
            </w:r>
          </w:p>
        </w:tc>
      </w:tr>
      <w:tr w:rsidR="002B5A16" w:rsidRPr="00005AA0" w:rsidTr="00005AA0">
        <w:trPr>
          <w:jc w:val="center"/>
        </w:trPr>
        <w:tc>
          <w:tcPr>
            <w:tcW w:w="1843"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2015</w:t>
            </w:r>
          </w:p>
        </w:tc>
        <w:tc>
          <w:tcPr>
            <w:tcW w:w="1420"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13,809</w:t>
            </w:r>
          </w:p>
        </w:tc>
        <w:tc>
          <w:tcPr>
            <w:tcW w:w="1421"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3,586</w:t>
            </w:r>
          </w:p>
        </w:tc>
        <w:tc>
          <w:tcPr>
            <w:tcW w:w="1695" w:type="dxa"/>
          </w:tcPr>
          <w:p w:rsidR="002B5A16" w:rsidRPr="00005AA0" w:rsidRDefault="002B5A16" w:rsidP="002B5A16">
            <w:pPr>
              <w:jc w:val="center"/>
              <w:rPr>
                <w:rFonts w:ascii="Arial" w:eastAsiaTheme="majorEastAsia" w:hAnsi="Arial" w:cs="Arial"/>
                <w:bCs/>
                <w:sz w:val="22"/>
                <w:szCs w:val="22"/>
              </w:rPr>
            </w:pPr>
            <w:r w:rsidRPr="00005AA0">
              <w:rPr>
                <w:rFonts w:ascii="Arial" w:eastAsiaTheme="majorEastAsia" w:hAnsi="Arial" w:cs="Arial"/>
                <w:bCs/>
                <w:sz w:val="22"/>
                <w:szCs w:val="22"/>
              </w:rPr>
              <w:t>6,316</w:t>
            </w:r>
          </w:p>
        </w:tc>
        <w:tc>
          <w:tcPr>
            <w:tcW w:w="1365"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23,711</w:t>
            </w:r>
          </w:p>
        </w:tc>
      </w:tr>
      <w:tr w:rsidR="002B5A16" w:rsidRPr="00005AA0" w:rsidTr="00005AA0">
        <w:trPr>
          <w:jc w:val="center"/>
        </w:trPr>
        <w:tc>
          <w:tcPr>
            <w:tcW w:w="1843" w:type="dxa"/>
          </w:tcPr>
          <w:p w:rsidR="002B5A16" w:rsidRPr="00005AA0" w:rsidRDefault="002B5A16" w:rsidP="002B5A16">
            <w:pPr>
              <w:rPr>
                <w:rFonts w:ascii="Arial" w:eastAsiaTheme="majorEastAsia" w:hAnsi="Arial" w:cs="Arial"/>
                <w:bCs/>
                <w:sz w:val="22"/>
                <w:szCs w:val="22"/>
              </w:rPr>
            </w:pPr>
            <w:r w:rsidRPr="00005AA0">
              <w:rPr>
                <w:rFonts w:ascii="Arial" w:eastAsiaTheme="majorEastAsia" w:hAnsi="Arial" w:cs="Arial"/>
                <w:bCs/>
                <w:sz w:val="22"/>
                <w:szCs w:val="22"/>
              </w:rPr>
              <w:t>Simple Average</w:t>
            </w:r>
          </w:p>
        </w:tc>
        <w:tc>
          <w:tcPr>
            <w:tcW w:w="1420"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12,931</w:t>
            </w:r>
          </w:p>
        </w:tc>
        <w:tc>
          <w:tcPr>
            <w:tcW w:w="1421"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3,686</w:t>
            </w:r>
          </w:p>
        </w:tc>
        <w:tc>
          <w:tcPr>
            <w:tcW w:w="1695" w:type="dxa"/>
          </w:tcPr>
          <w:p w:rsidR="002B5A16" w:rsidRPr="00005AA0" w:rsidRDefault="002B5A16" w:rsidP="002B5A16">
            <w:pPr>
              <w:jc w:val="center"/>
              <w:rPr>
                <w:rFonts w:ascii="Arial" w:eastAsiaTheme="majorEastAsia" w:hAnsi="Arial" w:cs="Arial"/>
                <w:bCs/>
                <w:sz w:val="22"/>
                <w:szCs w:val="22"/>
              </w:rPr>
            </w:pPr>
            <w:r w:rsidRPr="00005AA0">
              <w:rPr>
                <w:rFonts w:ascii="Arial" w:eastAsiaTheme="majorEastAsia" w:hAnsi="Arial" w:cs="Arial"/>
                <w:bCs/>
                <w:sz w:val="22"/>
                <w:szCs w:val="22"/>
              </w:rPr>
              <w:t>8,269</w:t>
            </w:r>
          </w:p>
        </w:tc>
        <w:tc>
          <w:tcPr>
            <w:tcW w:w="1365" w:type="dxa"/>
          </w:tcPr>
          <w:p w:rsidR="002B5A16" w:rsidRPr="00005AA0" w:rsidRDefault="002B5A16" w:rsidP="002B5A16">
            <w:pPr>
              <w:jc w:val="right"/>
              <w:rPr>
                <w:rFonts w:ascii="Arial" w:eastAsiaTheme="majorEastAsia" w:hAnsi="Arial" w:cs="Arial"/>
                <w:bCs/>
                <w:sz w:val="22"/>
                <w:szCs w:val="22"/>
              </w:rPr>
            </w:pPr>
            <w:r w:rsidRPr="00005AA0">
              <w:rPr>
                <w:rFonts w:ascii="Arial" w:eastAsiaTheme="majorEastAsia" w:hAnsi="Arial" w:cs="Arial"/>
                <w:bCs/>
                <w:sz w:val="22"/>
                <w:szCs w:val="22"/>
              </w:rPr>
              <w:t>24,886</w:t>
            </w:r>
          </w:p>
        </w:tc>
      </w:tr>
    </w:tbl>
    <w:p w:rsidR="002B5A16" w:rsidRDefault="002B5A16" w:rsidP="002B5A16">
      <w:pPr>
        <w:rPr>
          <w:rFonts w:ascii="Arial" w:eastAsiaTheme="majorEastAsia" w:hAnsi="Arial" w:cs="Arial"/>
          <w:bCs/>
        </w:rPr>
      </w:pPr>
      <w:r>
        <w:rPr>
          <w:rFonts w:ascii="Arial" w:eastAsiaTheme="majorEastAsia" w:hAnsi="Arial" w:cs="Arial"/>
          <w:bCs/>
        </w:rPr>
        <w:tab/>
        <w:t xml:space="preserve">  Source: HIAL, 2015 </w:t>
      </w:r>
    </w:p>
    <w:p w:rsidR="002B5A16" w:rsidRDefault="002B5A16" w:rsidP="002B5A16">
      <w:pPr>
        <w:rPr>
          <w:rFonts w:ascii="Arial" w:eastAsiaTheme="majorEastAsia" w:hAnsi="Arial" w:cs="Arial"/>
          <w:bCs/>
        </w:rPr>
      </w:pPr>
    </w:p>
    <w:p w:rsidR="002B5A16" w:rsidRPr="002C122E" w:rsidRDefault="002B5A16" w:rsidP="00A66BB1">
      <w:pPr>
        <w:spacing w:after="240"/>
        <w:rPr>
          <w:rFonts w:ascii="Arial" w:eastAsiaTheme="majorEastAsia" w:hAnsi="Arial" w:cs="Arial"/>
          <w:b/>
          <w:bCs/>
          <w:sz w:val="24"/>
        </w:rPr>
      </w:pPr>
      <w:r w:rsidRPr="002C122E">
        <w:rPr>
          <w:rFonts w:ascii="Arial" w:eastAsiaTheme="majorEastAsia" w:hAnsi="Arial" w:cs="Arial"/>
          <w:b/>
          <w:bCs/>
          <w:sz w:val="24"/>
        </w:rPr>
        <w:t xml:space="preserve">Rationale for the Investment  </w:t>
      </w:r>
    </w:p>
    <w:p w:rsidR="002B5A16" w:rsidRDefault="002B5A16" w:rsidP="00A66BB1">
      <w:pPr>
        <w:spacing w:after="240"/>
        <w:rPr>
          <w:rFonts w:ascii="Arial" w:eastAsiaTheme="majorEastAsia" w:hAnsi="Arial" w:cs="Arial"/>
          <w:bCs/>
        </w:rPr>
      </w:pPr>
      <w:r>
        <w:rPr>
          <w:rFonts w:ascii="Arial" w:eastAsiaTheme="majorEastAsia" w:hAnsi="Arial" w:cs="Arial"/>
          <w:bCs/>
        </w:rPr>
        <w:t xml:space="preserve">Applethorpe in the Queensland Granite Belt near the NSW border is Queensland’s major </w:t>
      </w:r>
      <w:r w:rsidR="00E421C2">
        <w:rPr>
          <w:rFonts w:ascii="Arial" w:eastAsiaTheme="majorEastAsia" w:hAnsi="Arial" w:cs="Arial"/>
          <w:bCs/>
        </w:rPr>
        <w:t xml:space="preserve">temperate </w:t>
      </w:r>
      <w:r>
        <w:rPr>
          <w:rFonts w:ascii="Arial" w:eastAsiaTheme="majorEastAsia" w:hAnsi="Arial" w:cs="Arial"/>
          <w:bCs/>
        </w:rPr>
        <w:t xml:space="preserve">deciduous fruit growing region. The aim of the early stonefruit breeding programs based at Applethorpe was to emphasise early ripening and high quality. In 1990, a change occurred to a </w:t>
      </w:r>
      <w:r w:rsidRPr="0071674E">
        <w:rPr>
          <w:rFonts w:ascii="Arial" w:eastAsiaTheme="majorEastAsia" w:hAnsi="Arial" w:cs="Arial"/>
          <w:bCs/>
        </w:rPr>
        <w:t xml:space="preserve">focus on bacterial spot resistance as </w:t>
      </w:r>
      <w:r>
        <w:rPr>
          <w:rFonts w:ascii="Arial" w:eastAsiaTheme="majorEastAsia" w:hAnsi="Arial" w:cs="Arial"/>
          <w:bCs/>
        </w:rPr>
        <w:t>a</w:t>
      </w:r>
      <w:r w:rsidRPr="0071674E">
        <w:rPr>
          <w:rFonts w:ascii="Arial" w:eastAsiaTheme="majorEastAsia" w:hAnsi="Arial" w:cs="Arial"/>
          <w:bCs/>
        </w:rPr>
        <w:t xml:space="preserve"> major breeding </w:t>
      </w:r>
      <w:r>
        <w:rPr>
          <w:rFonts w:ascii="Arial" w:eastAsiaTheme="majorEastAsia" w:hAnsi="Arial" w:cs="Arial"/>
          <w:bCs/>
        </w:rPr>
        <w:t>priority for plums</w:t>
      </w:r>
      <w:r w:rsidRPr="0071674E">
        <w:rPr>
          <w:rFonts w:ascii="Arial" w:eastAsiaTheme="majorEastAsia" w:hAnsi="Arial" w:cs="Arial"/>
          <w:bCs/>
        </w:rPr>
        <w:t xml:space="preserve">. </w:t>
      </w:r>
      <w:r>
        <w:rPr>
          <w:rFonts w:ascii="Arial" w:eastAsiaTheme="majorEastAsia" w:hAnsi="Arial" w:cs="Arial"/>
          <w:bCs/>
        </w:rPr>
        <w:t>Th</w:t>
      </w:r>
      <w:r w:rsidRPr="0071674E">
        <w:rPr>
          <w:rFonts w:ascii="Arial" w:eastAsiaTheme="majorEastAsia" w:hAnsi="Arial" w:cs="Arial"/>
          <w:bCs/>
        </w:rPr>
        <w:t>is was because the imported plum varieties from California were often susceptible to this disease.</w:t>
      </w:r>
      <w:r>
        <w:rPr>
          <w:rFonts w:ascii="Arial" w:eastAsiaTheme="majorEastAsia" w:hAnsi="Arial" w:cs="Arial"/>
          <w:bCs/>
        </w:rPr>
        <w:t xml:space="preserve"> Also, from 1994-1996 the breeding objective had been to produce plums with qualities suitable for exports to Asia. </w:t>
      </w:r>
    </w:p>
    <w:p w:rsidR="002B5A16" w:rsidRDefault="002B5A16" w:rsidP="00A66BB1">
      <w:pPr>
        <w:spacing w:after="240"/>
        <w:rPr>
          <w:rFonts w:ascii="Arial" w:eastAsiaTheme="majorEastAsia" w:hAnsi="Arial" w:cs="Arial"/>
          <w:bCs/>
        </w:rPr>
      </w:pPr>
      <w:r w:rsidRPr="00EE3C09">
        <w:rPr>
          <w:rFonts w:ascii="Arial" w:eastAsiaTheme="majorEastAsia" w:hAnsi="Arial" w:cs="Arial"/>
          <w:bCs/>
        </w:rPr>
        <w:t>A review of stonefruit breeding in Australia was undertaken in 1996 (Marshal et al, 1996)</w:t>
      </w:r>
      <w:r>
        <w:rPr>
          <w:rFonts w:ascii="Arial" w:eastAsiaTheme="majorEastAsia" w:hAnsi="Arial" w:cs="Arial"/>
          <w:bCs/>
        </w:rPr>
        <w:t xml:space="preserve">. The review was funded by the Australian Fresh Stone Fruit Growers Association and the Horticultural Research and Development Corporation (HRDC) </w:t>
      </w:r>
      <w:r>
        <w:rPr>
          <w:rFonts w:ascii="Arial" w:hAnsi="Arial" w:cs="Arial"/>
        </w:rPr>
        <w:t>(now Horticultural Innovation Australia Limited (HIAL)).</w:t>
      </w:r>
      <w:r>
        <w:rPr>
          <w:rFonts w:ascii="Arial" w:eastAsiaTheme="majorEastAsia" w:hAnsi="Arial" w:cs="Arial"/>
          <w:bCs/>
        </w:rPr>
        <w:t xml:space="preserve"> This review concluded that breeding for early (high chill) peaches and nectarines was unnecessary as imported germplasm was well adapted to Australian conditions. However, imported plum genetics were not well adapted to Australia. Moreover, Australia had different requirements in plums destined for export to Asia.    </w:t>
      </w:r>
    </w:p>
    <w:p w:rsidR="002B5A16" w:rsidRDefault="002B5A16" w:rsidP="00A66BB1">
      <w:pPr>
        <w:spacing w:after="240"/>
        <w:rPr>
          <w:rFonts w:ascii="Arial" w:eastAsiaTheme="majorEastAsia" w:hAnsi="Arial" w:cs="Arial"/>
          <w:bCs/>
        </w:rPr>
      </w:pPr>
      <w:r>
        <w:rPr>
          <w:rFonts w:ascii="Arial" w:eastAsiaTheme="majorEastAsia" w:hAnsi="Arial" w:cs="Arial"/>
          <w:bCs/>
        </w:rPr>
        <w:t xml:space="preserve">As a result of the review, the National Plum Breeding Program (SF 97005) was established to be carried out by the Queensland Department of Primary Industries (QDPI). The project was established to breed new Japanese cultivars that were suited to the Asian export market. These characteristics included a large plum size, a high level of firmness to ostensibly provide a longer shelf life, a bright skin colour and a sweet and juicy flesh.  </w:t>
      </w:r>
    </w:p>
    <w:p w:rsidR="002B5A16" w:rsidRDefault="002B5A16" w:rsidP="00A66BB1">
      <w:pPr>
        <w:spacing w:after="240"/>
        <w:rPr>
          <w:rFonts w:ascii="Arial" w:eastAsiaTheme="majorEastAsia" w:hAnsi="Arial" w:cs="Arial"/>
          <w:bCs/>
        </w:rPr>
      </w:pPr>
      <w:r w:rsidRPr="002721C6">
        <w:rPr>
          <w:rFonts w:ascii="Arial" w:eastAsiaTheme="majorEastAsia" w:hAnsi="Arial" w:cs="Arial"/>
          <w:bCs/>
        </w:rPr>
        <w:t xml:space="preserve">During the final period of </w:t>
      </w:r>
      <w:r>
        <w:rPr>
          <w:rFonts w:ascii="Arial" w:eastAsiaTheme="majorEastAsia" w:hAnsi="Arial" w:cs="Arial"/>
          <w:bCs/>
        </w:rPr>
        <w:t xml:space="preserve">project SF 97005 </w:t>
      </w:r>
      <w:r w:rsidRPr="002721C6">
        <w:rPr>
          <w:rFonts w:ascii="Arial" w:eastAsiaTheme="majorEastAsia" w:hAnsi="Arial" w:cs="Arial"/>
          <w:bCs/>
        </w:rPr>
        <w:t xml:space="preserve">(1997-2000), it was reported that exports of Australian fresh stonefruit had increased more than 170% over the five years to 1998/99, with plums contributing 56% of the export crop. However, increases in Australian plum exports had been limited by the availability of only a narrow range of varieties with characteristics favoured by Asian consumers. </w:t>
      </w:r>
      <w:r>
        <w:rPr>
          <w:rFonts w:ascii="Arial" w:eastAsiaTheme="majorEastAsia" w:hAnsi="Arial" w:cs="Arial"/>
          <w:bCs/>
        </w:rPr>
        <w:t xml:space="preserve">This reinforced the need for continuing with the stated priority for breeding to meet Asian export market requirements. </w:t>
      </w:r>
      <w:r w:rsidRPr="002721C6">
        <w:rPr>
          <w:rFonts w:ascii="Arial" w:eastAsiaTheme="majorEastAsia" w:hAnsi="Arial" w:cs="Arial"/>
          <w:bCs/>
        </w:rPr>
        <w:t xml:space="preserve">  </w:t>
      </w:r>
    </w:p>
    <w:p w:rsidR="002B5A16" w:rsidRPr="00A66BB1" w:rsidRDefault="002B5A16" w:rsidP="00A66BB1">
      <w:pPr>
        <w:spacing w:after="240"/>
        <w:rPr>
          <w:rFonts w:ascii="Arial" w:hAnsi="Arial" w:cs="Arial"/>
          <w:b/>
          <w:sz w:val="40"/>
          <w:szCs w:val="40"/>
        </w:rPr>
      </w:pPr>
      <w:bookmarkStart w:id="509" w:name="_Toc476634718"/>
      <w:bookmarkStart w:id="510" w:name="_Toc487018698"/>
      <w:r w:rsidRPr="00A66BB1">
        <w:rPr>
          <w:rFonts w:ascii="Arial" w:hAnsi="Arial" w:cs="Arial"/>
          <w:b/>
          <w:sz w:val="40"/>
          <w:szCs w:val="40"/>
        </w:rPr>
        <w:t xml:space="preserve">3. Description of the </w:t>
      </w:r>
      <w:bookmarkEnd w:id="509"/>
      <w:r w:rsidRPr="00A66BB1">
        <w:rPr>
          <w:rFonts w:ascii="Arial" w:hAnsi="Arial" w:cs="Arial"/>
          <w:b/>
          <w:sz w:val="40"/>
          <w:szCs w:val="40"/>
        </w:rPr>
        <w:t>Plum Breeding Investment</w:t>
      </w:r>
      <w:bookmarkEnd w:id="510"/>
      <w:r w:rsidRPr="00A66BB1">
        <w:rPr>
          <w:rFonts w:ascii="Arial" w:hAnsi="Arial" w:cs="Arial"/>
          <w:b/>
          <w:sz w:val="40"/>
          <w:szCs w:val="40"/>
        </w:rPr>
        <w:t xml:space="preserve"> </w:t>
      </w:r>
    </w:p>
    <w:p w:rsidR="002B5A16" w:rsidRPr="00D77AD1" w:rsidRDefault="002B5A16" w:rsidP="00A66BB1">
      <w:pPr>
        <w:spacing w:after="240"/>
        <w:rPr>
          <w:rFonts w:ascii="Arial" w:eastAsiaTheme="majorEastAsia" w:hAnsi="Arial" w:cs="Arial"/>
          <w:bCs/>
        </w:rPr>
      </w:pPr>
      <w:r w:rsidRPr="00D77AD1">
        <w:rPr>
          <w:rFonts w:ascii="Arial" w:eastAsiaTheme="majorEastAsia" w:hAnsi="Arial" w:cs="Arial"/>
          <w:bCs/>
        </w:rPr>
        <w:t xml:space="preserve">Table </w:t>
      </w:r>
      <w:r>
        <w:rPr>
          <w:rFonts w:ascii="Arial" w:eastAsiaTheme="majorEastAsia" w:hAnsi="Arial" w:cs="Arial"/>
          <w:bCs/>
        </w:rPr>
        <w:t>4</w:t>
      </w:r>
      <w:r w:rsidRPr="00D77AD1">
        <w:rPr>
          <w:rFonts w:ascii="Arial" w:eastAsiaTheme="majorEastAsia" w:hAnsi="Arial" w:cs="Arial"/>
          <w:bCs/>
        </w:rPr>
        <w:t xml:space="preserve"> provides a description of the </w:t>
      </w:r>
      <w:r>
        <w:rPr>
          <w:rFonts w:ascii="Arial" w:eastAsiaTheme="majorEastAsia" w:hAnsi="Arial" w:cs="Arial"/>
          <w:bCs/>
        </w:rPr>
        <w:t xml:space="preserve">investment with an emphasis on Project SF 97005 </w:t>
      </w:r>
    </w:p>
    <w:p w:rsidR="002B5A16" w:rsidRPr="00A66BB1" w:rsidRDefault="002B5A16" w:rsidP="00A66BB1">
      <w:pPr>
        <w:pStyle w:val="Caption"/>
        <w:spacing w:after="240"/>
        <w:jc w:val="center"/>
        <w:rPr>
          <w:rFonts w:ascii="Arial" w:eastAsiaTheme="majorEastAsia" w:hAnsi="Arial"/>
          <w:b w:val="0"/>
          <w:bCs w:val="0"/>
          <w:i/>
          <w:iCs/>
          <w:sz w:val="22"/>
          <w:szCs w:val="22"/>
        </w:rPr>
      </w:pPr>
      <w:bookmarkStart w:id="511" w:name="_Toc487018709"/>
      <w:r w:rsidRPr="00A66BB1">
        <w:rPr>
          <w:rFonts w:ascii="Arial" w:hAnsi="Arial"/>
          <w:b w:val="0"/>
          <w:sz w:val="22"/>
          <w:szCs w:val="22"/>
        </w:rPr>
        <w:t>Table</w:t>
      </w:r>
      <w:r w:rsidRPr="00005AA0">
        <w:rPr>
          <w:rFonts w:ascii="Arial" w:hAnsi="Arial"/>
          <w:b w:val="0"/>
          <w:sz w:val="22"/>
          <w:szCs w:val="22"/>
        </w:rPr>
        <w:t xml:space="preserve"> </w:t>
      </w:r>
      <w:r w:rsidR="00913E1D" w:rsidRPr="00005AA0">
        <w:rPr>
          <w:rFonts w:ascii="Arial" w:hAnsi="Arial"/>
          <w:b w:val="0"/>
          <w:sz w:val="22"/>
          <w:szCs w:val="22"/>
        </w:rPr>
        <w:t>4</w:t>
      </w:r>
      <w:r w:rsidRPr="00A66BB1">
        <w:rPr>
          <w:rFonts w:ascii="Arial" w:hAnsi="Arial"/>
          <w:b w:val="0"/>
          <w:sz w:val="22"/>
          <w:szCs w:val="22"/>
        </w:rPr>
        <w:t>: Description of Investment in Plum Breeding</w:t>
      </w:r>
      <w:bookmarkEnd w:id="511"/>
      <w:r w:rsidRPr="00A66BB1">
        <w:rPr>
          <w:rFonts w:ascii="Arial" w:hAnsi="Arial"/>
          <w:b w:val="0"/>
          <w:sz w:val="22"/>
          <w:szCs w:val="22"/>
        </w:rPr>
        <w:t xml:space="preserve"> </w:t>
      </w:r>
    </w:p>
    <w:tbl>
      <w:tblPr>
        <w:tblStyle w:val="TableGrid3"/>
        <w:tblW w:w="8926" w:type="dxa"/>
        <w:jc w:val="center"/>
        <w:tblLook w:val="04A0" w:firstRow="1" w:lastRow="0" w:firstColumn="1" w:lastColumn="0" w:noHBand="0" w:noVBand="1"/>
      </w:tblPr>
      <w:tblGrid>
        <w:gridCol w:w="1555"/>
        <w:gridCol w:w="7371"/>
      </w:tblGrid>
      <w:tr w:rsidR="002B5A16" w:rsidRPr="005B630D" w:rsidTr="00005AA0">
        <w:trPr>
          <w:jc w:val="center"/>
        </w:trPr>
        <w:tc>
          <w:tcPr>
            <w:tcW w:w="1555" w:type="dxa"/>
            <w:tcBorders>
              <w:top w:val="single" w:sz="4" w:space="0" w:color="auto"/>
              <w:left w:val="single" w:sz="4" w:space="0" w:color="auto"/>
              <w:bottom w:val="single" w:sz="4" w:space="0" w:color="auto"/>
              <w:right w:val="single" w:sz="4" w:space="0" w:color="auto"/>
            </w:tcBorders>
            <w:hideMark/>
          </w:tcPr>
          <w:p w:rsidR="002B5A16" w:rsidRPr="00173055" w:rsidRDefault="002B5A16" w:rsidP="002B5A16">
            <w:pPr>
              <w:spacing w:line="256" w:lineRule="auto"/>
              <w:rPr>
                <w:rFonts w:ascii="Arial" w:eastAsia="Calibri" w:hAnsi="Arial" w:cs="Arial"/>
                <w:szCs w:val="22"/>
              </w:rPr>
            </w:pPr>
            <w:r w:rsidRPr="00173055">
              <w:rPr>
                <w:rFonts w:ascii="Arial" w:eastAsia="Calibri" w:hAnsi="Arial" w:cs="Arial"/>
                <w:szCs w:val="22"/>
              </w:rPr>
              <w:t>Activities and Outputs</w:t>
            </w:r>
          </w:p>
        </w:tc>
        <w:tc>
          <w:tcPr>
            <w:tcW w:w="7371" w:type="dxa"/>
            <w:tcBorders>
              <w:top w:val="single" w:sz="4" w:space="0" w:color="auto"/>
              <w:left w:val="single" w:sz="4" w:space="0" w:color="auto"/>
              <w:bottom w:val="single" w:sz="4" w:space="0" w:color="auto"/>
              <w:right w:val="single" w:sz="4" w:space="0" w:color="auto"/>
            </w:tcBorders>
            <w:hideMark/>
          </w:tcPr>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In the initial period of the investment (1981 to 1996), the plum breeding program at Applethorpe was a part of the more inclusive stonefruit breeding program that included peaches, nectarines, plums and apricots.</w:t>
            </w:r>
            <w:r w:rsidR="00DE287A">
              <w:rPr>
                <w:rFonts w:ascii="Arial" w:eastAsia="Calibri" w:hAnsi="Arial" w:cs="Arial"/>
                <w:szCs w:val="22"/>
              </w:rPr>
              <w:t xml:space="preserve">  </w:t>
            </w:r>
            <w:r w:rsidR="00C457B8">
              <w:rPr>
                <w:rFonts w:ascii="Arial" w:eastAsia="Calibri" w:hAnsi="Arial" w:cs="Arial"/>
                <w:szCs w:val="22"/>
              </w:rPr>
              <w:t>A</w:t>
            </w:r>
            <w:r w:rsidR="00DE287A">
              <w:rPr>
                <w:rFonts w:ascii="Arial" w:eastAsia="Calibri" w:hAnsi="Arial" w:cs="Arial"/>
                <w:szCs w:val="22"/>
              </w:rPr>
              <w:t>t this stage the superior high anti-oxidant plum germplasm was identified.</w:t>
            </w:r>
          </w:p>
          <w:p w:rsidR="002B5A16" w:rsidRDefault="002B5A16" w:rsidP="000D5A34">
            <w:pPr>
              <w:numPr>
                <w:ilvl w:val="0"/>
                <w:numId w:val="59"/>
              </w:numPr>
              <w:autoSpaceDE w:val="0"/>
              <w:autoSpaceDN w:val="0"/>
              <w:adjustRightInd w:val="0"/>
              <w:spacing w:after="120"/>
              <w:contextualSpacing/>
              <w:rPr>
                <w:rFonts w:ascii="Arial" w:eastAsia="Calibri" w:hAnsi="Arial" w:cs="Arial"/>
                <w:szCs w:val="22"/>
              </w:rPr>
            </w:pPr>
            <w:r>
              <w:rPr>
                <w:rFonts w:ascii="Arial" w:eastAsia="Calibri" w:hAnsi="Arial" w:cs="Arial"/>
                <w:szCs w:val="22"/>
              </w:rPr>
              <w:t xml:space="preserve">Project SF 97005 was funded from July 1997 up to June 2000 with </w:t>
            </w:r>
            <w:r w:rsidRPr="00296251">
              <w:rPr>
                <w:rFonts w:ascii="Arial" w:eastAsia="Calibri" w:hAnsi="Arial" w:cs="Arial"/>
                <w:szCs w:val="22"/>
              </w:rPr>
              <w:t xml:space="preserve">Dougal Russell and Bruce Topp </w:t>
            </w:r>
            <w:r>
              <w:rPr>
                <w:rFonts w:ascii="Arial" w:eastAsia="Calibri" w:hAnsi="Arial" w:cs="Arial"/>
                <w:szCs w:val="22"/>
              </w:rPr>
              <w:t>as Principal Investigators</w:t>
            </w:r>
          </w:p>
          <w:p w:rsidR="002B5A16" w:rsidRPr="00296251"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296251">
              <w:rPr>
                <w:rFonts w:ascii="Arial" w:eastAsia="Calibri" w:hAnsi="Arial" w:cs="Arial"/>
                <w:szCs w:val="22"/>
              </w:rPr>
              <w:t xml:space="preserve">The overall aim of the project was to produce new plum cultivars that were resistant to bacterial spot disease, of high quality and of a quality suited to the export market to Asia. Specific objectives included: </w:t>
            </w:r>
          </w:p>
          <w:p w:rsidR="002B5A16" w:rsidRPr="00296251" w:rsidRDefault="002B5A16" w:rsidP="000D5A34">
            <w:pPr>
              <w:numPr>
                <w:ilvl w:val="0"/>
                <w:numId w:val="65"/>
              </w:numPr>
              <w:autoSpaceDE w:val="0"/>
              <w:autoSpaceDN w:val="0"/>
              <w:adjustRightInd w:val="0"/>
              <w:spacing w:after="120"/>
              <w:contextualSpacing/>
              <w:rPr>
                <w:rFonts w:ascii="Arial" w:eastAsia="Calibri" w:hAnsi="Arial" w:cs="Arial"/>
                <w:szCs w:val="22"/>
              </w:rPr>
            </w:pPr>
            <w:r w:rsidRPr="00296251">
              <w:rPr>
                <w:rFonts w:ascii="Arial" w:eastAsia="Calibri" w:hAnsi="Arial" w:cs="Arial"/>
                <w:szCs w:val="22"/>
              </w:rPr>
              <w:t>To carry out a core breeding and selection program for plums to benefit Australian growers.</w:t>
            </w:r>
          </w:p>
          <w:p w:rsidR="002B5A16" w:rsidRPr="00296251" w:rsidRDefault="002B5A16" w:rsidP="000D5A34">
            <w:pPr>
              <w:numPr>
                <w:ilvl w:val="0"/>
                <w:numId w:val="65"/>
              </w:numPr>
              <w:autoSpaceDE w:val="0"/>
              <w:autoSpaceDN w:val="0"/>
              <w:adjustRightInd w:val="0"/>
              <w:spacing w:after="120"/>
              <w:contextualSpacing/>
              <w:rPr>
                <w:rFonts w:ascii="Arial" w:eastAsia="Calibri" w:hAnsi="Arial" w:cs="Arial"/>
                <w:szCs w:val="22"/>
              </w:rPr>
            </w:pPr>
            <w:r w:rsidRPr="00296251">
              <w:rPr>
                <w:rFonts w:ascii="Arial" w:eastAsia="Calibri" w:hAnsi="Arial" w:cs="Arial"/>
                <w:szCs w:val="22"/>
              </w:rPr>
              <w:t xml:space="preserve">To produce new cultivars for a range of high and low chill environments with both wet and dry summer climates to ensure superior varieties are available for most Australian growing regions.  </w:t>
            </w:r>
          </w:p>
          <w:p w:rsidR="002B5A16" w:rsidRPr="00296251" w:rsidRDefault="002B5A16" w:rsidP="000D5A34">
            <w:pPr>
              <w:numPr>
                <w:ilvl w:val="0"/>
                <w:numId w:val="65"/>
              </w:numPr>
              <w:autoSpaceDE w:val="0"/>
              <w:autoSpaceDN w:val="0"/>
              <w:adjustRightInd w:val="0"/>
              <w:spacing w:after="120"/>
              <w:contextualSpacing/>
              <w:rPr>
                <w:rFonts w:ascii="Arial" w:eastAsia="Calibri" w:hAnsi="Arial" w:cs="Arial"/>
                <w:szCs w:val="22"/>
              </w:rPr>
            </w:pPr>
            <w:r w:rsidRPr="00296251">
              <w:rPr>
                <w:rFonts w:ascii="Arial" w:eastAsia="Calibri" w:hAnsi="Arial" w:cs="Arial"/>
                <w:szCs w:val="22"/>
              </w:rPr>
              <w:t>To conduct an efficient breeding program using quantitative genetics and molecular biology and to develop linkages with overseas breeders.</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 xml:space="preserve">In each of the three years of the project </w:t>
            </w:r>
            <w:r>
              <w:rPr>
                <w:rFonts w:ascii="Arial" w:eastAsia="Calibri" w:hAnsi="Arial" w:cs="Arial"/>
                <w:szCs w:val="22"/>
              </w:rPr>
              <w:t xml:space="preserve">SF 97005, various plum </w:t>
            </w:r>
            <w:r w:rsidRPr="00173055">
              <w:rPr>
                <w:rFonts w:ascii="Arial" w:eastAsia="Calibri" w:hAnsi="Arial" w:cs="Arial"/>
                <w:szCs w:val="22"/>
              </w:rPr>
              <w:t>seedlings were produced and planted out in nurseries at Applethorpe and Maroochy in Queensland and at Manjimup in Western Australia.</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A total of 17,733 seedlings were planted in 1997, 1998 and 1999, with the majority planted at Applethorpe.</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Th</w:t>
            </w:r>
            <w:r>
              <w:rPr>
                <w:rFonts w:ascii="Arial" w:eastAsia="Calibri" w:hAnsi="Arial" w:cs="Arial"/>
                <w:szCs w:val="22"/>
              </w:rPr>
              <w:t xml:space="preserve">e above </w:t>
            </w:r>
            <w:r w:rsidRPr="00173055">
              <w:rPr>
                <w:rFonts w:ascii="Arial" w:eastAsia="Calibri" w:hAnsi="Arial" w:cs="Arial"/>
                <w:szCs w:val="22"/>
              </w:rPr>
              <w:t xml:space="preserve">number of seedlings </w:t>
            </w:r>
            <w:r>
              <w:rPr>
                <w:rFonts w:ascii="Arial" w:eastAsia="Calibri" w:hAnsi="Arial" w:cs="Arial"/>
                <w:szCs w:val="22"/>
              </w:rPr>
              <w:t xml:space="preserve">was very large </w:t>
            </w:r>
            <w:r w:rsidRPr="00173055">
              <w:rPr>
                <w:rFonts w:ascii="Arial" w:eastAsia="Calibri" w:hAnsi="Arial" w:cs="Arial"/>
                <w:szCs w:val="22"/>
              </w:rPr>
              <w:t>compared with previous years; by contrast</w:t>
            </w:r>
            <w:r>
              <w:rPr>
                <w:rFonts w:ascii="Arial" w:eastAsia="Calibri" w:hAnsi="Arial" w:cs="Arial"/>
                <w:szCs w:val="22"/>
              </w:rPr>
              <w:t>,</w:t>
            </w:r>
            <w:r w:rsidRPr="00173055">
              <w:rPr>
                <w:rFonts w:ascii="Arial" w:eastAsia="Calibri" w:hAnsi="Arial" w:cs="Arial"/>
                <w:szCs w:val="22"/>
              </w:rPr>
              <w:t xml:space="preserve"> only 25,000 seedlings had been planted in the previous 25 years from 1971 until 1996.</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 xml:space="preserve">The spread of sites was chosen to provide a range of temperature and rainfall conditions to test the adaptation of the lines. </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 xml:space="preserve">As seedlings usually take 3 to 4 years to begin fruiting, the seedlings that were evaluated from 1997 to 2000 were created prior to the commencement of the three- year project (SF 97005). </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The seedlings were evaluated with regard both tree and fruit characteristics and their associated potential for direct commercialisation or use as parents in future breeding.</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The seedling material that had fruited during the three years combined various characteristics from a range of plums such as local adaptation, bacterial spot resistance, early and late and high</w:t>
            </w:r>
            <w:r>
              <w:rPr>
                <w:rFonts w:ascii="Arial" w:eastAsia="Calibri" w:hAnsi="Arial" w:cs="Arial"/>
                <w:szCs w:val="22"/>
              </w:rPr>
              <w:t>-</w:t>
            </w:r>
            <w:r w:rsidRPr="00173055">
              <w:rPr>
                <w:rFonts w:ascii="Arial" w:eastAsia="Calibri" w:hAnsi="Arial" w:cs="Arial"/>
                <w:szCs w:val="22"/>
              </w:rPr>
              <w:t xml:space="preserve">quality </w:t>
            </w:r>
            <w:r>
              <w:rPr>
                <w:rFonts w:ascii="Arial" w:eastAsia="Calibri" w:hAnsi="Arial" w:cs="Arial"/>
                <w:szCs w:val="22"/>
              </w:rPr>
              <w:t xml:space="preserve">from </w:t>
            </w:r>
            <w:r w:rsidRPr="00173055">
              <w:rPr>
                <w:rFonts w:ascii="Arial" w:eastAsia="Calibri" w:hAnsi="Arial" w:cs="Arial"/>
                <w:szCs w:val="22"/>
              </w:rPr>
              <w:t xml:space="preserve">Californian plums, and low chill plums from the University of Florida.  </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 xml:space="preserve">An industry steering committee and Plum Evaluation Groups (PEGs) were established in each State to facilitate the evaluation process from a national perspective.      </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The intellectual property for all trees was protected under QDPI’s non-propagation agreement.</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 xml:space="preserve">The Granite Belt PEGs met frequently during the three-year project and rated prospective selections on attractiveness, eating quality, fruit size, tree health, tree habit and overall commercial potential.  </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Consumer assessments were provided on those plum selections considered as having commercial potential by the Granite Belt PEG</w:t>
            </w:r>
            <w:r>
              <w:rPr>
                <w:rFonts w:ascii="Arial" w:eastAsia="Calibri" w:hAnsi="Arial" w:cs="Arial"/>
                <w:szCs w:val="22"/>
              </w:rPr>
              <w:t>s</w:t>
            </w:r>
            <w:r w:rsidRPr="00173055">
              <w:rPr>
                <w:rFonts w:ascii="Arial" w:eastAsia="Calibri" w:hAnsi="Arial" w:cs="Arial"/>
                <w:szCs w:val="22"/>
              </w:rPr>
              <w:t>; consumer assessment was obtained on attractiveness, eating quality and comparisons made with existing cultivars.</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Seven superior plum selections were identified by the PEG</w:t>
            </w:r>
            <w:r>
              <w:rPr>
                <w:rFonts w:ascii="Arial" w:eastAsia="Calibri" w:hAnsi="Arial" w:cs="Arial"/>
                <w:szCs w:val="22"/>
              </w:rPr>
              <w:t>s</w:t>
            </w:r>
            <w:r w:rsidRPr="00173055">
              <w:rPr>
                <w:rFonts w:ascii="Arial" w:eastAsia="Calibri" w:hAnsi="Arial" w:cs="Arial"/>
                <w:szCs w:val="22"/>
              </w:rPr>
              <w:t xml:space="preserve"> as having commercial potential and were evaluated for bacterial spot resistance and cross compatibility.</w:t>
            </w:r>
          </w:p>
          <w:p w:rsidR="002B5A16" w:rsidRPr="00173055" w:rsidRDefault="002B5A16" w:rsidP="000D5A34">
            <w:pPr>
              <w:numPr>
                <w:ilvl w:val="0"/>
                <w:numId w:val="59"/>
              </w:numPr>
              <w:autoSpaceDE w:val="0"/>
              <w:autoSpaceDN w:val="0"/>
              <w:adjustRightInd w:val="0"/>
              <w:spacing w:after="120"/>
              <w:contextualSpacing/>
              <w:rPr>
                <w:rFonts w:ascii="Arial" w:eastAsia="Calibri" w:hAnsi="Arial" w:cs="Arial"/>
                <w:szCs w:val="22"/>
              </w:rPr>
            </w:pPr>
            <w:r w:rsidRPr="00173055">
              <w:rPr>
                <w:rFonts w:ascii="Arial" w:eastAsia="Calibri" w:hAnsi="Arial" w:cs="Arial"/>
                <w:szCs w:val="22"/>
              </w:rPr>
              <w:t>In the last year of the project some of the seedlings evaluated exhibited Asian export quality requirement</w:t>
            </w:r>
            <w:r>
              <w:rPr>
                <w:rFonts w:ascii="Arial" w:eastAsia="Calibri" w:hAnsi="Arial" w:cs="Arial"/>
                <w:szCs w:val="22"/>
              </w:rPr>
              <w:t>s</w:t>
            </w:r>
            <w:r w:rsidRPr="00173055">
              <w:rPr>
                <w:rFonts w:ascii="Arial" w:eastAsia="Calibri" w:hAnsi="Arial" w:cs="Arial"/>
                <w:szCs w:val="22"/>
              </w:rPr>
              <w:t xml:space="preserve"> of high fruit sugar, a dark red-purple skin colour, clear firm yellow flesh, and low acid in both skin and flesh.</w:t>
            </w:r>
          </w:p>
          <w:p w:rsidR="002B5A16" w:rsidRPr="00173055" w:rsidRDefault="002B5A16" w:rsidP="000D5A34">
            <w:pPr>
              <w:numPr>
                <w:ilvl w:val="0"/>
                <w:numId w:val="60"/>
              </w:numPr>
              <w:autoSpaceDE w:val="0"/>
              <w:autoSpaceDN w:val="0"/>
              <w:adjustRightInd w:val="0"/>
              <w:spacing w:after="120"/>
              <w:ind w:left="360"/>
              <w:contextualSpacing/>
              <w:rPr>
                <w:rFonts w:ascii="Arial" w:eastAsia="Calibri" w:hAnsi="Arial" w:cs="Arial"/>
                <w:color w:val="000000" w:themeColor="text1"/>
                <w:szCs w:val="22"/>
              </w:rPr>
            </w:pPr>
            <w:r w:rsidRPr="00173055">
              <w:rPr>
                <w:rFonts w:ascii="Arial" w:eastAsia="Calibri" w:hAnsi="Arial" w:cs="Arial"/>
                <w:szCs w:val="22"/>
              </w:rPr>
              <w:t xml:space="preserve">The most promising plum selections identified on the Granite Belt were close to being named at the end of the project in the year 2000. However, information on their performance at other locations was still required before release was recommended, and this was not completed </w:t>
            </w:r>
            <w:r>
              <w:rPr>
                <w:rFonts w:ascii="Arial" w:eastAsia="Calibri" w:hAnsi="Arial" w:cs="Arial"/>
                <w:szCs w:val="22"/>
              </w:rPr>
              <w:t xml:space="preserve">until </w:t>
            </w:r>
            <w:r w:rsidRPr="00173055">
              <w:rPr>
                <w:rFonts w:ascii="Arial" w:eastAsia="Calibri" w:hAnsi="Arial" w:cs="Arial"/>
                <w:szCs w:val="22"/>
              </w:rPr>
              <w:t xml:space="preserve">after the project ended </w:t>
            </w:r>
            <w:r>
              <w:rPr>
                <w:rFonts w:ascii="Arial" w:eastAsia="Calibri" w:hAnsi="Arial" w:cs="Arial"/>
                <w:szCs w:val="22"/>
              </w:rPr>
              <w:t>in</w:t>
            </w:r>
            <w:r w:rsidRPr="00173055">
              <w:rPr>
                <w:rFonts w:ascii="Arial" w:eastAsia="Calibri" w:hAnsi="Arial" w:cs="Arial"/>
                <w:szCs w:val="22"/>
              </w:rPr>
              <w:t xml:space="preserve"> June 2000. </w:t>
            </w:r>
            <w:r w:rsidRPr="00173055">
              <w:rPr>
                <w:rFonts w:ascii="Arial" w:eastAsia="Calibri" w:hAnsi="Arial" w:cs="Arial"/>
                <w:color w:val="000000" w:themeColor="text1"/>
                <w:szCs w:val="22"/>
              </w:rPr>
              <w:t>Some combinations of parents produced more outstanding progeny than others, and this allowed the researchers to produce seedlings with large fruit size, high fruit sugar levels, and other desirable characteristics.</w:t>
            </w:r>
          </w:p>
          <w:p w:rsidR="002B5A16" w:rsidRPr="00173055" w:rsidRDefault="002B5A16" w:rsidP="000D5A34">
            <w:pPr>
              <w:numPr>
                <w:ilvl w:val="0"/>
                <w:numId w:val="61"/>
              </w:numPr>
              <w:autoSpaceDE w:val="0"/>
              <w:autoSpaceDN w:val="0"/>
              <w:adjustRightInd w:val="0"/>
              <w:spacing w:after="120"/>
              <w:contextualSpacing/>
              <w:rPr>
                <w:rFonts w:ascii="Arial" w:eastAsia="Calibri" w:hAnsi="Arial" w:cs="Arial"/>
                <w:color w:val="000000" w:themeColor="text1"/>
                <w:szCs w:val="22"/>
              </w:rPr>
            </w:pPr>
            <w:r w:rsidRPr="00173055">
              <w:rPr>
                <w:rFonts w:ascii="Arial" w:eastAsia="Calibri" w:hAnsi="Arial" w:cs="Arial"/>
                <w:color w:val="000000" w:themeColor="text1"/>
                <w:szCs w:val="22"/>
              </w:rPr>
              <w:t>The final seedling populations fruited from 2000 to 2005 and then these were propagated for testing across various locations and seasons.</w:t>
            </w:r>
          </w:p>
          <w:p w:rsidR="002B5A16" w:rsidRPr="00173055" w:rsidRDefault="002B5A16" w:rsidP="000D5A34">
            <w:pPr>
              <w:numPr>
                <w:ilvl w:val="0"/>
                <w:numId w:val="61"/>
              </w:numPr>
              <w:autoSpaceDE w:val="0"/>
              <w:autoSpaceDN w:val="0"/>
              <w:adjustRightInd w:val="0"/>
              <w:spacing w:after="120"/>
              <w:contextualSpacing/>
              <w:rPr>
                <w:rFonts w:ascii="Arial" w:eastAsia="Calibri" w:hAnsi="Arial" w:cs="Arial"/>
                <w:color w:val="000000" w:themeColor="text1"/>
                <w:szCs w:val="22"/>
              </w:rPr>
            </w:pPr>
            <w:r w:rsidRPr="00173055">
              <w:rPr>
                <w:rFonts w:ascii="Arial" w:eastAsia="Calibri" w:hAnsi="Arial" w:cs="Arial"/>
                <w:color w:val="000000" w:themeColor="text1"/>
                <w:szCs w:val="22"/>
              </w:rPr>
              <w:t>Final hybridisations were in September 2005 and final progeny planting in winter 2006.  These were assessed for anti-oxidant properties (Dougal Russell, pers. comm., May 2017).</w:t>
            </w:r>
          </w:p>
          <w:p w:rsidR="002B5A16" w:rsidRPr="00173055" w:rsidRDefault="002B5A16" w:rsidP="000D5A34">
            <w:pPr>
              <w:numPr>
                <w:ilvl w:val="0"/>
                <w:numId w:val="61"/>
              </w:numPr>
              <w:autoSpaceDE w:val="0"/>
              <w:autoSpaceDN w:val="0"/>
              <w:adjustRightInd w:val="0"/>
              <w:ind w:left="357" w:hanging="357"/>
              <w:rPr>
                <w:rFonts w:ascii="Arial" w:eastAsia="Calibri" w:hAnsi="Arial" w:cs="Arial"/>
                <w:color w:val="000000" w:themeColor="text1"/>
                <w:szCs w:val="22"/>
              </w:rPr>
            </w:pPr>
            <w:r w:rsidRPr="00173055">
              <w:rPr>
                <w:rFonts w:ascii="Arial" w:eastAsia="Calibri" w:hAnsi="Arial" w:cs="Arial"/>
                <w:color w:val="000000" w:themeColor="text1"/>
                <w:szCs w:val="22"/>
              </w:rPr>
              <w:t>The Queen Garnet (QG) originated from a cross made in 1997. From the original seedling</w:t>
            </w:r>
            <w:r>
              <w:rPr>
                <w:rFonts w:ascii="Arial" w:eastAsia="Calibri" w:hAnsi="Arial" w:cs="Arial"/>
                <w:color w:val="000000" w:themeColor="text1"/>
                <w:szCs w:val="22"/>
              </w:rPr>
              <w:t>s</w:t>
            </w:r>
            <w:r w:rsidRPr="00173055">
              <w:rPr>
                <w:rFonts w:ascii="Arial" w:eastAsia="Calibri" w:hAnsi="Arial" w:cs="Arial"/>
                <w:color w:val="000000" w:themeColor="text1"/>
                <w:szCs w:val="22"/>
              </w:rPr>
              <w:t xml:space="preserve">, trees were propagated in 2001 and planted for second stage testing. Subsequent grower evaluations and trial plantings at Applethorpe Research Station proved </w:t>
            </w:r>
            <w:r>
              <w:rPr>
                <w:rFonts w:ascii="Arial" w:eastAsia="Calibri" w:hAnsi="Arial" w:cs="Arial"/>
                <w:color w:val="000000" w:themeColor="text1"/>
                <w:szCs w:val="22"/>
              </w:rPr>
              <w:t xml:space="preserve">the trees produced fruit that were </w:t>
            </w:r>
            <w:r w:rsidRPr="00173055">
              <w:rPr>
                <w:rFonts w:ascii="Arial" w:eastAsia="Calibri" w:hAnsi="Arial" w:cs="Arial"/>
                <w:color w:val="000000" w:themeColor="text1"/>
                <w:szCs w:val="22"/>
              </w:rPr>
              <w:t xml:space="preserve">true to type. </w:t>
            </w:r>
          </w:p>
          <w:p w:rsidR="002B5A16" w:rsidRPr="00173055" w:rsidRDefault="002B5A16" w:rsidP="000D5A34">
            <w:pPr>
              <w:pStyle w:val="ListParagraph"/>
              <w:numPr>
                <w:ilvl w:val="0"/>
                <w:numId w:val="62"/>
              </w:numPr>
              <w:suppressAutoHyphens/>
              <w:autoSpaceDE w:val="0"/>
              <w:autoSpaceDN w:val="0"/>
              <w:adjustRightInd w:val="0"/>
              <w:ind w:left="357" w:hanging="357"/>
              <w:contextualSpacing w:val="0"/>
              <w:rPr>
                <w:rFonts w:ascii="Arial" w:eastAsia="Calibri" w:hAnsi="Arial" w:cs="Arial"/>
                <w:szCs w:val="22"/>
              </w:rPr>
            </w:pPr>
            <w:r w:rsidRPr="00EB6FFB">
              <w:rPr>
                <w:rFonts w:ascii="Arial" w:eastAsia="Calibri" w:hAnsi="Arial" w:cs="Arial"/>
                <w:szCs w:val="22"/>
              </w:rPr>
              <w:t xml:space="preserve">Between 2000 and 2010 funding was via grower group participation as well as via contributions from DAF, HRDC, and others (e.g. in anti-oxidant testing). </w:t>
            </w:r>
          </w:p>
        </w:tc>
      </w:tr>
      <w:tr w:rsidR="002B5A16" w:rsidRPr="005B630D" w:rsidTr="00005AA0">
        <w:trPr>
          <w:jc w:val="center"/>
        </w:trPr>
        <w:tc>
          <w:tcPr>
            <w:tcW w:w="1555" w:type="dxa"/>
            <w:tcBorders>
              <w:top w:val="single" w:sz="4" w:space="0" w:color="auto"/>
              <w:left w:val="single" w:sz="4" w:space="0" w:color="auto"/>
              <w:bottom w:val="single" w:sz="4" w:space="0" w:color="auto"/>
              <w:right w:val="single" w:sz="4" w:space="0" w:color="auto"/>
            </w:tcBorders>
            <w:hideMark/>
          </w:tcPr>
          <w:p w:rsidR="002B5A16" w:rsidRPr="00173055" w:rsidRDefault="002B5A16" w:rsidP="002B5A16">
            <w:pPr>
              <w:spacing w:line="256" w:lineRule="auto"/>
              <w:rPr>
                <w:rFonts w:ascii="Arial" w:eastAsia="Calibri" w:hAnsi="Arial" w:cs="Arial"/>
                <w:szCs w:val="22"/>
              </w:rPr>
            </w:pPr>
            <w:r w:rsidRPr="00173055">
              <w:rPr>
                <w:rFonts w:ascii="Arial" w:eastAsia="Calibri" w:hAnsi="Arial" w:cs="Arial"/>
                <w:szCs w:val="22"/>
              </w:rPr>
              <w:t>Outcomes</w:t>
            </w:r>
          </w:p>
        </w:tc>
        <w:tc>
          <w:tcPr>
            <w:tcW w:w="7371" w:type="dxa"/>
            <w:tcBorders>
              <w:top w:val="single" w:sz="4" w:space="0" w:color="auto"/>
              <w:left w:val="single" w:sz="4" w:space="0" w:color="auto"/>
              <w:bottom w:val="single" w:sz="4" w:space="0" w:color="auto"/>
              <w:right w:val="single" w:sz="4" w:space="0" w:color="auto"/>
            </w:tcBorders>
            <w:hideMark/>
          </w:tcPr>
          <w:p w:rsidR="002B5A16" w:rsidRPr="00CA052C" w:rsidRDefault="002B5A16" w:rsidP="002B5A16">
            <w:pPr>
              <w:numPr>
                <w:ilvl w:val="0"/>
                <w:numId w:val="10"/>
              </w:numPr>
              <w:autoSpaceDE w:val="0"/>
              <w:autoSpaceDN w:val="0"/>
              <w:adjustRightInd w:val="0"/>
              <w:spacing w:after="120"/>
              <w:contextualSpacing/>
            </w:pPr>
            <w:r w:rsidRPr="007C1170">
              <w:rPr>
                <w:rFonts w:ascii="Arial" w:eastAsia="Calibri" w:hAnsi="Arial" w:cs="Arial"/>
                <w:szCs w:val="22"/>
              </w:rPr>
              <w:t xml:space="preserve">Apart from the QG plum, a few other selections of stonefruit were named and released including the Granite Supreme Peach in the early 1980s; Queensland Earlisweet </w:t>
            </w:r>
            <w:r w:rsidRPr="00CA052C">
              <w:rPr>
                <w:rFonts w:ascii="Arial" w:eastAsia="Calibri" w:hAnsi="Arial" w:cs="Arial"/>
                <w:szCs w:val="22"/>
              </w:rPr>
              <w:t>(plum)in the early 1980’s; Queensland Bellerosa (plum) in the 1990’s; and Rubycot plumcot in 2006 (Dougal Russell, pers. comm., May 2017</w:t>
            </w:r>
            <w:r w:rsidRPr="007C1170">
              <w:rPr>
                <w:rFonts w:ascii="Arial" w:eastAsia="Calibri" w:hAnsi="Arial" w:cs="Arial"/>
                <w:szCs w:val="22"/>
              </w:rPr>
              <w:t xml:space="preserve">).  </w:t>
            </w:r>
          </w:p>
          <w:p w:rsidR="002B5A16" w:rsidRDefault="002B5A16" w:rsidP="002B5A16">
            <w:pPr>
              <w:numPr>
                <w:ilvl w:val="0"/>
                <w:numId w:val="10"/>
              </w:numPr>
              <w:suppressAutoHyphens/>
              <w:contextualSpacing/>
              <w:rPr>
                <w:rFonts w:ascii="Arial" w:hAnsi="Arial" w:cs="Arial"/>
                <w:szCs w:val="22"/>
              </w:rPr>
            </w:pPr>
            <w:r w:rsidRPr="00173055">
              <w:rPr>
                <w:rFonts w:ascii="Arial" w:eastAsia="Calibri" w:hAnsi="Arial" w:cs="Arial"/>
                <w:szCs w:val="22"/>
              </w:rPr>
              <w:t xml:space="preserve">DAF </w:t>
            </w:r>
            <w:r>
              <w:rPr>
                <w:rFonts w:ascii="Arial" w:eastAsia="Calibri" w:hAnsi="Arial" w:cs="Arial"/>
                <w:szCs w:val="22"/>
              </w:rPr>
              <w:t>entered into an</w:t>
            </w:r>
            <w:r w:rsidRPr="00173055">
              <w:rPr>
                <w:rFonts w:ascii="Arial" w:eastAsia="Calibri" w:hAnsi="Arial" w:cs="Arial"/>
                <w:szCs w:val="22"/>
              </w:rPr>
              <w:t xml:space="preserve"> exclusive </w:t>
            </w:r>
            <w:r>
              <w:rPr>
                <w:rFonts w:ascii="Arial" w:eastAsia="Calibri" w:hAnsi="Arial" w:cs="Arial"/>
                <w:szCs w:val="22"/>
              </w:rPr>
              <w:t>worldwide commercialisation license with Nutrafruit</w:t>
            </w:r>
            <w:r w:rsidRPr="00173055">
              <w:rPr>
                <w:rFonts w:ascii="Arial" w:eastAsia="Calibri" w:hAnsi="Arial" w:cs="Arial"/>
                <w:szCs w:val="22"/>
              </w:rPr>
              <w:t xml:space="preserve"> to </w:t>
            </w:r>
            <w:r>
              <w:rPr>
                <w:rFonts w:ascii="Arial" w:eastAsia="Calibri" w:hAnsi="Arial" w:cs="Arial"/>
                <w:szCs w:val="22"/>
              </w:rPr>
              <w:t xml:space="preserve">exploit </w:t>
            </w:r>
            <w:r w:rsidRPr="00173055">
              <w:rPr>
                <w:rFonts w:ascii="Arial" w:eastAsia="Calibri" w:hAnsi="Arial" w:cs="Arial"/>
                <w:szCs w:val="22"/>
              </w:rPr>
              <w:t xml:space="preserve">the QG plum in 2010. </w:t>
            </w:r>
            <w:r w:rsidRPr="00173055">
              <w:rPr>
                <w:rFonts w:ascii="Arial" w:hAnsi="Arial" w:cs="Arial"/>
                <w:szCs w:val="22"/>
              </w:rPr>
              <w:t xml:space="preserve">Nutrafruit sublicenses nurseries to produce the trees and </w:t>
            </w:r>
            <w:r>
              <w:rPr>
                <w:rFonts w:ascii="Arial" w:hAnsi="Arial" w:cs="Arial"/>
                <w:szCs w:val="22"/>
              </w:rPr>
              <w:t>sub-</w:t>
            </w:r>
            <w:r w:rsidRPr="00173055">
              <w:rPr>
                <w:rFonts w:ascii="Arial" w:hAnsi="Arial" w:cs="Arial"/>
                <w:szCs w:val="22"/>
              </w:rPr>
              <w:t xml:space="preserve">licenses orchardists for a fee to grow the fruit. </w:t>
            </w:r>
          </w:p>
          <w:p w:rsidR="002B5A16" w:rsidRPr="00775E0F" w:rsidRDefault="002B5A16" w:rsidP="002B5A16">
            <w:pPr>
              <w:numPr>
                <w:ilvl w:val="0"/>
                <w:numId w:val="10"/>
              </w:numPr>
              <w:autoSpaceDE w:val="0"/>
              <w:autoSpaceDN w:val="0"/>
              <w:adjustRightInd w:val="0"/>
              <w:ind w:left="357" w:hanging="357"/>
              <w:contextualSpacing/>
              <w:rPr>
                <w:rFonts w:ascii="Arial" w:hAnsi="Arial" w:cs="Arial"/>
                <w:szCs w:val="22"/>
              </w:rPr>
            </w:pPr>
            <w:r w:rsidRPr="00775E0F">
              <w:rPr>
                <w:rFonts w:ascii="Arial" w:hAnsi="Arial" w:cs="Arial"/>
                <w:szCs w:val="22"/>
              </w:rPr>
              <w:t>There was an additional E</w:t>
            </w:r>
            <w:r>
              <w:rPr>
                <w:rFonts w:ascii="Arial" w:hAnsi="Arial" w:cs="Arial"/>
                <w:szCs w:val="22"/>
              </w:rPr>
              <w:t xml:space="preserve">xpression of Interest released by DAF in </w:t>
            </w:r>
            <w:r w:rsidRPr="00775E0F">
              <w:rPr>
                <w:rFonts w:ascii="Arial" w:hAnsi="Arial" w:cs="Arial"/>
                <w:szCs w:val="22"/>
              </w:rPr>
              <w:t xml:space="preserve">April 2010 for 16 superior stonefruit lines which included </w:t>
            </w:r>
            <w:r>
              <w:rPr>
                <w:rFonts w:ascii="Arial" w:hAnsi="Arial" w:cs="Arial"/>
                <w:szCs w:val="22"/>
              </w:rPr>
              <w:t>R</w:t>
            </w:r>
            <w:r w:rsidRPr="00775E0F">
              <w:rPr>
                <w:rFonts w:ascii="Arial" w:hAnsi="Arial" w:cs="Arial"/>
                <w:szCs w:val="22"/>
              </w:rPr>
              <w:t xml:space="preserve">ubycot. </w:t>
            </w:r>
            <w:r>
              <w:rPr>
                <w:rFonts w:ascii="Arial" w:hAnsi="Arial" w:cs="Arial"/>
                <w:szCs w:val="22"/>
              </w:rPr>
              <w:t xml:space="preserve">The Rubycot commercialisation </w:t>
            </w:r>
            <w:r w:rsidRPr="00775E0F">
              <w:rPr>
                <w:rFonts w:ascii="Arial" w:hAnsi="Arial" w:cs="Arial"/>
                <w:szCs w:val="22"/>
              </w:rPr>
              <w:t>was awarded to Nutrafruit.  Little activity has occurred with these lines since then</w:t>
            </w:r>
            <w:r>
              <w:rPr>
                <w:rFonts w:ascii="Arial" w:hAnsi="Arial" w:cs="Arial"/>
                <w:szCs w:val="22"/>
              </w:rPr>
              <w:t>,</w:t>
            </w:r>
            <w:r w:rsidRPr="00775E0F">
              <w:rPr>
                <w:rFonts w:ascii="Arial" w:hAnsi="Arial" w:cs="Arial"/>
                <w:szCs w:val="22"/>
              </w:rPr>
              <w:t xml:space="preserve"> except for </w:t>
            </w:r>
            <w:r>
              <w:rPr>
                <w:rFonts w:ascii="Arial" w:hAnsi="Arial" w:cs="Arial"/>
                <w:szCs w:val="22"/>
              </w:rPr>
              <w:t>R</w:t>
            </w:r>
            <w:r w:rsidRPr="00775E0F">
              <w:rPr>
                <w:rFonts w:ascii="Arial" w:hAnsi="Arial" w:cs="Arial"/>
                <w:szCs w:val="22"/>
              </w:rPr>
              <w:t xml:space="preserve">ubycot </w:t>
            </w:r>
            <w:r>
              <w:rPr>
                <w:rFonts w:ascii="Arial" w:hAnsi="Arial" w:cs="Arial"/>
                <w:szCs w:val="22"/>
              </w:rPr>
              <w:t xml:space="preserve">now </w:t>
            </w:r>
            <w:r w:rsidRPr="00775E0F">
              <w:rPr>
                <w:rFonts w:ascii="Arial" w:hAnsi="Arial" w:cs="Arial"/>
                <w:szCs w:val="22"/>
              </w:rPr>
              <w:t xml:space="preserve">starting to </w:t>
            </w:r>
            <w:r>
              <w:rPr>
                <w:rFonts w:ascii="Arial" w:hAnsi="Arial" w:cs="Arial"/>
                <w:szCs w:val="22"/>
              </w:rPr>
              <w:t>be grown (Jodie Campbell, pers. comm., July 2017)</w:t>
            </w:r>
            <w:r w:rsidRPr="00775E0F">
              <w:rPr>
                <w:rFonts w:ascii="Arial" w:hAnsi="Arial" w:cs="Arial"/>
                <w:szCs w:val="22"/>
              </w:rPr>
              <w:t>.</w:t>
            </w:r>
          </w:p>
          <w:p w:rsidR="002B5A16" w:rsidRPr="00CA052C" w:rsidRDefault="002B5A16" w:rsidP="002B5A16">
            <w:pPr>
              <w:pStyle w:val="ListParagraph"/>
              <w:numPr>
                <w:ilvl w:val="0"/>
                <w:numId w:val="10"/>
              </w:numPr>
              <w:suppressAutoHyphens/>
              <w:ind w:left="357" w:hanging="357"/>
              <w:rPr>
                <w:rFonts w:ascii="Arial" w:hAnsi="Arial" w:cs="Arial"/>
                <w:szCs w:val="22"/>
              </w:rPr>
            </w:pPr>
            <w:r w:rsidRPr="00CA052C">
              <w:rPr>
                <w:rFonts w:ascii="Arial" w:hAnsi="Arial" w:cs="Arial"/>
                <w:szCs w:val="22"/>
              </w:rPr>
              <w:t xml:space="preserve">The QG plum has been the most successful commercialised plum that had its origin in the DAF plum breeding program. </w:t>
            </w:r>
          </w:p>
          <w:p w:rsidR="002B5A16" w:rsidRPr="00173055" w:rsidRDefault="002B5A16" w:rsidP="002B5A16">
            <w:pPr>
              <w:numPr>
                <w:ilvl w:val="0"/>
                <w:numId w:val="10"/>
              </w:numPr>
              <w:suppressAutoHyphens/>
              <w:contextualSpacing/>
              <w:rPr>
                <w:rFonts w:ascii="Arial" w:eastAsia="Calibri" w:hAnsi="Arial" w:cs="Arial"/>
                <w:szCs w:val="22"/>
              </w:rPr>
            </w:pPr>
            <w:r w:rsidRPr="00173055">
              <w:rPr>
                <w:rFonts w:ascii="Arial" w:eastAsia="Calibri" w:hAnsi="Arial" w:cs="Arial"/>
                <w:color w:val="000000"/>
                <w:szCs w:val="22"/>
              </w:rPr>
              <w:t xml:space="preserve">Various sized Australian plantings of the QG under licence have been made across a number of Australian states. </w:t>
            </w:r>
          </w:p>
          <w:p w:rsidR="002B5A16" w:rsidRPr="004A1381" w:rsidRDefault="002B5A16" w:rsidP="002B5A16">
            <w:pPr>
              <w:numPr>
                <w:ilvl w:val="0"/>
                <w:numId w:val="10"/>
              </w:numPr>
              <w:suppressAutoHyphens/>
              <w:contextualSpacing/>
              <w:rPr>
                <w:rFonts w:ascii="Arial" w:eastAsia="Calibri" w:hAnsi="Arial" w:cs="Arial"/>
                <w:szCs w:val="22"/>
              </w:rPr>
            </w:pPr>
            <w:r w:rsidRPr="004A1381">
              <w:rPr>
                <w:rFonts w:ascii="Arial" w:eastAsia="Calibri" w:hAnsi="Arial" w:cs="Arial"/>
                <w:color w:val="000000"/>
                <w:szCs w:val="22"/>
              </w:rPr>
              <w:t xml:space="preserve">The plum is being trialled in a </w:t>
            </w:r>
            <w:r>
              <w:rPr>
                <w:rFonts w:ascii="Arial" w:eastAsia="Calibri" w:hAnsi="Arial" w:cs="Arial"/>
                <w:color w:val="000000"/>
                <w:szCs w:val="22"/>
              </w:rPr>
              <w:t xml:space="preserve">range </w:t>
            </w:r>
            <w:r w:rsidRPr="004A1381">
              <w:rPr>
                <w:rFonts w:ascii="Arial" w:eastAsia="Calibri" w:hAnsi="Arial" w:cs="Arial"/>
                <w:color w:val="000000"/>
                <w:szCs w:val="22"/>
              </w:rPr>
              <w:t>of overseas countries.</w:t>
            </w:r>
          </w:p>
          <w:p w:rsidR="002B5A16" w:rsidRPr="00173055" w:rsidRDefault="002B5A16" w:rsidP="002B5A16">
            <w:pPr>
              <w:numPr>
                <w:ilvl w:val="0"/>
                <w:numId w:val="10"/>
              </w:numPr>
              <w:suppressAutoHyphens/>
              <w:contextualSpacing/>
              <w:rPr>
                <w:rFonts w:ascii="Arial" w:eastAsia="Calibri" w:hAnsi="Arial" w:cs="Arial"/>
                <w:szCs w:val="22"/>
              </w:rPr>
            </w:pPr>
            <w:r w:rsidRPr="00CA052C">
              <w:rPr>
                <w:rFonts w:ascii="Arial" w:eastAsia="Calibri" w:hAnsi="Arial" w:cs="Arial"/>
                <w:szCs w:val="22"/>
              </w:rPr>
              <w:t xml:space="preserve">Claims of human health benefits </w:t>
            </w:r>
            <w:r w:rsidRPr="005F6E2E">
              <w:rPr>
                <w:rFonts w:ascii="Arial" w:eastAsia="Calibri" w:hAnsi="Arial" w:cs="Arial"/>
                <w:szCs w:val="22"/>
              </w:rPr>
              <w:t xml:space="preserve">that can be </w:t>
            </w:r>
            <w:r w:rsidRPr="00CA052C">
              <w:rPr>
                <w:rFonts w:ascii="Arial" w:eastAsia="Calibri" w:hAnsi="Arial" w:cs="Arial"/>
                <w:szCs w:val="22"/>
              </w:rPr>
              <w:t>attributed to the QG plum are being researched</w:t>
            </w:r>
            <w:r w:rsidRPr="005F6E2E">
              <w:rPr>
                <w:rFonts w:ascii="Arial" w:eastAsia="Calibri" w:hAnsi="Arial" w:cs="Arial"/>
                <w:szCs w:val="22"/>
              </w:rPr>
              <w:t>.</w:t>
            </w:r>
          </w:p>
        </w:tc>
      </w:tr>
      <w:tr w:rsidR="002B5A16" w:rsidRPr="005B630D" w:rsidTr="00005AA0">
        <w:trPr>
          <w:jc w:val="center"/>
        </w:trPr>
        <w:tc>
          <w:tcPr>
            <w:tcW w:w="1555" w:type="dxa"/>
            <w:tcBorders>
              <w:top w:val="single" w:sz="4" w:space="0" w:color="auto"/>
              <w:left w:val="single" w:sz="4" w:space="0" w:color="auto"/>
              <w:bottom w:val="single" w:sz="4" w:space="0" w:color="auto"/>
              <w:right w:val="single" w:sz="4" w:space="0" w:color="auto"/>
            </w:tcBorders>
            <w:hideMark/>
          </w:tcPr>
          <w:p w:rsidR="002B5A16" w:rsidRPr="00173055" w:rsidRDefault="002B5A16" w:rsidP="002B5A16">
            <w:pPr>
              <w:spacing w:line="256" w:lineRule="auto"/>
              <w:rPr>
                <w:rFonts w:ascii="Arial" w:eastAsia="Calibri" w:hAnsi="Arial" w:cs="Arial"/>
                <w:szCs w:val="22"/>
              </w:rPr>
            </w:pPr>
            <w:r w:rsidRPr="00173055">
              <w:rPr>
                <w:rFonts w:ascii="Arial" w:eastAsia="Calibri" w:hAnsi="Arial" w:cs="Arial"/>
                <w:szCs w:val="22"/>
              </w:rPr>
              <w:t>Impacts</w:t>
            </w:r>
          </w:p>
        </w:tc>
        <w:tc>
          <w:tcPr>
            <w:tcW w:w="7371" w:type="dxa"/>
            <w:tcBorders>
              <w:top w:val="single" w:sz="4" w:space="0" w:color="auto"/>
              <w:left w:val="single" w:sz="4" w:space="0" w:color="auto"/>
              <w:bottom w:val="single" w:sz="4" w:space="0" w:color="auto"/>
              <w:right w:val="single" w:sz="4" w:space="0" w:color="auto"/>
            </w:tcBorders>
            <w:hideMark/>
          </w:tcPr>
          <w:p w:rsidR="002B5A16" w:rsidRPr="00173055" w:rsidRDefault="002B5A16" w:rsidP="002B5A16">
            <w:pPr>
              <w:numPr>
                <w:ilvl w:val="0"/>
                <w:numId w:val="9"/>
              </w:numPr>
              <w:ind w:left="357" w:hanging="357"/>
              <w:contextualSpacing/>
              <w:rPr>
                <w:rFonts w:ascii="Arial" w:eastAsia="Calibri" w:hAnsi="Arial" w:cs="Arial"/>
                <w:color w:val="000000"/>
                <w:szCs w:val="22"/>
              </w:rPr>
            </w:pPr>
            <w:r w:rsidRPr="00173055">
              <w:rPr>
                <w:rFonts w:ascii="Arial" w:eastAsia="Calibri" w:hAnsi="Arial" w:cs="Arial"/>
                <w:color w:val="000000"/>
                <w:szCs w:val="22"/>
              </w:rPr>
              <w:t>Net gain in profitability of Australian plum growing through a higher price for the QG plum</w:t>
            </w:r>
            <w:r>
              <w:rPr>
                <w:rFonts w:ascii="Arial" w:eastAsia="Calibri" w:hAnsi="Arial" w:cs="Arial"/>
                <w:color w:val="000000"/>
                <w:szCs w:val="22"/>
              </w:rPr>
              <w:t xml:space="preserve"> compared to other plum types</w:t>
            </w:r>
            <w:r w:rsidRPr="00173055">
              <w:rPr>
                <w:rFonts w:ascii="Arial" w:eastAsia="Calibri" w:hAnsi="Arial" w:cs="Arial"/>
                <w:color w:val="000000"/>
                <w:szCs w:val="22"/>
              </w:rPr>
              <w:t>.</w:t>
            </w:r>
          </w:p>
          <w:p w:rsidR="002B5A16" w:rsidRPr="00173055" w:rsidRDefault="002B5A16" w:rsidP="002B5A16">
            <w:pPr>
              <w:numPr>
                <w:ilvl w:val="0"/>
                <w:numId w:val="9"/>
              </w:numPr>
              <w:ind w:left="357" w:hanging="357"/>
              <w:contextualSpacing/>
              <w:rPr>
                <w:rFonts w:ascii="Arial" w:eastAsia="Calibri" w:hAnsi="Arial" w:cs="Arial"/>
                <w:szCs w:val="22"/>
              </w:rPr>
            </w:pPr>
            <w:r>
              <w:rPr>
                <w:rFonts w:ascii="Arial" w:eastAsia="Calibri" w:hAnsi="Arial" w:cs="Arial"/>
                <w:szCs w:val="22"/>
              </w:rPr>
              <w:t>Potential i</w:t>
            </w:r>
            <w:r w:rsidRPr="00173055">
              <w:rPr>
                <w:rFonts w:ascii="Arial" w:eastAsia="Calibri" w:hAnsi="Arial" w:cs="Arial"/>
                <w:szCs w:val="22"/>
              </w:rPr>
              <w:t xml:space="preserve">ncome to Australia from trees licensed to be grown overseas. </w:t>
            </w:r>
          </w:p>
          <w:p w:rsidR="002B5A16" w:rsidRDefault="002B5A16" w:rsidP="002B5A16">
            <w:pPr>
              <w:numPr>
                <w:ilvl w:val="0"/>
                <w:numId w:val="9"/>
              </w:numPr>
              <w:ind w:left="357" w:hanging="357"/>
              <w:contextualSpacing/>
              <w:rPr>
                <w:rFonts w:ascii="Arial" w:eastAsia="Calibri" w:hAnsi="Arial" w:cs="Arial"/>
                <w:color w:val="000000"/>
                <w:szCs w:val="22"/>
              </w:rPr>
            </w:pPr>
            <w:bookmarkStart w:id="512" w:name="_Hlk481152019"/>
            <w:r>
              <w:rPr>
                <w:rFonts w:ascii="Arial" w:eastAsia="Calibri" w:hAnsi="Arial" w:cs="Arial"/>
                <w:color w:val="000000"/>
                <w:szCs w:val="22"/>
              </w:rPr>
              <w:t xml:space="preserve">Increased investment in horticultural R&amp;D from Queensland Government licensing income from QG. </w:t>
            </w:r>
          </w:p>
          <w:p w:rsidR="002B5A16" w:rsidRPr="00173055" w:rsidRDefault="002B5A16" w:rsidP="002B5A16">
            <w:pPr>
              <w:numPr>
                <w:ilvl w:val="0"/>
                <w:numId w:val="9"/>
              </w:numPr>
              <w:ind w:left="357" w:hanging="357"/>
              <w:contextualSpacing/>
              <w:rPr>
                <w:rFonts w:ascii="Arial" w:eastAsia="Calibri" w:hAnsi="Arial" w:cs="Arial"/>
                <w:color w:val="000000"/>
                <w:szCs w:val="22"/>
              </w:rPr>
            </w:pPr>
            <w:r w:rsidRPr="00173055">
              <w:rPr>
                <w:rFonts w:ascii="Arial" w:eastAsia="Calibri" w:hAnsi="Arial" w:cs="Arial"/>
                <w:color w:val="000000"/>
                <w:szCs w:val="22"/>
              </w:rPr>
              <w:t xml:space="preserve">Enhanced capacity in plum breeding research. </w:t>
            </w:r>
          </w:p>
          <w:bookmarkEnd w:id="512"/>
          <w:p w:rsidR="002B5A16" w:rsidRPr="00173055" w:rsidRDefault="002B5A16" w:rsidP="002B5A16">
            <w:pPr>
              <w:numPr>
                <w:ilvl w:val="0"/>
                <w:numId w:val="9"/>
              </w:numPr>
              <w:ind w:left="357" w:hanging="357"/>
              <w:contextualSpacing/>
              <w:rPr>
                <w:rFonts w:ascii="Arial" w:eastAsia="Calibri" w:hAnsi="Arial" w:cs="Arial"/>
                <w:color w:val="000000"/>
                <w:szCs w:val="22"/>
              </w:rPr>
            </w:pPr>
            <w:r w:rsidRPr="00173055">
              <w:rPr>
                <w:rFonts w:ascii="Arial" w:eastAsia="Calibri" w:hAnsi="Arial" w:cs="Arial"/>
                <w:color w:val="000000"/>
                <w:szCs w:val="22"/>
              </w:rPr>
              <w:t>Potential for health benefits to consumers due to the high levels of anti</w:t>
            </w:r>
            <w:r>
              <w:rPr>
                <w:rFonts w:ascii="Arial" w:eastAsia="Calibri" w:hAnsi="Arial" w:cs="Arial"/>
                <w:color w:val="000000"/>
                <w:szCs w:val="22"/>
              </w:rPr>
              <w:t>-</w:t>
            </w:r>
            <w:r w:rsidRPr="00173055">
              <w:rPr>
                <w:rFonts w:ascii="Arial" w:eastAsia="Calibri" w:hAnsi="Arial" w:cs="Arial"/>
                <w:color w:val="000000"/>
                <w:szCs w:val="22"/>
              </w:rPr>
              <w:t>oxidants and anthocyanins in the QG.</w:t>
            </w:r>
          </w:p>
          <w:p w:rsidR="002B5A16" w:rsidRPr="00173055" w:rsidRDefault="002B5A16" w:rsidP="002B5A16">
            <w:pPr>
              <w:numPr>
                <w:ilvl w:val="0"/>
                <w:numId w:val="9"/>
              </w:numPr>
              <w:ind w:left="357" w:hanging="357"/>
              <w:contextualSpacing/>
              <w:rPr>
                <w:rFonts w:ascii="Arial" w:eastAsia="Calibri" w:hAnsi="Arial" w:cs="Arial"/>
                <w:color w:val="000000"/>
                <w:szCs w:val="22"/>
              </w:rPr>
            </w:pPr>
            <w:r w:rsidRPr="00173055">
              <w:rPr>
                <w:rFonts w:ascii="Arial" w:eastAsia="Calibri" w:hAnsi="Arial" w:cs="Arial"/>
                <w:szCs w:val="22"/>
              </w:rPr>
              <w:t>Increased community well-being through the spillover effects of increased stonefruit farm profitability.</w:t>
            </w:r>
          </w:p>
        </w:tc>
      </w:tr>
    </w:tbl>
    <w:p w:rsidR="00A66BB1" w:rsidRDefault="00A66BB1" w:rsidP="00A66BB1">
      <w:bookmarkStart w:id="513" w:name="_Toc476634719"/>
      <w:bookmarkStart w:id="514" w:name="_Toc487018699"/>
    </w:p>
    <w:p w:rsidR="002B5A16" w:rsidRPr="00A66BB1" w:rsidRDefault="002B5A16" w:rsidP="00A66BB1">
      <w:pPr>
        <w:spacing w:after="240"/>
        <w:rPr>
          <w:rFonts w:ascii="Arial" w:hAnsi="Arial" w:cs="Arial"/>
          <w:b/>
          <w:sz w:val="40"/>
          <w:szCs w:val="40"/>
        </w:rPr>
      </w:pPr>
      <w:r w:rsidRPr="00A66BB1">
        <w:rPr>
          <w:rFonts w:ascii="Arial" w:hAnsi="Arial" w:cs="Arial"/>
          <w:b/>
          <w:sz w:val="40"/>
          <w:szCs w:val="40"/>
        </w:rPr>
        <w:t>4. Project Investment</w:t>
      </w:r>
      <w:bookmarkEnd w:id="513"/>
      <w:bookmarkEnd w:id="514"/>
      <w:r w:rsidRPr="00A66BB1">
        <w:rPr>
          <w:rFonts w:ascii="Arial" w:hAnsi="Arial" w:cs="Arial"/>
          <w:b/>
          <w:sz w:val="40"/>
          <w:szCs w:val="40"/>
        </w:rPr>
        <w:t xml:space="preserve"> </w:t>
      </w:r>
    </w:p>
    <w:p w:rsidR="002B5A16" w:rsidRPr="002C122E" w:rsidRDefault="002B5A16" w:rsidP="00A66BB1">
      <w:pPr>
        <w:spacing w:after="240"/>
        <w:rPr>
          <w:rFonts w:ascii="Arial" w:hAnsi="Arial" w:cs="Arial"/>
          <w:b/>
          <w:sz w:val="24"/>
        </w:rPr>
      </w:pPr>
      <w:r w:rsidRPr="002C122E">
        <w:rPr>
          <w:rFonts w:ascii="Arial" w:hAnsi="Arial" w:cs="Arial"/>
          <w:b/>
          <w:sz w:val="24"/>
        </w:rPr>
        <w:t xml:space="preserve">Nominal Investment </w:t>
      </w:r>
    </w:p>
    <w:p w:rsidR="002B5A16" w:rsidRDefault="002B5A16" w:rsidP="00A66BB1">
      <w:pPr>
        <w:spacing w:after="240"/>
        <w:rPr>
          <w:rFonts w:ascii="Arial" w:hAnsi="Arial" w:cs="Arial"/>
        </w:rPr>
      </w:pPr>
      <w:r w:rsidRPr="00F45195">
        <w:rPr>
          <w:rFonts w:ascii="Arial" w:hAnsi="Arial" w:cs="Arial"/>
        </w:rPr>
        <w:t xml:space="preserve">Table </w:t>
      </w:r>
      <w:r>
        <w:rPr>
          <w:rFonts w:ascii="Arial" w:hAnsi="Arial" w:cs="Arial"/>
        </w:rPr>
        <w:t>5</w:t>
      </w:r>
      <w:r w:rsidRPr="00F45195">
        <w:rPr>
          <w:rFonts w:ascii="Arial" w:hAnsi="Arial" w:cs="Arial"/>
        </w:rPr>
        <w:t xml:space="preserve"> shows the annual investment for the project funded by DAF</w:t>
      </w:r>
      <w:r>
        <w:rPr>
          <w:rFonts w:ascii="Arial" w:hAnsi="Arial" w:cs="Arial"/>
        </w:rPr>
        <w:t xml:space="preserve"> (and its antecedents), HRDC (now HIAL), and the Western Australian Department of Agriculture (WADA), now known as the Western Australian Department of Agriculture and Food. The project funded was SF 97005 (1998-2000). However, while this project undertook the crossing that led to the QG plum variety being identified and commercialised, there had been earlier crossing and evaluations carried out. These earlier investments in plum breeding did lead to several other varieties being released but none of these varieties have been commercially successful. For the purposes of the impact assessment, the total investment since 1981 up the end of Project SF 97005 in 2000, together with the additional investment costs from 2001 to 2007 by DAF and others, have been compared to the expected benefits from the QG plum.</w:t>
      </w:r>
    </w:p>
    <w:p w:rsidR="002B5A16" w:rsidRPr="00A66BB1" w:rsidRDefault="002B5A16" w:rsidP="00A66BB1">
      <w:pPr>
        <w:pStyle w:val="Caption"/>
        <w:jc w:val="center"/>
        <w:rPr>
          <w:rFonts w:ascii="Arial" w:hAnsi="Arial"/>
          <w:b w:val="0"/>
          <w:i/>
          <w:sz w:val="22"/>
          <w:szCs w:val="22"/>
        </w:rPr>
      </w:pPr>
      <w:bookmarkStart w:id="515" w:name="_Toc487018710"/>
      <w:r w:rsidRPr="00A66BB1">
        <w:rPr>
          <w:rFonts w:ascii="Arial" w:hAnsi="Arial"/>
          <w:b w:val="0"/>
          <w:sz w:val="22"/>
          <w:szCs w:val="22"/>
        </w:rPr>
        <w:t xml:space="preserve">Table </w:t>
      </w:r>
      <w:r w:rsidR="00913E1D" w:rsidRPr="00005AA0">
        <w:rPr>
          <w:rFonts w:ascii="Arial" w:hAnsi="Arial"/>
          <w:b w:val="0"/>
          <w:sz w:val="22"/>
          <w:szCs w:val="22"/>
        </w:rPr>
        <w:t>5</w:t>
      </w:r>
      <w:r w:rsidRPr="00A66BB1">
        <w:rPr>
          <w:rFonts w:ascii="Arial" w:hAnsi="Arial"/>
          <w:b w:val="0"/>
          <w:sz w:val="22"/>
          <w:szCs w:val="22"/>
        </w:rPr>
        <w:t>: Annual Investment in Plum Breeding by Year</w:t>
      </w:r>
      <w:bookmarkEnd w:id="515"/>
    </w:p>
    <w:p w:rsidR="002B5A16" w:rsidRPr="00A66BB1" w:rsidRDefault="002B5A16" w:rsidP="00A66BB1">
      <w:pPr>
        <w:pStyle w:val="Caption"/>
        <w:spacing w:after="240"/>
        <w:jc w:val="center"/>
        <w:rPr>
          <w:rFonts w:ascii="Arial" w:hAnsi="Arial"/>
          <w:b w:val="0"/>
          <w:i/>
          <w:color w:val="000000" w:themeColor="text1"/>
          <w:sz w:val="22"/>
          <w:szCs w:val="22"/>
        </w:rPr>
      </w:pPr>
      <w:r w:rsidRPr="00A66BB1">
        <w:rPr>
          <w:rFonts w:ascii="Arial" w:hAnsi="Arial"/>
          <w:b w:val="0"/>
          <w:color w:val="000000" w:themeColor="text1"/>
          <w:sz w:val="22"/>
          <w:szCs w:val="22"/>
        </w:rPr>
        <w:t>(nominal $ with overheads included)</w:t>
      </w:r>
    </w:p>
    <w:tbl>
      <w:tblPr>
        <w:tblW w:w="4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449"/>
        <w:gridCol w:w="1448"/>
        <w:gridCol w:w="1448"/>
        <w:gridCol w:w="1448"/>
      </w:tblGrid>
      <w:tr w:rsidR="002B5A16" w:rsidRPr="00B739B9" w:rsidTr="002B5A16">
        <w:trPr>
          <w:trHeight w:val="245"/>
          <w:jc w:val="center"/>
        </w:trPr>
        <w:tc>
          <w:tcPr>
            <w:tcW w:w="1000" w:type="pct"/>
            <w:shd w:val="clear" w:color="auto" w:fill="auto"/>
            <w:vAlign w:val="center"/>
            <w:hideMark/>
          </w:tcPr>
          <w:p w:rsidR="002B5A16" w:rsidRPr="00F45195" w:rsidRDefault="002B5A16" w:rsidP="002B5A16">
            <w:pPr>
              <w:rPr>
                <w:rFonts w:ascii="Arial" w:hAnsi="Arial" w:cs="Arial"/>
                <w:b/>
                <w:bCs/>
                <w:lang w:eastAsia="en-AU"/>
              </w:rPr>
            </w:pPr>
            <w:r w:rsidRPr="00F45195">
              <w:rPr>
                <w:rFonts w:ascii="Arial" w:hAnsi="Arial" w:cs="Arial"/>
                <w:b/>
                <w:bCs/>
                <w:lang w:eastAsia="en-AU"/>
              </w:rPr>
              <w:t>Year ended 30</w:t>
            </w:r>
            <w:r w:rsidRPr="00F45195">
              <w:rPr>
                <w:rFonts w:ascii="Arial" w:hAnsi="Arial" w:cs="Arial"/>
                <w:b/>
                <w:bCs/>
                <w:vertAlign w:val="superscript"/>
                <w:lang w:eastAsia="en-AU"/>
              </w:rPr>
              <w:t>th</w:t>
            </w:r>
            <w:r w:rsidRPr="00F45195">
              <w:rPr>
                <w:rFonts w:ascii="Arial" w:hAnsi="Arial" w:cs="Arial"/>
                <w:b/>
                <w:bCs/>
                <w:lang w:eastAsia="en-AU"/>
              </w:rPr>
              <w:t xml:space="preserve"> June</w:t>
            </w:r>
          </w:p>
        </w:tc>
        <w:tc>
          <w:tcPr>
            <w:tcW w:w="1000" w:type="pct"/>
            <w:shd w:val="clear" w:color="auto" w:fill="auto"/>
            <w:hideMark/>
          </w:tcPr>
          <w:p w:rsidR="002B5A16" w:rsidRPr="00F45195" w:rsidRDefault="002B5A16" w:rsidP="002B5A16">
            <w:pPr>
              <w:jc w:val="center"/>
              <w:rPr>
                <w:rFonts w:ascii="Arial" w:hAnsi="Arial" w:cs="Arial"/>
                <w:b/>
                <w:bCs/>
                <w:lang w:eastAsia="en-AU"/>
              </w:rPr>
            </w:pPr>
            <w:r w:rsidRPr="00F45195">
              <w:rPr>
                <w:rFonts w:ascii="Arial" w:hAnsi="Arial" w:cs="Arial"/>
                <w:b/>
                <w:bCs/>
                <w:lang w:eastAsia="en-AU"/>
              </w:rPr>
              <w:t>DAF</w:t>
            </w:r>
            <w:r w:rsidR="00005AA0">
              <w:rPr>
                <w:rFonts w:ascii="Arial" w:hAnsi="Arial" w:cs="Arial"/>
                <w:b/>
                <w:bCs/>
                <w:lang w:eastAsia="en-AU"/>
              </w:rPr>
              <w:t xml:space="preserve"> ($)</w:t>
            </w:r>
          </w:p>
        </w:tc>
        <w:tc>
          <w:tcPr>
            <w:tcW w:w="1000" w:type="pct"/>
            <w:shd w:val="clear" w:color="auto" w:fill="auto"/>
            <w:hideMark/>
          </w:tcPr>
          <w:p w:rsidR="002B5A16" w:rsidRPr="00F45195" w:rsidRDefault="00005AA0" w:rsidP="002B5A16">
            <w:pPr>
              <w:jc w:val="center"/>
              <w:rPr>
                <w:rFonts w:ascii="Arial" w:hAnsi="Arial" w:cs="Arial"/>
                <w:b/>
                <w:bCs/>
                <w:lang w:eastAsia="en-AU"/>
              </w:rPr>
            </w:pPr>
            <w:r>
              <w:rPr>
                <w:rFonts w:ascii="Arial" w:hAnsi="Arial" w:cs="Arial"/>
                <w:b/>
                <w:bCs/>
                <w:lang w:eastAsia="en-AU"/>
              </w:rPr>
              <w:t>WADA and other(a) ($)</w:t>
            </w:r>
          </w:p>
        </w:tc>
        <w:tc>
          <w:tcPr>
            <w:tcW w:w="1000" w:type="pct"/>
          </w:tcPr>
          <w:p w:rsidR="002B5A16" w:rsidRPr="00F45195" w:rsidRDefault="002B5A16" w:rsidP="002B5A16">
            <w:pPr>
              <w:jc w:val="center"/>
              <w:rPr>
                <w:rFonts w:ascii="Arial" w:hAnsi="Arial" w:cs="Arial"/>
                <w:b/>
                <w:bCs/>
                <w:lang w:eastAsia="en-AU"/>
              </w:rPr>
            </w:pPr>
            <w:r>
              <w:rPr>
                <w:rFonts w:ascii="Arial" w:hAnsi="Arial" w:cs="Arial"/>
                <w:b/>
                <w:bCs/>
                <w:lang w:eastAsia="en-AU"/>
              </w:rPr>
              <w:t>HRDC/HIAL</w:t>
            </w:r>
            <w:r w:rsidR="00005AA0">
              <w:rPr>
                <w:rFonts w:ascii="Arial" w:hAnsi="Arial" w:cs="Arial"/>
                <w:b/>
                <w:bCs/>
                <w:lang w:eastAsia="en-AU"/>
              </w:rPr>
              <w:t xml:space="preserve"> ($)</w:t>
            </w:r>
          </w:p>
        </w:tc>
        <w:tc>
          <w:tcPr>
            <w:tcW w:w="1000" w:type="pct"/>
            <w:shd w:val="clear" w:color="auto" w:fill="auto"/>
            <w:hideMark/>
          </w:tcPr>
          <w:p w:rsidR="002B5A16" w:rsidRPr="00F45195" w:rsidRDefault="002B5A16" w:rsidP="002B5A16">
            <w:pPr>
              <w:jc w:val="center"/>
              <w:rPr>
                <w:rFonts w:ascii="Arial" w:hAnsi="Arial" w:cs="Arial"/>
                <w:b/>
                <w:bCs/>
                <w:lang w:eastAsia="en-AU"/>
              </w:rPr>
            </w:pPr>
            <w:r w:rsidRPr="00F45195">
              <w:rPr>
                <w:rFonts w:ascii="Arial" w:hAnsi="Arial" w:cs="Arial"/>
                <w:b/>
                <w:bCs/>
                <w:lang w:eastAsia="en-AU"/>
              </w:rPr>
              <w:t>TOTAL</w:t>
            </w:r>
            <w:r w:rsidR="00005AA0">
              <w:rPr>
                <w:rFonts w:ascii="Arial" w:hAnsi="Arial" w:cs="Arial"/>
                <w:b/>
                <w:bCs/>
                <w:lang w:eastAsia="en-AU"/>
              </w:rPr>
              <w:t xml:space="preserve"> ($)</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1981</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37,112</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37,112</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1982</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44,109</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44,109</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1983</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48,773</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48,773</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1984</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52,965</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52,965</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1985</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62,124</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62,124</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1986</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67,220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67,220</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1987</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70,135</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70,135</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1988</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72,771</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72,771</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1989</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76,760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76,760</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80,444</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80,444</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1991</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88,803</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88,803</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1992</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145,920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21,893</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167,813</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1993</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145,920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19,367</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165,287</w:t>
            </w:r>
          </w:p>
        </w:tc>
      </w:tr>
      <w:tr w:rsidR="002B5A16" w:rsidRPr="00B739B9" w:rsidTr="002B5A16">
        <w:trPr>
          <w:trHeight w:val="245"/>
          <w:jc w:val="center"/>
        </w:trPr>
        <w:tc>
          <w:tcPr>
            <w:tcW w:w="1000" w:type="pct"/>
            <w:shd w:val="clear" w:color="auto" w:fill="auto"/>
          </w:tcPr>
          <w:p w:rsidR="002B5A16" w:rsidRDefault="002B5A16" w:rsidP="002B5A16">
            <w:pPr>
              <w:jc w:val="both"/>
              <w:rPr>
                <w:rFonts w:ascii="Arial" w:hAnsi="Arial" w:cs="Arial"/>
              </w:rPr>
            </w:pPr>
            <w:r>
              <w:rPr>
                <w:rFonts w:ascii="Arial" w:hAnsi="Arial" w:cs="Arial"/>
              </w:rPr>
              <w:t>1994</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145,920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27,437</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173,357</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1995</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145,920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91,000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46,929</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283,849</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1996</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145,920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91,000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46,357</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283,277</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1997</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145,920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91,000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46,357</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283,277</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1998</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200,448</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58,500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44,908</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303,856</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1999</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200,448</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44,908</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245,356</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2000</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200,448</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44,908</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245,356</w:t>
            </w:r>
          </w:p>
        </w:tc>
      </w:tr>
      <w:tr w:rsidR="002B5A16" w:rsidRPr="00B739B9" w:rsidTr="002B5A16">
        <w:trPr>
          <w:trHeight w:val="245"/>
          <w:jc w:val="center"/>
        </w:trPr>
        <w:tc>
          <w:tcPr>
            <w:tcW w:w="1000" w:type="pct"/>
            <w:shd w:val="clear" w:color="auto" w:fill="auto"/>
          </w:tcPr>
          <w:p w:rsidR="002B5A16" w:rsidRDefault="002B5A16" w:rsidP="002B5A16">
            <w:pPr>
              <w:jc w:val="both"/>
              <w:rPr>
                <w:rFonts w:ascii="Arial" w:hAnsi="Arial" w:cs="Arial"/>
              </w:rPr>
            </w:pPr>
            <w:r>
              <w:rPr>
                <w:rFonts w:ascii="Arial" w:hAnsi="Arial" w:cs="Arial"/>
              </w:rPr>
              <w:t>2001</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48,640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5,000</w:t>
            </w:r>
          </w:p>
        </w:tc>
        <w:tc>
          <w:tcPr>
            <w:tcW w:w="1000" w:type="pct"/>
          </w:tcPr>
          <w:p w:rsidR="002B5A16"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53,640</w:t>
            </w:r>
          </w:p>
        </w:tc>
      </w:tr>
      <w:tr w:rsidR="002B5A16" w:rsidRPr="00B739B9" w:rsidTr="002B5A16">
        <w:trPr>
          <w:trHeight w:val="245"/>
          <w:jc w:val="center"/>
        </w:trPr>
        <w:tc>
          <w:tcPr>
            <w:tcW w:w="1000" w:type="pct"/>
            <w:shd w:val="clear" w:color="auto" w:fill="auto"/>
          </w:tcPr>
          <w:p w:rsidR="002B5A16" w:rsidRDefault="002B5A16" w:rsidP="002B5A16">
            <w:pPr>
              <w:jc w:val="both"/>
              <w:rPr>
                <w:rFonts w:ascii="Arial" w:hAnsi="Arial" w:cs="Arial"/>
              </w:rPr>
            </w:pPr>
            <w:r>
              <w:rPr>
                <w:rFonts w:ascii="Arial" w:hAnsi="Arial" w:cs="Arial"/>
              </w:rPr>
              <w:t>2002</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48,640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5,000</w:t>
            </w:r>
          </w:p>
        </w:tc>
        <w:tc>
          <w:tcPr>
            <w:tcW w:w="1000" w:type="pct"/>
          </w:tcPr>
          <w:p w:rsidR="002B5A16"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53,640</w:t>
            </w:r>
          </w:p>
        </w:tc>
      </w:tr>
      <w:tr w:rsidR="002B5A16" w:rsidRPr="00B739B9" w:rsidTr="002B5A16">
        <w:trPr>
          <w:trHeight w:val="245"/>
          <w:jc w:val="center"/>
        </w:trPr>
        <w:tc>
          <w:tcPr>
            <w:tcW w:w="1000" w:type="pct"/>
            <w:shd w:val="clear" w:color="auto" w:fill="auto"/>
          </w:tcPr>
          <w:p w:rsidR="002B5A16" w:rsidRDefault="002B5A16" w:rsidP="002B5A16">
            <w:pPr>
              <w:jc w:val="both"/>
              <w:rPr>
                <w:rFonts w:ascii="Arial" w:hAnsi="Arial" w:cs="Arial"/>
              </w:rPr>
            </w:pPr>
            <w:r>
              <w:rPr>
                <w:rFonts w:ascii="Arial" w:hAnsi="Arial" w:cs="Arial"/>
              </w:rPr>
              <w:t>2003</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89,600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21,000</w:t>
            </w:r>
          </w:p>
        </w:tc>
        <w:tc>
          <w:tcPr>
            <w:tcW w:w="1000" w:type="pct"/>
          </w:tcPr>
          <w:p w:rsidR="002B5A16"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110,600</w:t>
            </w:r>
          </w:p>
        </w:tc>
      </w:tr>
      <w:tr w:rsidR="002B5A16" w:rsidRPr="00B739B9" w:rsidTr="002B5A16">
        <w:trPr>
          <w:trHeight w:val="245"/>
          <w:jc w:val="center"/>
        </w:trPr>
        <w:tc>
          <w:tcPr>
            <w:tcW w:w="1000" w:type="pct"/>
            <w:shd w:val="clear" w:color="auto" w:fill="auto"/>
          </w:tcPr>
          <w:p w:rsidR="002B5A16" w:rsidRDefault="002B5A16" w:rsidP="002B5A16">
            <w:pPr>
              <w:jc w:val="both"/>
              <w:rPr>
                <w:rFonts w:ascii="Arial" w:hAnsi="Arial" w:cs="Arial"/>
              </w:rPr>
            </w:pPr>
            <w:r>
              <w:rPr>
                <w:rFonts w:ascii="Arial" w:hAnsi="Arial" w:cs="Arial"/>
              </w:rPr>
              <w:t>2004</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92,160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22,000</w:t>
            </w:r>
          </w:p>
        </w:tc>
        <w:tc>
          <w:tcPr>
            <w:tcW w:w="1000" w:type="pct"/>
          </w:tcPr>
          <w:p w:rsidR="002B5A16"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114,600</w:t>
            </w:r>
          </w:p>
        </w:tc>
      </w:tr>
      <w:tr w:rsidR="002B5A16" w:rsidRPr="00B739B9" w:rsidTr="002B5A16">
        <w:trPr>
          <w:trHeight w:val="245"/>
          <w:jc w:val="center"/>
        </w:trPr>
        <w:tc>
          <w:tcPr>
            <w:tcW w:w="1000" w:type="pct"/>
            <w:shd w:val="clear" w:color="auto" w:fill="auto"/>
          </w:tcPr>
          <w:p w:rsidR="002B5A16" w:rsidRDefault="002B5A16" w:rsidP="002B5A16">
            <w:pPr>
              <w:jc w:val="both"/>
              <w:rPr>
                <w:rFonts w:ascii="Arial" w:hAnsi="Arial" w:cs="Arial"/>
              </w:rPr>
            </w:pPr>
            <w:r>
              <w:rPr>
                <w:rFonts w:ascii="Arial" w:hAnsi="Arial" w:cs="Arial"/>
              </w:rPr>
              <w:t>2005</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92,160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5,000</w:t>
            </w:r>
          </w:p>
        </w:tc>
        <w:tc>
          <w:tcPr>
            <w:tcW w:w="1000" w:type="pct"/>
          </w:tcPr>
          <w:p w:rsidR="002B5A16"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97,160</w:t>
            </w:r>
          </w:p>
        </w:tc>
      </w:tr>
      <w:tr w:rsidR="002B5A16" w:rsidRPr="00B739B9" w:rsidTr="002B5A16">
        <w:trPr>
          <w:trHeight w:val="245"/>
          <w:jc w:val="center"/>
        </w:trPr>
        <w:tc>
          <w:tcPr>
            <w:tcW w:w="1000" w:type="pct"/>
            <w:shd w:val="clear" w:color="auto" w:fill="auto"/>
          </w:tcPr>
          <w:p w:rsidR="002B5A16" w:rsidRDefault="002B5A16" w:rsidP="002B5A16">
            <w:pPr>
              <w:jc w:val="both"/>
              <w:rPr>
                <w:rFonts w:ascii="Arial" w:hAnsi="Arial" w:cs="Arial"/>
              </w:rPr>
            </w:pPr>
            <w:r>
              <w:rPr>
                <w:rFonts w:ascii="Arial" w:hAnsi="Arial" w:cs="Arial"/>
              </w:rPr>
              <w:t>2006</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46,080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46,080</w:t>
            </w:r>
          </w:p>
        </w:tc>
      </w:tr>
      <w:tr w:rsidR="002B5A16" w:rsidRPr="00B739B9" w:rsidTr="002B5A16">
        <w:trPr>
          <w:trHeight w:val="245"/>
          <w:jc w:val="center"/>
        </w:trPr>
        <w:tc>
          <w:tcPr>
            <w:tcW w:w="1000" w:type="pct"/>
            <w:shd w:val="clear" w:color="auto" w:fill="auto"/>
          </w:tcPr>
          <w:p w:rsidR="002B5A16" w:rsidRDefault="002B5A16" w:rsidP="002B5A16">
            <w:pPr>
              <w:jc w:val="both"/>
              <w:rPr>
                <w:rFonts w:ascii="Arial" w:hAnsi="Arial" w:cs="Arial"/>
              </w:rPr>
            </w:pPr>
            <w:r>
              <w:rPr>
                <w:rFonts w:ascii="Arial" w:hAnsi="Arial" w:cs="Arial"/>
              </w:rPr>
              <w:t>2007</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48,640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0</w:t>
            </w:r>
          </w:p>
        </w:tc>
        <w:tc>
          <w:tcPr>
            <w:tcW w:w="1000" w:type="pct"/>
          </w:tcPr>
          <w:p w:rsidR="002B5A16" w:rsidRDefault="002B5A16" w:rsidP="002B5A16">
            <w:pPr>
              <w:jc w:val="right"/>
              <w:rPr>
                <w:rFonts w:ascii="Arial" w:hAnsi="Arial" w:cs="Arial"/>
                <w:lang w:eastAsia="en-AU"/>
              </w:rPr>
            </w:pPr>
            <w:r>
              <w:rPr>
                <w:rFonts w:ascii="Arial" w:hAnsi="Arial" w:cs="Arial"/>
                <w:lang w:eastAsia="en-AU"/>
              </w:rPr>
              <w:t>0</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48,640</w:t>
            </w:r>
          </w:p>
        </w:tc>
      </w:tr>
      <w:tr w:rsidR="002B5A16" w:rsidRPr="00B739B9" w:rsidTr="002B5A16">
        <w:trPr>
          <w:trHeight w:val="245"/>
          <w:jc w:val="center"/>
        </w:trPr>
        <w:tc>
          <w:tcPr>
            <w:tcW w:w="1000" w:type="pct"/>
            <w:shd w:val="clear" w:color="auto" w:fill="auto"/>
          </w:tcPr>
          <w:p w:rsidR="002B5A16" w:rsidRPr="00F45195" w:rsidRDefault="002B5A16" w:rsidP="002B5A16">
            <w:pPr>
              <w:jc w:val="both"/>
              <w:rPr>
                <w:rFonts w:ascii="Arial" w:hAnsi="Arial" w:cs="Arial"/>
              </w:rPr>
            </w:pPr>
            <w:r>
              <w:rPr>
                <w:rFonts w:ascii="Arial" w:hAnsi="Arial" w:cs="Arial"/>
              </w:rPr>
              <w:t>Total</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2,644,001</w:t>
            </w:r>
          </w:p>
        </w:tc>
        <w:tc>
          <w:tcPr>
            <w:tcW w:w="1000" w:type="pct"/>
            <w:shd w:val="clear" w:color="auto" w:fill="auto"/>
          </w:tcPr>
          <w:p w:rsidR="002B5A16" w:rsidRPr="00F45195" w:rsidRDefault="002B5A16" w:rsidP="002B5A16">
            <w:pPr>
              <w:jc w:val="right"/>
              <w:rPr>
                <w:rFonts w:ascii="Arial" w:hAnsi="Arial" w:cs="Arial"/>
                <w:lang w:eastAsia="en-AU"/>
              </w:rPr>
            </w:pPr>
            <w:r>
              <w:rPr>
                <w:rFonts w:ascii="Arial" w:hAnsi="Arial" w:cs="Arial"/>
                <w:lang w:eastAsia="en-AU"/>
              </w:rPr>
              <w:t>389,500</w:t>
            </w:r>
          </w:p>
        </w:tc>
        <w:tc>
          <w:tcPr>
            <w:tcW w:w="1000" w:type="pct"/>
          </w:tcPr>
          <w:p w:rsidR="002B5A16" w:rsidRPr="00F45195" w:rsidRDefault="002B5A16" w:rsidP="002B5A16">
            <w:pPr>
              <w:jc w:val="right"/>
              <w:rPr>
                <w:rFonts w:ascii="Arial" w:hAnsi="Arial" w:cs="Arial"/>
                <w:lang w:eastAsia="en-AU"/>
              </w:rPr>
            </w:pPr>
            <w:r>
              <w:rPr>
                <w:rFonts w:ascii="Arial" w:hAnsi="Arial" w:cs="Arial"/>
                <w:lang w:eastAsia="en-AU"/>
              </w:rPr>
              <w:t>343,063</w:t>
            </w:r>
          </w:p>
        </w:tc>
        <w:tc>
          <w:tcPr>
            <w:tcW w:w="1000" w:type="pct"/>
            <w:shd w:val="clear" w:color="auto" w:fill="auto"/>
          </w:tcPr>
          <w:p w:rsidR="002B5A16" w:rsidRDefault="002B5A16" w:rsidP="002B5A16">
            <w:pPr>
              <w:jc w:val="right"/>
              <w:rPr>
                <w:rFonts w:ascii="Arial" w:hAnsi="Arial" w:cs="Arial"/>
                <w:lang w:eastAsia="en-AU"/>
              </w:rPr>
            </w:pPr>
            <w:r>
              <w:rPr>
                <w:rFonts w:ascii="Arial" w:hAnsi="Arial" w:cs="Arial"/>
                <w:lang w:eastAsia="en-AU"/>
              </w:rPr>
              <w:t>3,376,565</w:t>
            </w:r>
          </w:p>
        </w:tc>
      </w:tr>
    </w:tbl>
    <w:p w:rsidR="002B5A16" w:rsidRPr="00173186" w:rsidRDefault="002B5A16" w:rsidP="002B5A16">
      <w:pPr>
        <w:pStyle w:val="Table"/>
        <w:rPr>
          <w:rFonts w:ascii="Arial" w:hAnsi="Arial"/>
        </w:rPr>
      </w:pPr>
      <w:r w:rsidRPr="00173186">
        <w:rPr>
          <w:rFonts w:ascii="Arial" w:hAnsi="Arial"/>
        </w:rPr>
        <w:t>Source: DAF, 2017; Dougal Russell</w:t>
      </w:r>
      <w:r>
        <w:rPr>
          <w:rFonts w:ascii="Arial" w:hAnsi="Arial"/>
        </w:rPr>
        <w:t xml:space="preserve"> and Rod Edmonds, </w:t>
      </w:r>
      <w:r w:rsidRPr="00173186">
        <w:rPr>
          <w:rFonts w:ascii="Arial" w:hAnsi="Arial"/>
        </w:rPr>
        <w:t>pers. comm., May 2017</w:t>
      </w:r>
    </w:p>
    <w:p w:rsidR="002B5A16" w:rsidRPr="00173186" w:rsidRDefault="002B5A16" w:rsidP="000D5A34">
      <w:pPr>
        <w:pStyle w:val="Table"/>
        <w:numPr>
          <w:ilvl w:val="0"/>
          <w:numId w:val="63"/>
        </w:numPr>
        <w:spacing w:after="240"/>
        <w:ind w:left="993"/>
        <w:jc w:val="left"/>
        <w:rPr>
          <w:rFonts w:ascii="Arial" w:hAnsi="Arial"/>
        </w:rPr>
      </w:pPr>
      <w:r w:rsidRPr="00173186">
        <w:rPr>
          <w:rFonts w:ascii="Arial" w:hAnsi="Arial"/>
        </w:rPr>
        <w:t>‘Other’ includes contributions from Royal Sat Company, Spain</w:t>
      </w:r>
      <w:r>
        <w:rPr>
          <w:rFonts w:ascii="Arial" w:hAnsi="Arial"/>
        </w:rPr>
        <w:t xml:space="preserve">. </w:t>
      </w:r>
      <w:r w:rsidRPr="00173186">
        <w:rPr>
          <w:rFonts w:ascii="Arial" w:eastAsia="Calibri" w:hAnsi="Arial"/>
          <w:szCs w:val="22"/>
        </w:rPr>
        <w:t xml:space="preserve"> </w:t>
      </w:r>
    </w:p>
    <w:p w:rsidR="002B5A16" w:rsidRPr="00647709" w:rsidRDefault="002B5A16" w:rsidP="00A66BB1">
      <w:pPr>
        <w:spacing w:after="240"/>
        <w:rPr>
          <w:rFonts w:ascii="Arial" w:hAnsi="Arial" w:cs="Arial"/>
          <w:b/>
          <w:sz w:val="24"/>
        </w:rPr>
      </w:pPr>
      <w:r w:rsidRPr="00647709">
        <w:rPr>
          <w:rFonts w:ascii="Arial" w:hAnsi="Arial" w:cs="Arial"/>
          <w:b/>
          <w:sz w:val="24"/>
        </w:rPr>
        <w:t>Program Management Costs</w:t>
      </w:r>
    </w:p>
    <w:p w:rsidR="002B5A16" w:rsidRPr="00173186" w:rsidRDefault="002B5A16" w:rsidP="00A66BB1">
      <w:pPr>
        <w:spacing w:after="240"/>
        <w:rPr>
          <w:rFonts w:ascii="Arial" w:eastAsia="Calibri" w:hAnsi="Arial" w:cs="Arial"/>
        </w:rPr>
      </w:pPr>
      <w:r w:rsidRPr="00173186">
        <w:rPr>
          <w:rFonts w:ascii="Arial" w:hAnsi="Arial" w:cs="Arial"/>
        </w:rPr>
        <w:t xml:space="preserve">For the DAF investment, the management and overhead costs for the investment are already built into the nominal $ amounts appearing in Table 5. </w:t>
      </w:r>
    </w:p>
    <w:p w:rsidR="002B5A16" w:rsidRDefault="002B5A16" w:rsidP="00A66BB1">
      <w:pPr>
        <w:spacing w:after="240"/>
        <w:rPr>
          <w:rFonts w:ascii="Arial" w:hAnsi="Arial" w:cs="Arial"/>
          <w:color w:val="000000" w:themeColor="text1"/>
        </w:rPr>
      </w:pPr>
      <w:r w:rsidRPr="00C821E6">
        <w:rPr>
          <w:rFonts w:ascii="Arial" w:hAnsi="Arial" w:cs="Arial"/>
          <w:color w:val="000000" w:themeColor="text1"/>
        </w:rPr>
        <w:t>For H</w:t>
      </w:r>
      <w:r>
        <w:rPr>
          <w:rFonts w:ascii="Arial" w:hAnsi="Arial" w:cs="Arial"/>
          <w:color w:val="000000" w:themeColor="text1"/>
        </w:rPr>
        <w:t xml:space="preserve">RDC </w:t>
      </w:r>
      <w:r w:rsidRPr="00C821E6">
        <w:rPr>
          <w:rFonts w:ascii="Arial" w:hAnsi="Arial" w:cs="Arial"/>
          <w:color w:val="000000" w:themeColor="text1"/>
        </w:rPr>
        <w:t>investment the cost of managing the</w:t>
      </w:r>
      <w:r>
        <w:rPr>
          <w:rFonts w:ascii="Arial" w:hAnsi="Arial" w:cs="Arial"/>
          <w:color w:val="000000" w:themeColor="text1"/>
        </w:rPr>
        <w:t xml:space="preserve">ir contribution also are already built into the $ nominal amounts that appear in Table 5. The Table 5 estimates were derived by applying </w:t>
      </w:r>
      <w:r w:rsidRPr="00C821E6">
        <w:rPr>
          <w:rFonts w:ascii="Arial" w:hAnsi="Arial" w:cs="Arial"/>
          <w:color w:val="000000" w:themeColor="text1"/>
        </w:rPr>
        <w:t>a management cost multiplier (1.1227)</w:t>
      </w:r>
      <w:r>
        <w:rPr>
          <w:rFonts w:ascii="Arial" w:hAnsi="Arial" w:cs="Arial"/>
          <w:color w:val="000000" w:themeColor="text1"/>
        </w:rPr>
        <w:t xml:space="preserve"> to the original nominal cash expenditure. The multiplier </w:t>
      </w:r>
      <w:r w:rsidRPr="00C821E6">
        <w:rPr>
          <w:rFonts w:ascii="Arial" w:hAnsi="Arial" w:cs="Arial"/>
          <w:color w:val="000000" w:themeColor="text1"/>
        </w:rPr>
        <w:t xml:space="preserve">was </w:t>
      </w:r>
      <w:r w:rsidRPr="00A66BB1">
        <w:rPr>
          <w:rFonts w:ascii="Arial" w:hAnsi="Arial" w:cs="Arial"/>
        </w:rPr>
        <w:t>estimated</w:t>
      </w:r>
      <w:r w:rsidRPr="00C821E6">
        <w:rPr>
          <w:rFonts w:ascii="Arial" w:hAnsi="Arial" w:cs="Arial"/>
          <w:color w:val="000000" w:themeColor="text1"/>
        </w:rPr>
        <w:t xml:space="preserve"> based on the reported share of overhead costs including ‘employee benefits’ in total H</w:t>
      </w:r>
      <w:r>
        <w:rPr>
          <w:rFonts w:ascii="Arial" w:hAnsi="Arial" w:cs="Arial"/>
          <w:color w:val="000000" w:themeColor="text1"/>
        </w:rPr>
        <w:t xml:space="preserve">IAL </w:t>
      </w:r>
      <w:r w:rsidRPr="00C821E6">
        <w:rPr>
          <w:rFonts w:ascii="Arial" w:hAnsi="Arial" w:cs="Arial"/>
          <w:color w:val="000000" w:themeColor="text1"/>
        </w:rPr>
        <w:t>expenditure (</w:t>
      </w:r>
      <w:r>
        <w:rPr>
          <w:rFonts w:ascii="Arial" w:hAnsi="Arial" w:cs="Arial"/>
          <w:color w:val="000000" w:themeColor="text1"/>
        </w:rPr>
        <w:t>HIAL</w:t>
      </w:r>
      <w:r w:rsidRPr="00C821E6">
        <w:rPr>
          <w:rFonts w:ascii="Arial" w:hAnsi="Arial" w:cs="Arial"/>
          <w:color w:val="000000" w:themeColor="text1"/>
        </w:rPr>
        <w:t xml:space="preserve">, 2016). </w:t>
      </w:r>
      <w:r>
        <w:rPr>
          <w:rFonts w:ascii="Arial" w:hAnsi="Arial" w:cs="Arial"/>
          <w:color w:val="000000" w:themeColor="text1"/>
        </w:rPr>
        <w:t>The assumption is made that the HRDC management multiplier in the past investment period would have been roughly equivalent to that of HIAL today.</w:t>
      </w:r>
    </w:p>
    <w:p w:rsidR="002B5A16" w:rsidRPr="00647709" w:rsidRDefault="002B5A16" w:rsidP="00A66BB1">
      <w:pPr>
        <w:spacing w:after="240"/>
        <w:rPr>
          <w:rFonts w:ascii="Arial" w:hAnsi="Arial" w:cs="Arial"/>
          <w:b/>
          <w:color w:val="000000" w:themeColor="text1"/>
          <w:sz w:val="24"/>
        </w:rPr>
      </w:pPr>
      <w:r w:rsidRPr="00647709">
        <w:rPr>
          <w:rFonts w:ascii="Arial" w:hAnsi="Arial" w:cs="Arial"/>
          <w:b/>
          <w:color w:val="000000" w:themeColor="text1"/>
          <w:sz w:val="24"/>
        </w:rPr>
        <w:t xml:space="preserve">Real Investment </w:t>
      </w:r>
      <w:r w:rsidRPr="00A66BB1">
        <w:rPr>
          <w:rFonts w:ascii="Arial" w:hAnsi="Arial" w:cs="Arial"/>
          <w:b/>
          <w:sz w:val="24"/>
        </w:rPr>
        <w:t>and</w:t>
      </w:r>
      <w:r w:rsidRPr="00647709">
        <w:rPr>
          <w:rFonts w:ascii="Arial" w:hAnsi="Arial" w:cs="Arial"/>
          <w:b/>
          <w:color w:val="000000" w:themeColor="text1"/>
          <w:sz w:val="24"/>
        </w:rPr>
        <w:t xml:space="preserve"> Extension Costs  </w:t>
      </w:r>
    </w:p>
    <w:p w:rsidR="002B5A16" w:rsidRPr="00C821E6" w:rsidRDefault="002B5A16" w:rsidP="00A66BB1">
      <w:pPr>
        <w:spacing w:after="240"/>
        <w:rPr>
          <w:rFonts w:ascii="Arial" w:hAnsi="Arial" w:cs="Arial"/>
        </w:rPr>
      </w:pPr>
      <w:r>
        <w:rPr>
          <w:rFonts w:ascii="Arial" w:hAnsi="Arial" w:cs="Arial"/>
          <w:color w:val="000000" w:themeColor="text1"/>
        </w:rPr>
        <w:t xml:space="preserve">The </w:t>
      </w:r>
      <w:r w:rsidRPr="00A66BB1">
        <w:rPr>
          <w:rFonts w:ascii="Arial" w:hAnsi="Arial" w:cs="Arial"/>
        </w:rPr>
        <w:t>investment</w:t>
      </w:r>
      <w:r>
        <w:rPr>
          <w:rFonts w:ascii="Arial" w:hAnsi="Arial" w:cs="Arial"/>
          <w:color w:val="000000" w:themeColor="text1"/>
        </w:rPr>
        <w:t xml:space="preserve"> costs in Table 5 are in nominal $ terms.  </w:t>
      </w:r>
      <w:r w:rsidRPr="00C821E6">
        <w:rPr>
          <w:rFonts w:ascii="Arial" w:hAnsi="Arial" w:cs="Arial"/>
          <w:color w:val="000000" w:themeColor="text1"/>
        </w:rPr>
        <w:t xml:space="preserve">For the purposes of the investment analysis, the investment costs of all parties were expressed in 2016/17 $ terms using the </w:t>
      </w:r>
      <w:r>
        <w:rPr>
          <w:rFonts w:ascii="Arial" w:hAnsi="Arial" w:cs="Arial"/>
          <w:color w:val="000000" w:themeColor="text1"/>
        </w:rPr>
        <w:t>Implicit Gross Domestic Product (GDP) d</w:t>
      </w:r>
      <w:r w:rsidRPr="00C821E6">
        <w:rPr>
          <w:rFonts w:ascii="Arial" w:hAnsi="Arial" w:cs="Arial"/>
          <w:color w:val="000000" w:themeColor="text1"/>
        </w:rPr>
        <w:t xml:space="preserve">eflator index. </w:t>
      </w:r>
      <w:r w:rsidRPr="001D7412">
        <w:rPr>
          <w:rFonts w:ascii="Arial" w:hAnsi="Arial" w:cs="Arial"/>
        </w:rPr>
        <w:t xml:space="preserve">No additional costs of extension were included as the </w:t>
      </w:r>
      <w:r>
        <w:rPr>
          <w:rFonts w:ascii="Arial" w:hAnsi="Arial" w:cs="Arial"/>
        </w:rPr>
        <w:t>QG plum has been commercialised and any further extension or promotional costs would be incurred by and recouped by Nutrafruit.</w:t>
      </w:r>
      <w:r w:rsidRPr="001D7412">
        <w:rPr>
          <w:rFonts w:ascii="Arial" w:hAnsi="Arial" w:cs="Arial"/>
        </w:rPr>
        <w:t xml:space="preserve">   </w:t>
      </w:r>
    </w:p>
    <w:p w:rsidR="002B5A16" w:rsidRPr="00A66BB1" w:rsidRDefault="002B5A16" w:rsidP="00A66BB1">
      <w:pPr>
        <w:spacing w:after="240"/>
        <w:rPr>
          <w:rFonts w:ascii="Arial" w:hAnsi="Arial" w:cs="Arial"/>
          <w:b/>
          <w:sz w:val="40"/>
          <w:szCs w:val="40"/>
        </w:rPr>
      </w:pPr>
      <w:bookmarkStart w:id="516" w:name="_Toc487018700"/>
      <w:r w:rsidRPr="00A66BB1">
        <w:rPr>
          <w:rFonts w:ascii="Arial" w:hAnsi="Arial" w:cs="Arial"/>
          <w:b/>
          <w:sz w:val="40"/>
          <w:szCs w:val="40"/>
        </w:rPr>
        <w:t>5. Impacts</w:t>
      </w:r>
      <w:bookmarkEnd w:id="516"/>
    </w:p>
    <w:p w:rsidR="002B5A16" w:rsidRDefault="002B5A16" w:rsidP="00A66BB1">
      <w:pPr>
        <w:spacing w:after="240"/>
        <w:rPr>
          <w:rFonts w:ascii="Arial" w:hAnsi="Arial" w:cs="Arial"/>
        </w:rPr>
      </w:pPr>
      <w:r w:rsidRPr="00C821E6">
        <w:rPr>
          <w:rFonts w:ascii="Arial" w:hAnsi="Arial" w:cs="Arial"/>
        </w:rPr>
        <w:t xml:space="preserve">The principal impact </w:t>
      </w:r>
      <w:r>
        <w:rPr>
          <w:rFonts w:ascii="Arial" w:hAnsi="Arial" w:cs="Arial"/>
        </w:rPr>
        <w:t xml:space="preserve">of the research and development (R&amp;D) investment in </w:t>
      </w:r>
      <w:r w:rsidRPr="00C821E6">
        <w:rPr>
          <w:rFonts w:ascii="Arial" w:hAnsi="Arial" w:cs="Arial"/>
        </w:rPr>
        <w:t>plum breedin</w:t>
      </w:r>
      <w:r>
        <w:rPr>
          <w:rFonts w:ascii="Arial" w:hAnsi="Arial" w:cs="Arial"/>
        </w:rPr>
        <w:t>g</w:t>
      </w:r>
      <w:r w:rsidRPr="00C821E6">
        <w:rPr>
          <w:rFonts w:ascii="Arial" w:hAnsi="Arial" w:cs="Arial"/>
        </w:rPr>
        <w:t xml:space="preserve"> </w:t>
      </w:r>
      <w:r>
        <w:rPr>
          <w:rFonts w:ascii="Arial" w:hAnsi="Arial" w:cs="Arial"/>
        </w:rPr>
        <w:t>has been from the commercialisation of the QG plum in the year 2010. The plum is already being grown in various locations in Australia and potential contracts are being developed for it to be grown overseas in a range of locations. The plum is commanding a premium price in the Australian fresh stonefruit market and added value products are being developed. The higher prices to growers are only marginally offset by the licensing costs per tree paid by growers</w:t>
      </w:r>
      <w:r w:rsidRPr="00C821E6">
        <w:rPr>
          <w:rFonts w:ascii="Arial" w:hAnsi="Arial" w:cs="Arial"/>
        </w:rPr>
        <w:t>.</w:t>
      </w:r>
      <w:r>
        <w:rPr>
          <w:rFonts w:ascii="Arial" w:hAnsi="Arial" w:cs="Arial"/>
        </w:rPr>
        <w:t xml:space="preserve"> In addition to the increase in profitability of growing this plum in Australia, there is likely to be benefits to Australia for royalties paid by growers outside Australia to Nutrafruit with a royalty passed on to the Queensland Government</w:t>
      </w:r>
    </w:p>
    <w:p w:rsidR="002B5A16" w:rsidRPr="00C821E6" w:rsidRDefault="002B5A16" w:rsidP="00A66BB1">
      <w:pPr>
        <w:widowControl w:val="0"/>
        <w:spacing w:after="240"/>
        <w:rPr>
          <w:rFonts w:ascii="Arial" w:hAnsi="Arial" w:cs="Arial"/>
        </w:rPr>
      </w:pPr>
      <w:r>
        <w:rPr>
          <w:rFonts w:ascii="Arial" w:hAnsi="Arial" w:cs="Arial"/>
        </w:rPr>
        <w:t>T</w:t>
      </w:r>
      <w:r w:rsidRPr="00C821E6">
        <w:rPr>
          <w:rFonts w:ascii="Arial" w:hAnsi="Arial" w:cs="Arial"/>
        </w:rPr>
        <w:t xml:space="preserve">he </w:t>
      </w:r>
      <w:r>
        <w:rPr>
          <w:rFonts w:ascii="Arial" w:hAnsi="Arial" w:cs="Arial"/>
        </w:rPr>
        <w:t>existing and p</w:t>
      </w:r>
      <w:r w:rsidRPr="00C821E6">
        <w:rPr>
          <w:rFonts w:ascii="Arial" w:hAnsi="Arial" w:cs="Arial"/>
        </w:rPr>
        <w:t xml:space="preserve">otential impacts </w:t>
      </w:r>
      <w:r>
        <w:rPr>
          <w:rFonts w:ascii="Arial" w:hAnsi="Arial" w:cs="Arial"/>
        </w:rPr>
        <w:t>have been identified i</w:t>
      </w:r>
      <w:r w:rsidRPr="00C821E6">
        <w:rPr>
          <w:rFonts w:ascii="Arial" w:hAnsi="Arial" w:cs="Arial"/>
        </w:rPr>
        <w:t xml:space="preserve">n a triple bottom line context. Table </w:t>
      </w:r>
      <w:r>
        <w:rPr>
          <w:rFonts w:ascii="Arial" w:hAnsi="Arial" w:cs="Arial"/>
        </w:rPr>
        <w:t>6</w:t>
      </w:r>
      <w:r w:rsidRPr="00C821E6">
        <w:rPr>
          <w:rFonts w:ascii="Arial" w:hAnsi="Arial" w:cs="Arial"/>
        </w:rPr>
        <w:t xml:space="preserve"> provides a summary of the principal types of impacts associated with economic, environmental and social </w:t>
      </w:r>
      <w:r>
        <w:rPr>
          <w:rFonts w:ascii="Arial" w:hAnsi="Arial" w:cs="Arial"/>
        </w:rPr>
        <w:t xml:space="preserve">impact </w:t>
      </w:r>
      <w:r w:rsidRPr="00C821E6">
        <w:rPr>
          <w:rFonts w:ascii="Arial" w:hAnsi="Arial" w:cs="Arial"/>
        </w:rPr>
        <w:t xml:space="preserve">categories. </w:t>
      </w:r>
    </w:p>
    <w:p w:rsidR="002B5A16" w:rsidRPr="00A66BB1" w:rsidRDefault="002B5A16" w:rsidP="00A66BB1">
      <w:pPr>
        <w:pStyle w:val="Caption"/>
        <w:spacing w:after="240"/>
        <w:jc w:val="center"/>
        <w:rPr>
          <w:rFonts w:ascii="Arial" w:hAnsi="Arial"/>
          <w:b w:val="0"/>
          <w:i/>
          <w:color w:val="000000" w:themeColor="text1"/>
          <w:sz w:val="22"/>
          <w:szCs w:val="22"/>
        </w:rPr>
      </w:pPr>
      <w:bookmarkStart w:id="517" w:name="_Toc487018711"/>
      <w:r w:rsidRPr="00A66BB1">
        <w:rPr>
          <w:rFonts w:ascii="Arial" w:hAnsi="Arial"/>
          <w:b w:val="0"/>
          <w:color w:val="000000" w:themeColor="text1"/>
          <w:sz w:val="22"/>
          <w:szCs w:val="22"/>
        </w:rPr>
        <w:t xml:space="preserve">Table </w:t>
      </w:r>
      <w:r w:rsidR="00913E1D" w:rsidRPr="00005AA0">
        <w:rPr>
          <w:rFonts w:ascii="Arial" w:hAnsi="Arial"/>
          <w:b w:val="0"/>
          <w:color w:val="000000" w:themeColor="text1"/>
          <w:sz w:val="22"/>
          <w:szCs w:val="22"/>
        </w:rPr>
        <w:t>6</w:t>
      </w:r>
      <w:r w:rsidRPr="00A66BB1">
        <w:rPr>
          <w:rFonts w:ascii="Arial" w:hAnsi="Arial"/>
          <w:b w:val="0"/>
          <w:color w:val="000000" w:themeColor="text1"/>
          <w:sz w:val="22"/>
          <w:szCs w:val="22"/>
        </w:rPr>
        <w:t>: Triple Bottom Line Categories of Principal Impacts from the Development of the Queen Garnet Plum</w:t>
      </w:r>
      <w:bookmarkEnd w:id="517"/>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647"/>
        <w:gridCol w:w="7229"/>
      </w:tblGrid>
      <w:tr w:rsidR="002B5A16" w:rsidRPr="005B630D" w:rsidTr="002B5A16">
        <w:trPr>
          <w:trHeight w:val="58"/>
        </w:trPr>
        <w:tc>
          <w:tcPr>
            <w:tcW w:w="1647" w:type="dxa"/>
            <w:tcBorders>
              <w:bottom w:val="single" w:sz="4" w:space="0" w:color="auto"/>
            </w:tcBorders>
          </w:tcPr>
          <w:p w:rsidR="002B5A16" w:rsidRPr="001E229E" w:rsidRDefault="002B5A16" w:rsidP="002B5A16">
            <w:pPr>
              <w:widowControl w:val="0"/>
              <w:rPr>
                <w:rFonts w:ascii="Arial" w:hAnsi="Arial" w:cs="Arial"/>
                <w:sz w:val="22"/>
                <w:szCs w:val="22"/>
              </w:rPr>
            </w:pPr>
            <w:r w:rsidRPr="001E229E">
              <w:rPr>
                <w:rFonts w:ascii="Arial" w:hAnsi="Arial" w:cs="Arial"/>
                <w:sz w:val="22"/>
                <w:szCs w:val="22"/>
              </w:rPr>
              <w:t>Economic</w:t>
            </w:r>
          </w:p>
        </w:tc>
        <w:tc>
          <w:tcPr>
            <w:tcW w:w="7229" w:type="dxa"/>
            <w:tcBorders>
              <w:bottom w:val="single" w:sz="4" w:space="0" w:color="auto"/>
            </w:tcBorders>
          </w:tcPr>
          <w:p w:rsidR="002B5A16" w:rsidRPr="004A1381" w:rsidRDefault="002B5A16" w:rsidP="002B5A16">
            <w:pPr>
              <w:pStyle w:val="ListParagraph"/>
              <w:widowControl w:val="0"/>
              <w:numPr>
                <w:ilvl w:val="0"/>
                <w:numId w:val="12"/>
              </w:numPr>
              <w:suppressAutoHyphens/>
              <w:contextualSpacing w:val="0"/>
              <w:rPr>
                <w:rFonts w:ascii="Arial" w:hAnsi="Arial" w:cs="Arial"/>
                <w:sz w:val="22"/>
                <w:szCs w:val="22"/>
              </w:rPr>
            </w:pPr>
            <w:r w:rsidRPr="00240FF2">
              <w:rPr>
                <w:rFonts w:ascii="Arial" w:hAnsi="Arial" w:cs="Arial"/>
                <w:sz w:val="22"/>
                <w:szCs w:val="22"/>
              </w:rPr>
              <w:t xml:space="preserve">Increased profitability for Australian growers of the QG plum when sold fresh </w:t>
            </w:r>
            <w:r w:rsidRPr="00C46081">
              <w:rPr>
                <w:rFonts w:ascii="Arial" w:hAnsi="Arial" w:cs="Arial"/>
                <w:sz w:val="22"/>
                <w:szCs w:val="22"/>
              </w:rPr>
              <w:t xml:space="preserve">in domestic and potentially export markets, or when transformed into added value products; </w:t>
            </w:r>
            <w:r w:rsidRPr="004A1381">
              <w:rPr>
                <w:rFonts w:ascii="Arial" w:hAnsi="Arial" w:cs="Arial"/>
                <w:sz w:val="22"/>
                <w:szCs w:val="22"/>
              </w:rPr>
              <w:t>such added value products can provide a market for plums not suitable for the fresh market, so reducing wastage compared with other stonefruit.</w:t>
            </w:r>
          </w:p>
          <w:p w:rsidR="002B5A16" w:rsidRPr="001E229E" w:rsidRDefault="002B5A16" w:rsidP="002B5A16">
            <w:pPr>
              <w:pStyle w:val="ListParagraph"/>
              <w:widowControl w:val="0"/>
              <w:numPr>
                <w:ilvl w:val="0"/>
                <w:numId w:val="12"/>
              </w:numPr>
              <w:suppressAutoHyphens/>
              <w:contextualSpacing w:val="0"/>
              <w:rPr>
                <w:rFonts w:ascii="Arial" w:hAnsi="Arial" w:cs="Arial"/>
                <w:sz w:val="22"/>
                <w:szCs w:val="22"/>
              </w:rPr>
            </w:pPr>
            <w:r>
              <w:rPr>
                <w:rFonts w:ascii="Arial" w:hAnsi="Arial" w:cs="Arial"/>
                <w:sz w:val="22"/>
                <w:szCs w:val="22"/>
              </w:rPr>
              <w:t>Potential licensing income for the Queensland Government and Nutrafruit from overseas plantings of QG.</w:t>
            </w:r>
            <w:r w:rsidRPr="00C46081">
              <w:rPr>
                <w:rFonts w:ascii="Arial" w:hAnsi="Arial" w:cs="Arial"/>
                <w:sz w:val="22"/>
                <w:szCs w:val="22"/>
              </w:rPr>
              <w:t xml:space="preserve">  </w:t>
            </w:r>
          </w:p>
        </w:tc>
      </w:tr>
      <w:tr w:rsidR="002B5A16" w:rsidRPr="005B630D" w:rsidTr="002B5A16">
        <w:trPr>
          <w:trHeight w:val="274"/>
        </w:trPr>
        <w:tc>
          <w:tcPr>
            <w:tcW w:w="1647" w:type="dxa"/>
          </w:tcPr>
          <w:p w:rsidR="002B5A16" w:rsidRPr="001E229E" w:rsidRDefault="002B5A16" w:rsidP="002B5A16">
            <w:pPr>
              <w:widowControl w:val="0"/>
              <w:rPr>
                <w:rFonts w:ascii="Arial" w:hAnsi="Arial" w:cs="Arial"/>
                <w:sz w:val="22"/>
                <w:szCs w:val="22"/>
              </w:rPr>
            </w:pPr>
            <w:r w:rsidRPr="001E229E">
              <w:rPr>
                <w:rFonts w:ascii="Arial" w:hAnsi="Arial" w:cs="Arial"/>
                <w:sz w:val="22"/>
                <w:szCs w:val="22"/>
              </w:rPr>
              <w:t>Environmental</w:t>
            </w:r>
          </w:p>
        </w:tc>
        <w:tc>
          <w:tcPr>
            <w:tcW w:w="7229" w:type="dxa"/>
          </w:tcPr>
          <w:p w:rsidR="002B5A16" w:rsidRPr="001E229E" w:rsidRDefault="002B5A16" w:rsidP="002B5A16">
            <w:pPr>
              <w:pStyle w:val="ListParagraph"/>
              <w:widowControl w:val="0"/>
              <w:numPr>
                <w:ilvl w:val="0"/>
                <w:numId w:val="11"/>
              </w:numPr>
              <w:contextualSpacing w:val="0"/>
              <w:rPr>
                <w:rFonts w:ascii="Arial" w:hAnsi="Arial" w:cs="Arial"/>
                <w:sz w:val="22"/>
                <w:szCs w:val="22"/>
              </w:rPr>
            </w:pPr>
            <w:r w:rsidRPr="001E229E">
              <w:rPr>
                <w:rFonts w:ascii="Arial" w:hAnsi="Arial" w:cs="Arial"/>
                <w:sz w:val="22"/>
                <w:szCs w:val="22"/>
              </w:rPr>
              <w:t xml:space="preserve">Nil  </w:t>
            </w:r>
          </w:p>
        </w:tc>
      </w:tr>
      <w:tr w:rsidR="002B5A16" w:rsidRPr="005B630D" w:rsidTr="002B5A16">
        <w:tc>
          <w:tcPr>
            <w:tcW w:w="1647" w:type="dxa"/>
            <w:tcBorders>
              <w:bottom w:val="single" w:sz="4" w:space="0" w:color="auto"/>
            </w:tcBorders>
          </w:tcPr>
          <w:p w:rsidR="002B5A16" w:rsidRPr="001E229E" w:rsidRDefault="002B5A16" w:rsidP="002B5A16">
            <w:pPr>
              <w:widowControl w:val="0"/>
              <w:rPr>
                <w:rFonts w:ascii="Arial" w:hAnsi="Arial" w:cs="Arial"/>
                <w:sz w:val="22"/>
                <w:szCs w:val="22"/>
              </w:rPr>
            </w:pPr>
            <w:r w:rsidRPr="001E229E">
              <w:rPr>
                <w:rFonts w:ascii="Arial" w:hAnsi="Arial" w:cs="Arial"/>
                <w:sz w:val="22"/>
                <w:szCs w:val="22"/>
              </w:rPr>
              <w:t>Social</w:t>
            </w:r>
          </w:p>
        </w:tc>
        <w:tc>
          <w:tcPr>
            <w:tcW w:w="7229" w:type="dxa"/>
            <w:tcBorders>
              <w:bottom w:val="single" w:sz="4" w:space="0" w:color="auto"/>
            </w:tcBorders>
          </w:tcPr>
          <w:p w:rsidR="002B5A16" w:rsidRPr="00EE3AF2" w:rsidRDefault="002B5A16" w:rsidP="002B5A16">
            <w:pPr>
              <w:pStyle w:val="ListParagraph"/>
              <w:widowControl w:val="0"/>
              <w:numPr>
                <w:ilvl w:val="0"/>
                <w:numId w:val="12"/>
              </w:numPr>
              <w:suppressAutoHyphens/>
              <w:contextualSpacing w:val="0"/>
              <w:rPr>
                <w:rFonts w:ascii="Arial" w:hAnsi="Arial" w:cs="Arial"/>
                <w:sz w:val="22"/>
                <w:szCs w:val="22"/>
              </w:rPr>
            </w:pPr>
            <w:r w:rsidRPr="004A1381">
              <w:rPr>
                <w:rFonts w:ascii="Arial" w:hAnsi="Arial" w:cs="Arial"/>
                <w:sz w:val="22"/>
                <w:szCs w:val="22"/>
              </w:rPr>
              <w:t>L</w:t>
            </w:r>
            <w:r w:rsidRPr="00EE3AF2">
              <w:rPr>
                <w:rFonts w:ascii="Arial" w:hAnsi="Arial" w:cs="Arial"/>
                <w:sz w:val="22"/>
                <w:szCs w:val="22"/>
              </w:rPr>
              <w:t>icensing income to Queensland Government leading to benefits from increased investment in horticultural R&amp;D; this is because Queensland Government royalties are reinvested into horticulture R&amp;D, often leveraging other external funding resources.</w:t>
            </w:r>
          </w:p>
          <w:p w:rsidR="002B5A16" w:rsidRDefault="002B5A16" w:rsidP="002B5A16">
            <w:pPr>
              <w:pStyle w:val="ListParagraph"/>
              <w:numPr>
                <w:ilvl w:val="0"/>
                <w:numId w:val="11"/>
              </w:numPr>
              <w:suppressAutoHyphens/>
              <w:contextualSpacing w:val="0"/>
              <w:rPr>
                <w:rFonts w:ascii="Arial" w:hAnsi="Arial" w:cs="Arial"/>
                <w:sz w:val="22"/>
                <w:szCs w:val="22"/>
              </w:rPr>
            </w:pPr>
            <w:r w:rsidRPr="008413D9">
              <w:rPr>
                <w:rFonts w:ascii="Arial" w:hAnsi="Arial" w:cs="Arial"/>
                <w:sz w:val="22"/>
                <w:szCs w:val="22"/>
              </w:rPr>
              <w:t xml:space="preserve">Enhanced capacity in plum breeding research. </w:t>
            </w:r>
          </w:p>
          <w:p w:rsidR="002B5A16" w:rsidRPr="001E229E" w:rsidRDefault="002B5A16" w:rsidP="002B5A16">
            <w:pPr>
              <w:pStyle w:val="ListParagraph"/>
              <w:numPr>
                <w:ilvl w:val="0"/>
                <w:numId w:val="11"/>
              </w:numPr>
              <w:suppressAutoHyphens/>
              <w:contextualSpacing w:val="0"/>
              <w:rPr>
                <w:rFonts w:ascii="Arial" w:hAnsi="Arial" w:cs="Arial"/>
                <w:sz w:val="22"/>
                <w:szCs w:val="22"/>
              </w:rPr>
            </w:pPr>
            <w:r>
              <w:rPr>
                <w:rFonts w:ascii="Arial" w:hAnsi="Arial" w:cs="Arial"/>
                <w:sz w:val="22"/>
                <w:szCs w:val="22"/>
              </w:rPr>
              <w:t>I</w:t>
            </w:r>
            <w:r w:rsidRPr="001E229E">
              <w:rPr>
                <w:rFonts w:ascii="Arial" w:hAnsi="Arial" w:cs="Arial"/>
                <w:sz w:val="22"/>
                <w:szCs w:val="22"/>
              </w:rPr>
              <w:t>ncreased community well-being through the spillover effects of increased stonefruit farm profitability.</w:t>
            </w:r>
          </w:p>
          <w:p w:rsidR="002B5A16" w:rsidRPr="00847362" w:rsidRDefault="002B5A16" w:rsidP="002B5A16">
            <w:pPr>
              <w:pStyle w:val="ListParagraph"/>
              <w:numPr>
                <w:ilvl w:val="0"/>
                <w:numId w:val="11"/>
              </w:numPr>
              <w:suppressAutoHyphens/>
              <w:contextualSpacing w:val="0"/>
              <w:rPr>
                <w:rFonts w:ascii="Arial" w:hAnsi="Arial" w:cs="Arial"/>
                <w:szCs w:val="22"/>
              </w:rPr>
            </w:pPr>
            <w:r w:rsidRPr="001E229E">
              <w:rPr>
                <w:rFonts w:ascii="Arial" w:hAnsi="Arial" w:cs="Arial"/>
                <w:sz w:val="22"/>
                <w:szCs w:val="22"/>
              </w:rPr>
              <w:t xml:space="preserve">Potential health benefits to consumers from the high anti-oxidant and anthocyanin properties of </w:t>
            </w:r>
            <w:r>
              <w:rPr>
                <w:rFonts w:ascii="Arial" w:hAnsi="Arial" w:cs="Arial"/>
                <w:sz w:val="22"/>
                <w:szCs w:val="22"/>
              </w:rPr>
              <w:t xml:space="preserve">the </w:t>
            </w:r>
            <w:r w:rsidRPr="001E229E">
              <w:rPr>
                <w:rFonts w:ascii="Arial" w:hAnsi="Arial" w:cs="Arial"/>
                <w:sz w:val="22"/>
                <w:szCs w:val="22"/>
              </w:rPr>
              <w:t>QG plum.</w:t>
            </w:r>
          </w:p>
        </w:tc>
      </w:tr>
    </w:tbl>
    <w:p w:rsidR="002B5A16" w:rsidRDefault="002B5A16" w:rsidP="002B5A16">
      <w:pPr>
        <w:widowControl w:val="0"/>
        <w:rPr>
          <w:rFonts w:ascii="Arial" w:hAnsi="Arial" w:cs="Arial"/>
          <w:b/>
          <w:color w:val="FF0000"/>
          <w:sz w:val="24"/>
        </w:rPr>
      </w:pPr>
    </w:p>
    <w:p w:rsidR="002B5A16" w:rsidRPr="00C821E6" w:rsidRDefault="002B5A16" w:rsidP="00A66BB1">
      <w:pPr>
        <w:widowControl w:val="0"/>
        <w:spacing w:after="240"/>
        <w:rPr>
          <w:rFonts w:ascii="Arial" w:hAnsi="Arial" w:cs="Arial"/>
          <w:b/>
          <w:sz w:val="24"/>
        </w:rPr>
      </w:pPr>
      <w:r w:rsidRPr="00C821E6">
        <w:rPr>
          <w:rFonts w:ascii="Arial" w:hAnsi="Arial" w:cs="Arial"/>
          <w:b/>
          <w:sz w:val="24"/>
        </w:rPr>
        <w:t xml:space="preserve">Public versus Private Impacts </w:t>
      </w:r>
    </w:p>
    <w:p w:rsidR="002B5A16" w:rsidRPr="00C821E6" w:rsidRDefault="002B5A16" w:rsidP="00A66BB1">
      <w:pPr>
        <w:spacing w:after="240"/>
        <w:rPr>
          <w:rFonts w:ascii="Arial" w:hAnsi="Arial" w:cs="Arial"/>
        </w:rPr>
      </w:pPr>
      <w:r>
        <w:rPr>
          <w:rFonts w:ascii="Arial" w:hAnsi="Arial" w:cs="Arial"/>
        </w:rPr>
        <w:t xml:space="preserve">The principal impacts generated from the plum breeding investment are associated with the commercialisation of the QG plum. The impacts accrue predominantly to the private sector. Some private sector to public sector transfers are being delivered via royalty payments to the Queensland Government. </w:t>
      </w:r>
      <w:r w:rsidRPr="00C821E6">
        <w:rPr>
          <w:rFonts w:ascii="Arial" w:hAnsi="Arial" w:cs="Arial"/>
        </w:rPr>
        <w:t xml:space="preserve">Some public benefits also </w:t>
      </w:r>
      <w:r>
        <w:rPr>
          <w:rFonts w:ascii="Arial" w:hAnsi="Arial" w:cs="Arial"/>
        </w:rPr>
        <w:t xml:space="preserve">are expected in the form of increased income spillovers to Australian regional communities where the new plum is being grown. Also, there could be potential health benefits to Australians and others from consumption of the plum.  </w:t>
      </w:r>
    </w:p>
    <w:p w:rsidR="002B5A16" w:rsidRPr="0011550F" w:rsidRDefault="002B5A16" w:rsidP="00A66BB1">
      <w:pPr>
        <w:widowControl w:val="0"/>
        <w:spacing w:after="240"/>
        <w:rPr>
          <w:rFonts w:ascii="Arial" w:hAnsi="Arial" w:cs="Arial"/>
          <w:b/>
          <w:color w:val="000000" w:themeColor="text1"/>
          <w:sz w:val="24"/>
        </w:rPr>
      </w:pPr>
      <w:r w:rsidRPr="0011550F">
        <w:rPr>
          <w:rFonts w:ascii="Arial" w:hAnsi="Arial" w:cs="Arial"/>
          <w:b/>
          <w:color w:val="000000" w:themeColor="text1"/>
          <w:sz w:val="24"/>
        </w:rPr>
        <w:t xml:space="preserve">Distribution of Private Impacts </w:t>
      </w:r>
    </w:p>
    <w:p w:rsidR="002B5A16" w:rsidRPr="0011550F" w:rsidRDefault="002B5A16" w:rsidP="00A66BB1">
      <w:pPr>
        <w:spacing w:after="240"/>
        <w:rPr>
          <w:rFonts w:ascii="Arial" w:hAnsi="Arial" w:cs="Arial"/>
          <w:color w:val="000000" w:themeColor="text1"/>
        </w:rPr>
      </w:pPr>
      <w:r w:rsidRPr="0011550F">
        <w:rPr>
          <w:rFonts w:ascii="Arial" w:hAnsi="Arial" w:cs="Arial"/>
          <w:color w:val="000000" w:themeColor="text1"/>
        </w:rPr>
        <w:t>The private beneficiaries of the development of the Q</w:t>
      </w:r>
      <w:r>
        <w:rPr>
          <w:rFonts w:ascii="Arial" w:hAnsi="Arial" w:cs="Arial"/>
          <w:color w:val="000000" w:themeColor="text1"/>
        </w:rPr>
        <w:t>G</w:t>
      </w:r>
      <w:r w:rsidRPr="0011550F">
        <w:rPr>
          <w:rFonts w:ascii="Arial" w:hAnsi="Arial" w:cs="Arial"/>
          <w:color w:val="000000" w:themeColor="text1"/>
        </w:rPr>
        <w:t xml:space="preserve"> plum will be Australian and overseas growers of the plum and Nutrafruit (the Australian commercialising company).</w:t>
      </w:r>
      <w:r>
        <w:rPr>
          <w:rFonts w:ascii="Arial" w:hAnsi="Arial" w:cs="Arial"/>
          <w:color w:val="000000" w:themeColor="text1"/>
        </w:rPr>
        <w:t xml:space="preserve"> </w:t>
      </w:r>
      <w:r w:rsidRPr="0011550F">
        <w:rPr>
          <w:rFonts w:ascii="Arial" w:hAnsi="Arial" w:cs="Arial"/>
          <w:color w:val="000000" w:themeColor="text1"/>
        </w:rPr>
        <w:t xml:space="preserve">The distribution of these private benefits will be influenced by the commercial licensing agreements between the commercialising company and growers in Australia and elsewhere. Some of the Australian grower benefits will be distributed along the supply chain to distributors, </w:t>
      </w:r>
      <w:r>
        <w:rPr>
          <w:rFonts w:ascii="Arial" w:hAnsi="Arial" w:cs="Arial"/>
          <w:color w:val="000000" w:themeColor="text1"/>
        </w:rPr>
        <w:t xml:space="preserve">potential </w:t>
      </w:r>
      <w:r w:rsidRPr="0011550F">
        <w:rPr>
          <w:rFonts w:ascii="Arial" w:hAnsi="Arial" w:cs="Arial"/>
          <w:color w:val="000000" w:themeColor="text1"/>
        </w:rPr>
        <w:t>exporters and Australian and overseas consumers.</w:t>
      </w:r>
    </w:p>
    <w:p w:rsidR="002B5A16" w:rsidRPr="0011550F" w:rsidRDefault="002B5A16" w:rsidP="00A66BB1">
      <w:pPr>
        <w:widowControl w:val="0"/>
        <w:spacing w:after="240"/>
        <w:rPr>
          <w:rFonts w:ascii="Arial" w:hAnsi="Arial" w:cs="Arial"/>
          <w:b/>
          <w:color w:val="000000" w:themeColor="text1"/>
          <w:sz w:val="24"/>
        </w:rPr>
      </w:pPr>
      <w:r w:rsidRPr="0011550F">
        <w:rPr>
          <w:rFonts w:ascii="Arial" w:hAnsi="Arial" w:cs="Arial"/>
          <w:b/>
          <w:color w:val="000000" w:themeColor="text1"/>
          <w:sz w:val="24"/>
        </w:rPr>
        <w:t xml:space="preserve">Impacts on other Australian </w:t>
      </w:r>
      <w:r>
        <w:rPr>
          <w:rFonts w:ascii="Arial" w:hAnsi="Arial" w:cs="Arial"/>
          <w:b/>
          <w:color w:val="000000" w:themeColor="text1"/>
          <w:sz w:val="24"/>
        </w:rPr>
        <w:t>I</w:t>
      </w:r>
      <w:r w:rsidRPr="0011550F">
        <w:rPr>
          <w:rFonts w:ascii="Arial" w:hAnsi="Arial" w:cs="Arial"/>
          <w:b/>
          <w:color w:val="000000" w:themeColor="text1"/>
          <w:sz w:val="24"/>
        </w:rPr>
        <w:t>ndustries</w:t>
      </w:r>
    </w:p>
    <w:p w:rsidR="002B5A16" w:rsidRPr="0011550F" w:rsidRDefault="002B5A16" w:rsidP="00A66BB1">
      <w:pPr>
        <w:spacing w:after="240"/>
        <w:rPr>
          <w:rFonts w:ascii="Arial" w:hAnsi="Arial" w:cs="Arial"/>
          <w:color w:val="000000" w:themeColor="text1"/>
        </w:rPr>
      </w:pPr>
      <w:r w:rsidRPr="0011550F">
        <w:rPr>
          <w:rFonts w:ascii="Arial" w:hAnsi="Arial" w:cs="Arial"/>
          <w:color w:val="000000" w:themeColor="text1"/>
        </w:rPr>
        <w:t xml:space="preserve">It is assumed that project impacts will be confined to both existing and new growers in the Australian stonefruit industry.  </w:t>
      </w:r>
      <w:r>
        <w:rPr>
          <w:rFonts w:ascii="Arial" w:hAnsi="Arial" w:cs="Arial"/>
          <w:color w:val="000000" w:themeColor="text1"/>
        </w:rPr>
        <w:t xml:space="preserve">The manufacturing of added value products has already commenced.  </w:t>
      </w:r>
    </w:p>
    <w:p w:rsidR="002B5A16" w:rsidRPr="0011550F" w:rsidRDefault="002B5A16" w:rsidP="00A66BB1">
      <w:pPr>
        <w:widowControl w:val="0"/>
        <w:spacing w:after="240"/>
        <w:rPr>
          <w:rFonts w:ascii="Arial" w:hAnsi="Arial" w:cs="Arial"/>
          <w:b/>
          <w:color w:val="000000" w:themeColor="text1"/>
          <w:sz w:val="24"/>
        </w:rPr>
      </w:pPr>
      <w:r w:rsidRPr="0011550F">
        <w:rPr>
          <w:rFonts w:ascii="Arial" w:hAnsi="Arial" w:cs="Arial"/>
          <w:b/>
          <w:color w:val="000000" w:themeColor="text1"/>
          <w:sz w:val="24"/>
        </w:rPr>
        <w:t xml:space="preserve">Impacts Overseas </w:t>
      </w:r>
    </w:p>
    <w:p w:rsidR="002B5A16" w:rsidRDefault="002B5A16" w:rsidP="00A66BB1">
      <w:pPr>
        <w:spacing w:after="240"/>
        <w:rPr>
          <w:rFonts w:ascii="Arial" w:hAnsi="Arial" w:cs="Arial"/>
          <w:color w:val="000000" w:themeColor="text1"/>
        </w:rPr>
      </w:pPr>
      <w:r>
        <w:rPr>
          <w:rFonts w:ascii="Arial" w:hAnsi="Arial" w:cs="Arial"/>
          <w:color w:val="000000" w:themeColor="text1"/>
        </w:rPr>
        <w:t>Potential b</w:t>
      </w:r>
      <w:r w:rsidRPr="0011550F">
        <w:rPr>
          <w:rFonts w:ascii="Arial" w:hAnsi="Arial" w:cs="Arial"/>
          <w:color w:val="000000" w:themeColor="text1"/>
        </w:rPr>
        <w:t xml:space="preserve">enefits will accrue to overseas </w:t>
      </w:r>
      <w:r>
        <w:rPr>
          <w:rFonts w:ascii="Arial" w:hAnsi="Arial" w:cs="Arial"/>
          <w:color w:val="000000" w:themeColor="text1"/>
        </w:rPr>
        <w:t xml:space="preserve">licensees </w:t>
      </w:r>
      <w:r w:rsidRPr="0011550F">
        <w:rPr>
          <w:rFonts w:ascii="Arial" w:hAnsi="Arial" w:cs="Arial"/>
          <w:color w:val="000000" w:themeColor="text1"/>
        </w:rPr>
        <w:t>of the Q</w:t>
      </w:r>
      <w:r>
        <w:rPr>
          <w:rFonts w:ascii="Arial" w:hAnsi="Arial" w:cs="Arial"/>
          <w:color w:val="000000" w:themeColor="text1"/>
        </w:rPr>
        <w:t>G</w:t>
      </w:r>
      <w:r w:rsidRPr="0011550F">
        <w:rPr>
          <w:rFonts w:ascii="Arial" w:hAnsi="Arial" w:cs="Arial"/>
          <w:color w:val="000000" w:themeColor="text1"/>
        </w:rPr>
        <w:t xml:space="preserve"> plum due to its higher price and potential/perceived health benefits.  </w:t>
      </w:r>
    </w:p>
    <w:p w:rsidR="00C457B8" w:rsidRDefault="00C457B8">
      <w:pPr>
        <w:spacing w:line="276" w:lineRule="auto"/>
        <w:rPr>
          <w:rFonts w:ascii="Arial" w:hAnsi="Arial" w:cs="Arial"/>
          <w:b/>
          <w:sz w:val="24"/>
        </w:rPr>
      </w:pPr>
      <w:r>
        <w:rPr>
          <w:rFonts w:ascii="Arial" w:hAnsi="Arial" w:cs="Arial"/>
          <w:b/>
          <w:sz w:val="24"/>
        </w:rPr>
        <w:br w:type="page"/>
      </w:r>
    </w:p>
    <w:p w:rsidR="002B5A16" w:rsidRPr="0011550F" w:rsidRDefault="002B5A16" w:rsidP="00A66BB1">
      <w:pPr>
        <w:widowControl w:val="0"/>
        <w:spacing w:after="240"/>
        <w:rPr>
          <w:rFonts w:ascii="Arial" w:hAnsi="Arial" w:cs="Arial"/>
          <w:b/>
          <w:sz w:val="24"/>
        </w:rPr>
      </w:pPr>
      <w:r w:rsidRPr="0011550F">
        <w:rPr>
          <w:rFonts w:ascii="Arial" w:hAnsi="Arial" w:cs="Arial"/>
          <w:b/>
          <w:sz w:val="24"/>
        </w:rPr>
        <w:t xml:space="preserve">Match with National and State </w:t>
      </w:r>
      <w:r w:rsidRPr="00A66BB1">
        <w:rPr>
          <w:rFonts w:ascii="Arial" w:hAnsi="Arial" w:cs="Arial"/>
          <w:b/>
          <w:color w:val="000000" w:themeColor="text1"/>
          <w:sz w:val="24"/>
        </w:rPr>
        <w:t>Priorities</w:t>
      </w:r>
    </w:p>
    <w:p w:rsidR="002B5A16" w:rsidRDefault="002B5A16" w:rsidP="002B5A16">
      <w:pPr>
        <w:rPr>
          <w:rFonts w:ascii="Arial" w:hAnsi="Arial" w:cs="Arial"/>
          <w:bCs/>
          <w:lang w:val="en-GB"/>
        </w:rPr>
      </w:pPr>
      <w:r w:rsidRPr="00C821E6">
        <w:rPr>
          <w:rFonts w:ascii="Arial" w:hAnsi="Arial" w:cs="Arial"/>
          <w:bCs/>
          <w:lang w:val="en-GB"/>
        </w:rPr>
        <w:t>The Australian Government’s Science and Research Priorities and Rural R</w:t>
      </w:r>
      <w:r>
        <w:rPr>
          <w:rFonts w:ascii="Arial" w:hAnsi="Arial" w:cs="Arial"/>
          <w:bCs/>
          <w:lang w:val="en-GB"/>
        </w:rPr>
        <w:t xml:space="preserve">esearch, </w:t>
      </w:r>
      <w:r w:rsidRPr="00C821E6">
        <w:rPr>
          <w:rFonts w:ascii="Arial" w:hAnsi="Arial" w:cs="Arial"/>
          <w:bCs/>
          <w:lang w:val="en-GB"/>
        </w:rPr>
        <w:t>D</w:t>
      </w:r>
      <w:r>
        <w:rPr>
          <w:rFonts w:ascii="Arial" w:hAnsi="Arial" w:cs="Arial"/>
          <w:bCs/>
          <w:lang w:val="en-GB"/>
        </w:rPr>
        <w:t xml:space="preserve">evelopment and </w:t>
      </w:r>
      <w:r w:rsidRPr="00C821E6">
        <w:rPr>
          <w:rFonts w:ascii="Arial" w:hAnsi="Arial" w:cs="Arial"/>
          <w:bCs/>
          <w:lang w:val="en-GB"/>
        </w:rPr>
        <w:t>E</w:t>
      </w:r>
      <w:r>
        <w:rPr>
          <w:rFonts w:ascii="Arial" w:hAnsi="Arial" w:cs="Arial"/>
          <w:bCs/>
          <w:lang w:val="en-GB"/>
        </w:rPr>
        <w:t>xtension (RD&amp;E)</w:t>
      </w:r>
      <w:r w:rsidRPr="00C821E6">
        <w:rPr>
          <w:rFonts w:ascii="Arial" w:hAnsi="Arial" w:cs="Arial"/>
          <w:bCs/>
          <w:lang w:val="en-GB"/>
        </w:rPr>
        <w:t xml:space="preserve"> priorities are reproduced in Table </w:t>
      </w:r>
      <w:r>
        <w:rPr>
          <w:rFonts w:ascii="Arial" w:hAnsi="Arial" w:cs="Arial"/>
          <w:bCs/>
          <w:lang w:val="en-GB"/>
        </w:rPr>
        <w:t>7</w:t>
      </w:r>
      <w:r w:rsidRPr="00C821E6">
        <w:rPr>
          <w:rFonts w:ascii="Arial" w:hAnsi="Arial" w:cs="Arial"/>
          <w:bCs/>
          <w:lang w:val="en-GB"/>
        </w:rPr>
        <w:t xml:space="preserve">. The improved </w:t>
      </w:r>
      <w:r>
        <w:rPr>
          <w:rFonts w:ascii="Arial" w:hAnsi="Arial" w:cs="Arial"/>
          <w:bCs/>
          <w:lang w:val="en-GB"/>
        </w:rPr>
        <w:t xml:space="preserve">plum industry performance </w:t>
      </w:r>
      <w:r w:rsidRPr="00C821E6">
        <w:rPr>
          <w:rFonts w:ascii="Arial" w:hAnsi="Arial" w:cs="Arial"/>
          <w:bCs/>
          <w:lang w:val="en-GB"/>
        </w:rPr>
        <w:t>contributes primarily to Rural RD&amp;E Priorit</w:t>
      </w:r>
      <w:r>
        <w:rPr>
          <w:rFonts w:ascii="Arial" w:hAnsi="Arial" w:cs="Arial"/>
          <w:bCs/>
          <w:lang w:val="en-GB"/>
        </w:rPr>
        <w:t>y</w:t>
      </w:r>
      <w:r w:rsidRPr="00C821E6">
        <w:rPr>
          <w:rFonts w:ascii="Arial" w:hAnsi="Arial" w:cs="Arial"/>
          <w:bCs/>
          <w:lang w:val="en-GB"/>
        </w:rPr>
        <w:t xml:space="preserve"> 1</w:t>
      </w:r>
      <w:r>
        <w:rPr>
          <w:rFonts w:ascii="Arial" w:hAnsi="Arial" w:cs="Arial"/>
          <w:bCs/>
          <w:lang w:val="en-GB"/>
        </w:rPr>
        <w:t xml:space="preserve"> and 4 (via the successful commercialisation policy) </w:t>
      </w:r>
      <w:r w:rsidRPr="00C821E6">
        <w:rPr>
          <w:rFonts w:ascii="Arial" w:hAnsi="Arial" w:cs="Arial"/>
          <w:bCs/>
          <w:lang w:val="en-GB"/>
        </w:rPr>
        <w:t>and to Science and Research Priority 1</w:t>
      </w:r>
      <w:r>
        <w:rPr>
          <w:rFonts w:ascii="Arial" w:hAnsi="Arial" w:cs="Arial"/>
          <w:bCs/>
          <w:lang w:val="en-GB"/>
        </w:rPr>
        <w:t xml:space="preserve"> and, to a lesser degree at this stage, Research Priorities 6 and 8</w:t>
      </w:r>
      <w:r w:rsidRPr="00C821E6">
        <w:rPr>
          <w:rFonts w:ascii="Arial" w:hAnsi="Arial" w:cs="Arial"/>
          <w:bCs/>
          <w:lang w:val="en-GB"/>
        </w:rPr>
        <w:t>.</w:t>
      </w:r>
    </w:p>
    <w:p w:rsidR="002B5A16" w:rsidRDefault="002B5A16" w:rsidP="002B5A16">
      <w:pPr>
        <w:rPr>
          <w:rFonts w:ascii="Arial" w:hAnsi="Arial" w:cs="Arial"/>
          <w:bCs/>
          <w:lang w:val="en-GB"/>
        </w:rPr>
      </w:pPr>
    </w:p>
    <w:p w:rsidR="002B5A16" w:rsidRPr="00C821E6" w:rsidRDefault="002B5A16" w:rsidP="002B5A16">
      <w:pPr>
        <w:keepNext/>
        <w:suppressAutoHyphens/>
        <w:spacing w:after="200"/>
        <w:jc w:val="center"/>
        <w:rPr>
          <w:rFonts w:ascii="Arial" w:hAnsi="Arial" w:cs="Arial"/>
          <w:iCs/>
          <w:color w:val="000000" w:themeColor="text1"/>
        </w:rPr>
      </w:pPr>
      <w:bookmarkStart w:id="518" w:name="_Toc487018712"/>
      <w:r w:rsidRPr="00C821E6">
        <w:rPr>
          <w:rFonts w:ascii="Arial" w:hAnsi="Arial" w:cs="Arial"/>
          <w:iCs/>
          <w:color w:val="000000" w:themeColor="text1"/>
        </w:rPr>
        <w:t xml:space="preserve">Table </w:t>
      </w:r>
      <w:r w:rsidR="00913E1D">
        <w:rPr>
          <w:rFonts w:ascii="Arial" w:hAnsi="Arial" w:cs="Arial"/>
          <w:iCs/>
          <w:color w:val="000000" w:themeColor="text1"/>
        </w:rPr>
        <w:t>7</w:t>
      </w:r>
      <w:r w:rsidRPr="00C821E6">
        <w:rPr>
          <w:rFonts w:ascii="Arial" w:hAnsi="Arial" w:cs="Arial"/>
          <w:iCs/>
          <w:color w:val="000000" w:themeColor="text1"/>
        </w:rPr>
        <w:t>: Australian Government Research Priorities</w:t>
      </w:r>
      <w:bookmarkEnd w:id="518"/>
    </w:p>
    <w:tbl>
      <w:tblPr>
        <w:tblStyle w:val="TableGrid1"/>
        <w:tblW w:w="0" w:type="auto"/>
        <w:tblInd w:w="988" w:type="dxa"/>
        <w:tblLook w:val="04A0" w:firstRow="1" w:lastRow="0" w:firstColumn="1" w:lastColumn="0" w:noHBand="0" w:noVBand="1"/>
      </w:tblPr>
      <w:tblGrid>
        <w:gridCol w:w="3520"/>
        <w:gridCol w:w="3425"/>
      </w:tblGrid>
      <w:tr w:rsidR="002B5A16" w:rsidRPr="005B630D" w:rsidTr="002B5A16">
        <w:tc>
          <w:tcPr>
            <w:tcW w:w="6945" w:type="dxa"/>
            <w:gridSpan w:val="2"/>
          </w:tcPr>
          <w:p w:rsidR="002B5A16" w:rsidRPr="001E229E" w:rsidRDefault="002B5A16" w:rsidP="002B5A16">
            <w:pPr>
              <w:jc w:val="center"/>
              <w:rPr>
                <w:rFonts w:ascii="Arial" w:hAnsi="Arial" w:cs="Arial"/>
                <w:b/>
                <w:szCs w:val="22"/>
              </w:rPr>
            </w:pPr>
            <w:r w:rsidRPr="00F76E2A">
              <w:rPr>
                <w:rFonts w:ascii="Arial" w:hAnsi="Arial" w:cs="Arial"/>
                <w:b/>
              </w:rPr>
              <w:t>Australian Government</w:t>
            </w:r>
          </w:p>
        </w:tc>
      </w:tr>
      <w:tr w:rsidR="002B5A16" w:rsidRPr="005B630D" w:rsidTr="002B5A16">
        <w:tc>
          <w:tcPr>
            <w:tcW w:w="3520" w:type="dxa"/>
          </w:tcPr>
          <w:p w:rsidR="002B5A16" w:rsidRPr="001E229E" w:rsidRDefault="002B5A16" w:rsidP="002B5A16">
            <w:pPr>
              <w:jc w:val="center"/>
              <w:rPr>
                <w:rFonts w:ascii="Arial" w:hAnsi="Arial" w:cs="Arial"/>
                <w:b/>
                <w:szCs w:val="22"/>
              </w:rPr>
            </w:pPr>
            <w:r w:rsidRPr="00F76E2A">
              <w:rPr>
                <w:rFonts w:ascii="Arial" w:hAnsi="Arial" w:cs="Arial"/>
                <w:b/>
              </w:rPr>
              <w:t>Rural RD&amp;E Priorities (est. 2015)</w:t>
            </w:r>
          </w:p>
        </w:tc>
        <w:tc>
          <w:tcPr>
            <w:tcW w:w="3425" w:type="dxa"/>
          </w:tcPr>
          <w:p w:rsidR="002B5A16" w:rsidRPr="001E229E" w:rsidRDefault="002B5A16" w:rsidP="002B5A16">
            <w:pPr>
              <w:jc w:val="center"/>
              <w:rPr>
                <w:rFonts w:ascii="Arial" w:hAnsi="Arial" w:cs="Arial"/>
                <w:b/>
                <w:szCs w:val="22"/>
              </w:rPr>
            </w:pPr>
            <w:r w:rsidRPr="00F76E2A">
              <w:rPr>
                <w:rFonts w:ascii="Arial" w:hAnsi="Arial" w:cs="Arial"/>
                <w:b/>
              </w:rPr>
              <w:t>Science and Research Priorities (est. 2015)</w:t>
            </w:r>
          </w:p>
        </w:tc>
      </w:tr>
      <w:tr w:rsidR="002B5A16" w:rsidRPr="005B630D" w:rsidTr="002B5A16">
        <w:tc>
          <w:tcPr>
            <w:tcW w:w="3520" w:type="dxa"/>
          </w:tcPr>
          <w:p w:rsidR="002B5A16" w:rsidRPr="001E229E" w:rsidRDefault="002B5A16" w:rsidP="000D5A34">
            <w:pPr>
              <w:numPr>
                <w:ilvl w:val="0"/>
                <w:numId w:val="69"/>
              </w:numPr>
              <w:ind w:left="454"/>
              <w:contextualSpacing/>
              <w:rPr>
                <w:rFonts w:ascii="Arial" w:hAnsi="Arial" w:cs="Arial"/>
                <w:color w:val="000000"/>
                <w:szCs w:val="22"/>
              </w:rPr>
            </w:pPr>
            <w:r w:rsidRPr="00F76E2A">
              <w:rPr>
                <w:rFonts w:ascii="Arial" w:hAnsi="Arial" w:cs="Arial"/>
                <w:color w:val="000000"/>
              </w:rPr>
              <w:t xml:space="preserve">Advanced technology </w:t>
            </w:r>
          </w:p>
          <w:p w:rsidR="002B5A16" w:rsidRPr="001E229E" w:rsidRDefault="002B5A16" w:rsidP="000D5A34">
            <w:pPr>
              <w:numPr>
                <w:ilvl w:val="0"/>
                <w:numId w:val="69"/>
              </w:numPr>
              <w:ind w:left="459"/>
              <w:contextualSpacing/>
              <w:rPr>
                <w:rFonts w:ascii="Arial" w:hAnsi="Arial" w:cs="Arial"/>
                <w:color w:val="000000"/>
                <w:szCs w:val="22"/>
              </w:rPr>
            </w:pPr>
            <w:r w:rsidRPr="00F76E2A">
              <w:rPr>
                <w:rFonts w:ascii="Arial" w:hAnsi="Arial" w:cs="Arial"/>
                <w:color w:val="000000"/>
              </w:rPr>
              <w:t>Biosecurity</w:t>
            </w:r>
          </w:p>
          <w:p w:rsidR="002B5A16" w:rsidRPr="001E229E" w:rsidRDefault="002B5A16" w:rsidP="000D5A34">
            <w:pPr>
              <w:numPr>
                <w:ilvl w:val="0"/>
                <w:numId w:val="69"/>
              </w:numPr>
              <w:ind w:left="459"/>
              <w:contextualSpacing/>
              <w:rPr>
                <w:rFonts w:ascii="Arial" w:hAnsi="Arial" w:cs="Arial"/>
                <w:color w:val="000000"/>
                <w:szCs w:val="22"/>
              </w:rPr>
            </w:pPr>
            <w:r w:rsidRPr="00F76E2A">
              <w:rPr>
                <w:rFonts w:ascii="Arial" w:hAnsi="Arial" w:cs="Arial"/>
                <w:color w:val="000000"/>
              </w:rPr>
              <w:t>Soil, water and managing natural resources</w:t>
            </w:r>
          </w:p>
          <w:p w:rsidR="002B5A16" w:rsidRPr="001E229E" w:rsidRDefault="002B5A16" w:rsidP="000D5A34">
            <w:pPr>
              <w:numPr>
                <w:ilvl w:val="0"/>
                <w:numId w:val="69"/>
              </w:numPr>
              <w:ind w:left="459"/>
              <w:contextualSpacing/>
              <w:rPr>
                <w:rFonts w:ascii="Arial" w:hAnsi="Arial" w:cs="Arial"/>
                <w:color w:val="000000"/>
                <w:szCs w:val="22"/>
              </w:rPr>
            </w:pPr>
            <w:r w:rsidRPr="00F76E2A">
              <w:rPr>
                <w:rFonts w:ascii="Arial" w:hAnsi="Arial" w:cs="Arial"/>
                <w:color w:val="000000"/>
              </w:rPr>
              <w:t>Adoption of R&amp;D</w:t>
            </w:r>
          </w:p>
        </w:tc>
        <w:tc>
          <w:tcPr>
            <w:tcW w:w="3425" w:type="dxa"/>
          </w:tcPr>
          <w:p w:rsidR="002B5A16" w:rsidRPr="001E229E" w:rsidRDefault="002B5A16" w:rsidP="000D5A34">
            <w:pPr>
              <w:numPr>
                <w:ilvl w:val="0"/>
                <w:numId w:val="70"/>
              </w:numPr>
              <w:ind w:left="483"/>
              <w:contextualSpacing/>
              <w:rPr>
                <w:rFonts w:ascii="Arial" w:hAnsi="Arial" w:cs="Arial"/>
                <w:color w:val="000000"/>
                <w:szCs w:val="22"/>
              </w:rPr>
            </w:pPr>
            <w:r w:rsidRPr="00F76E2A">
              <w:rPr>
                <w:rFonts w:ascii="Arial" w:hAnsi="Arial" w:cs="Arial"/>
                <w:color w:val="000000"/>
              </w:rPr>
              <w:t>Food</w:t>
            </w:r>
          </w:p>
          <w:p w:rsidR="002B5A16" w:rsidRPr="001E229E" w:rsidRDefault="002B5A16" w:rsidP="000D5A34">
            <w:pPr>
              <w:numPr>
                <w:ilvl w:val="0"/>
                <w:numId w:val="70"/>
              </w:numPr>
              <w:ind w:left="482"/>
              <w:contextualSpacing/>
              <w:rPr>
                <w:rFonts w:ascii="Arial" w:hAnsi="Arial" w:cs="Arial"/>
                <w:color w:val="000000"/>
                <w:szCs w:val="22"/>
              </w:rPr>
            </w:pPr>
            <w:r w:rsidRPr="00F76E2A">
              <w:rPr>
                <w:rFonts w:ascii="Arial" w:hAnsi="Arial" w:cs="Arial"/>
                <w:color w:val="000000"/>
              </w:rPr>
              <w:t xml:space="preserve">Soil and Water </w:t>
            </w:r>
          </w:p>
          <w:p w:rsidR="002B5A16" w:rsidRPr="001E229E" w:rsidRDefault="002B5A16" w:rsidP="000D5A34">
            <w:pPr>
              <w:numPr>
                <w:ilvl w:val="0"/>
                <w:numId w:val="70"/>
              </w:numPr>
              <w:ind w:left="482"/>
              <w:contextualSpacing/>
              <w:rPr>
                <w:rFonts w:ascii="Arial" w:hAnsi="Arial" w:cs="Arial"/>
                <w:color w:val="000000"/>
                <w:szCs w:val="22"/>
              </w:rPr>
            </w:pPr>
            <w:r w:rsidRPr="00F76E2A">
              <w:rPr>
                <w:rFonts w:ascii="Arial" w:hAnsi="Arial" w:cs="Arial"/>
                <w:color w:val="000000"/>
              </w:rPr>
              <w:t>Transport</w:t>
            </w:r>
          </w:p>
          <w:p w:rsidR="002B5A16" w:rsidRPr="001E229E" w:rsidRDefault="002B5A16" w:rsidP="000D5A34">
            <w:pPr>
              <w:numPr>
                <w:ilvl w:val="0"/>
                <w:numId w:val="70"/>
              </w:numPr>
              <w:ind w:left="482"/>
              <w:contextualSpacing/>
              <w:rPr>
                <w:rFonts w:ascii="Arial" w:hAnsi="Arial" w:cs="Arial"/>
                <w:color w:val="000000"/>
                <w:szCs w:val="22"/>
              </w:rPr>
            </w:pPr>
            <w:r w:rsidRPr="00F76E2A">
              <w:rPr>
                <w:rFonts w:ascii="Arial" w:hAnsi="Arial" w:cs="Arial"/>
                <w:color w:val="000000"/>
              </w:rPr>
              <w:t xml:space="preserve">Cybersecurity </w:t>
            </w:r>
          </w:p>
          <w:p w:rsidR="002B5A16" w:rsidRPr="001E229E" w:rsidRDefault="002B5A16" w:rsidP="000D5A34">
            <w:pPr>
              <w:numPr>
                <w:ilvl w:val="0"/>
                <w:numId w:val="70"/>
              </w:numPr>
              <w:ind w:left="482"/>
              <w:contextualSpacing/>
              <w:rPr>
                <w:rFonts w:ascii="Arial" w:hAnsi="Arial" w:cs="Arial"/>
                <w:color w:val="000000"/>
                <w:szCs w:val="22"/>
              </w:rPr>
            </w:pPr>
            <w:r w:rsidRPr="00F76E2A">
              <w:rPr>
                <w:rFonts w:ascii="Arial" w:hAnsi="Arial" w:cs="Arial"/>
                <w:color w:val="000000"/>
              </w:rPr>
              <w:t xml:space="preserve">Energy and Resources </w:t>
            </w:r>
          </w:p>
          <w:p w:rsidR="002B5A16" w:rsidRPr="001E229E" w:rsidRDefault="002B5A16" w:rsidP="000D5A34">
            <w:pPr>
              <w:numPr>
                <w:ilvl w:val="0"/>
                <w:numId w:val="70"/>
              </w:numPr>
              <w:ind w:left="482"/>
              <w:contextualSpacing/>
              <w:rPr>
                <w:rFonts w:ascii="Arial" w:hAnsi="Arial" w:cs="Arial"/>
                <w:color w:val="000000"/>
                <w:szCs w:val="22"/>
              </w:rPr>
            </w:pPr>
            <w:r w:rsidRPr="00F76E2A">
              <w:rPr>
                <w:rFonts w:ascii="Arial" w:hAnsi="Arial" w:cs="Arial"/>
                <w:color w:val="000000"/>
              </w:rPr>
              <w:t xml:space="preserve">Manufacturing </w:t>
            </w:r>
          </w:p>
          <w:p w:rsidR="002B5A16" w:rsidRPr="001E229E" w:rsidRDefault="002B5A16" w:rsidP="000D5A34">
            <w:pPr>
              <w:numPr>
                <w:ilvl w:val="0"/>
                <w:numId w:val="70"/>
              </w:numPr>
              <w:ind w:left="482"/>
              <w:contextualSpacing/>
              <w:rPr>
                <w:rFonts w:ascii="Arial" w:hAnsi="Arial" w:cs="Arial"/>
                <w:color w:val="000000"/>
                <w:szCs w:val="22"/>
              </w:rPr>
            </w:pPr>
            <w:r w:rsidRPr="00F76E2A">
              <w:rPr>
                <w:rFonts w:ascii="Arial" w:hAnsi="Arial" w:cs="Arial"/>
                <w:color w:val="000000"/>
              </w:rPr>
              <w:t>Environmental Change</w:t>
            </w:r>
          </w:p>
          <w:p w:rsidR="002B5A16" w:rsidRPr="001E229E" w:rsidRDefault="002B5A16" w:rsidP="000D5A34">
            <w:pPr>
              <w:keepNext/>
              <w:numPr>
                <w:ilvl w:val="0"/>
                <w:numId w:val="70"/>
              </w:numPr>
              <w:ind w:left="482"/>
              <w:contextualSpacing/>
              <w:rPr>
                <w:rFonts w:ascii="Arial" w:hAnsi="Arial" w:cs="Arial"/>
                <w:color w:val="000000"/>
                <w:szCs w:val="22"/>
              </w:rPr>
            </w:pPr>
            <w:r w:rsidRPr="00F76E2A">
              <w:rPr>
                <w:rFonts w:ascii="Arial" w:hAnsi="Arial" w:cs="Arial"/>
                <w:color w:val="000000"/>
              </w:rPr>
              <w:t>Health</w:t>
            </w:r>
          </w:p>
        </w:tc>
      </w:tr>
    </w:tbl>
    <w:p w:rsidR="002B5A16" w:rsidRDefault="002B5A16" w:rsidP="002B5A16">
      <w:pPr>
        <w:spacing w:after="240"/>
        <w:contextualSpacing/>
        <w:jc w:val="center"/>
        <w:rPr>
          <w:rFonts w:ascii="Arial" w:hAnsi="Arial" w:cs="Arial"/>
          <w:lang w:val="en-GB"/>
        </w:rPr>
      </w:pPr>
      <w:r w:rsidRPr="00C821E6">
        <w:rPr>
          <w:rFonts w:ascii="Arial" w:hAnsi="Arial" w:cs="Arial"/>
          <w:lang w:val="en-GB"/>
        </w:rPr>
        <w:t>Sources: DAWR (2015) and OCS (2016)</w:t>
      </w:r>
    </w:p>
    <w:p w:rsidR="002B5A16" w:rsidRPr="00C821E6" w:rsidRDefault="002B5A16" w:rsidP="00A66BB1">
      <w:pPr>
        <w:spacing w:after="240"/>
        <w:contextualSpacing/>
        <w:rPr>
          <w:rFonts w:ascii="Arial" w:hAnsi="Arial" w:cs="Arial"/>
          <w:lang w:val="en-GB"/>
        </w:rPr>
      </w:pPr>
    </w:p>
    <w:p w:rsidR="002B5A16" w:rsidRPr="00C821E6" w:rsidRDefault="002B5A16" w:rsidP="002B5A16">
      <w:pPr>
        <w:rPr>
          <w:rFonts w:ascii="Arial" w:hAnsi="Arial" w:cs="Arial"/>
          <w:bCs/>
          <w:lang w:val="en-GB"/>
        </w:rPr>
      </w:pPr>
      <w:r w:rsidRPr="00C821E6">
        <w:rPr>
          <w:rFonts w:ascii="Arial" w:hAnsi="Arial" w:cs="Arial"/>
          <w:bCs/>
          <w:lang w:val="en-GB"/>
        </w:rPr>
        <w:t xml:space="preserve">The Queensland Government’s Science and Research Priorities, together with the four decision rules for investment that guide evaluation, prioritisation and decision making around future investment are reproduced in Table </w:t>
      </w:r>
      <w:r>
        <w:rPr>
          <w:rFonts w:ascii="Arial" w:hAnsi="Arial" w:cs="Arial"/>
          <w:bCs/>
          <w:lang w:val="en-GB"/>
        </w:rPr>
        <w:t>8</w:t>
      </w:r>
      <w:r w:rsidRPr="00C821E6">
        <w:rPr>
          <w:rFonts w:ascii="Arial" w:hAnsi="Arial" w:cs="Arial"/>
          <w:bCs/>
          <w:lang w:val="en-GB"/>
        </w:rPr>
        <w:t xml:space="preserve">. The </w:t>
      </w:r>
      <w:r>
        <w:rPr>
          <w:rFonts w:ascii="Arial" w:hAnsi="Arial" w:cs="Arial"/>
          <w:bCs/>
          <w:lang w:val="en-GB"/>
        </w:rPr>
        <w:t>plum breeding investments addressed</w:t>
      </w:r>
      <w:r w:rsidRPr="00C821E6">
        <w:rPr>
          <w:rFonts w:ascii="Arial" w:hAnsi="Arial" w:cs="Arial"/>
          <w:bCs/>
          <w:lang w:val="en-GB"/>
        </w:rPr>
        <w:t xml:space="preserve"> </w:t>
      </w:r>
      <w:r>
        <w:rPr>
          <w:rFonts w:ascii="Arial" w:hAnsi="Arial" w:cs="Arial"/>
          <w:bCs/>
          <w:lang w:val="en-GB"/>
        </w:rPr>
        <w:t>S</w:t>
      </w:r>
      <w:r w:rsidRPr="00C821E6">
        <w:rPr>
          <w:rFonts w:ascii="Arial" w:hAnsi="Arial" w:cs="Arial"/>
          <w:bCs/>
          <w:lang w:val="en-GB"/>
        </w:rPr>
        <w:t xml:space="preserve">cience and </w:t>
      </w:r>
      <w:r>
        <w:rPr>
          <w:rFonts w:ascii="Arial" w:hAnsi="Arial" w:cs="Arial"/>
          <w:bCs/>
          <w:lang w:val="en-GB"/>
        </w:rPr>
        <w:t>R</w:t>
      </w:r>
      <w:r w:rsidRPr="00C821E6">
        <w:rPr>
          <w:rFonts w:ascii="Arial" w:hAnsi="Arial" w:cs="Arial"/>
          <w:bCs/>
          <w:lang w:val="en-GB"/>
        </w:rPr>
        <w:t xml:space="preserve">esearch </w:t>
      </w:r>
      <w:r>
        <w:rPr>
          <w:rFonts w:ascii="Arial" w:hAnsi="Arial" w:cs="Arial"/>
          <w:bCs/>
          <w:lang w:val="en-GB"/>
        </w:rPr>
        <w:t>P</w:t>
      </w:r>
      <w:r w:rsidRPr="00C821E6">
        <w:rPr>
          <w:rFonts w:ascii="Arial" w:hAnsi="Arial" w:cs="Arial"/>
          <w:bCs/>
          <w:lang w:val="en-GB"/>
        </w:rPr>
        <w:t>riorit</w:t>
      </w:r>
      <w:r>
        <w:rPr>
          <w:rFonts w:ascii="Arial" w:hAnsi="Arial" w:cs="Arial"/>
          <w:bCs/>
          <w:lang w:val="en-GB"/>
        </w:rPr>
        <w:t>y</w:t>
      </w:r>
      <w:r w:rsidRPr="00C821E6">
        <w:rPr>
          <w:rFonts w:ascii="Arial" w:hAnsi="Arial" w:cs="Arial"/>
          <w:bCs/>
          <w:lang w:val="en-GB"/>
        </w:rPr>
        <w:t xml:space="preserve"> 1 and potentially </w:t>
      </w:r>
      <w:r>
        <w:rPr>
          <w:rFonts w:ascii="Arial" w:hAnsi="Arial" w:cs="Arial"/>
          <w:bCs/>
          <w:lang w:val="en-GB"/>
        </w:rPr>
        <w:t>7</w:t>
      </w:r>
      <w:r w:rsidRPr="00C821E6">
        <w:rPr>
          <w:rFonts w:ascii="Arial" w:hAnsi="Arial" w:cs="Arial"/>
          <w:bCs/>
          <w:lang w:val="en-GB"/>
        </w:rPr>
        <w:t xml:space="preserve">. In terms of the guides to investment, the project is likely to have a real future impact </w:t>
      </w:r>
      <w:r>
        <w:rPr>
          <w:rFonts w:ascii="Arial" w:hAnsi="Arial" w:cs="Arial"/>
          <w:bCs/>
          <w:lang w:val="en-GB"/>
        </w:rPr>
        <w:t xml:space="preserve">in Australia and overseas </w:t>
      </w:r>
      <w:r w:rsidRPr="00C821E6">
        <w:rPr>
          <w:rFonts w:ascii="Arial" w:hAnsi="Arial" w:cs="Arial"/>
          <w:bCs/>
          <w:lang w:val="en-GB"/>
        </w:rPr>
        <w:t xml:space="preserve">through </w:t>
      </w:r>
      <w:r>
        <w:rPr>
          <w:rFonts w:ascii="Arial" w:hAnsi="Arial" w:cs="Arial"/>
          <w:bCs/>
          <w:lang w:val="en-GB"/>
        </w:rPr>
        <w:t xml:space="preserve">the availability of the superior plum. The investment </w:t>
      </w:r>
      <w:r w:rsidRPr="00C821E6">
        <w:rPr>
          <w:rFonts w:ascii="Arial" w:hAnsi="Arial" w:cs="Arial"/>
          <w:bCs/>
          <w:lang w:val="en-GB"/>
        </w:rPr>
        <w:t xml:space="preserve">was supported and funded by others external to Queensland and had a distinctive angle as the Queensland </w:t>
      </w:r>
      <w:r>
        <w:rPr>
          <w:rFonts w:ascii="Arial" w:hAnsi="Arial" w:cs="Arial"/>
          <w:bCs/>
          <w:lang w:val="en-GB"/>
        </w:rPr>
        <w:t xml:space="preserve">Government </w:t>
      </w:r>
      <w:r w:rsidRPr="00C821E6">
        <w:rPr>
          <w:rFonts w:ascii="Arial" w:hAnsi="Arial" w:cs="Arial"/>
          <w:bCs/>
          <w:lang w:val="en-GB"/>
        </w:rPr>
        <w:t>will be a significant recipient of the impacts</w:t>
      </w:r>
      <w:r>
        <w:rPr>
          <w:rFonts w:ascii="Arial" w:hAnsi="Arial" w:cs="Arial"/>
          <w:bCs/>
          <w:lang w:val="en-GB"/>
        </w:rPr>
        <w:t xml:space="preserve"> via royalty payments</w:t>
      </w:r>
      <w:r w:rsidRPr="00C821E6">
        <w:rPr>
          <w:rFonts w:ascii="Arial" w:hAnsi="Arial" w:cs="Arial"/>
          <w:bCs/>
          <w:lang w:val="en-GB"/>
        </w:rPr>
        <w:t xml:space="preserve">.    </w:t>
      </w:r>
    </w:p>
    <w:p w:rsidR="002B5A16" w:rsidRPr="00C821E6" w:rsidRDefault="002B5A16" w:rsidP="002B5A16">
      <w:pPr>
        <w:suppressAutoHyphens/>
        <w:spacing w:before="240" w:after="200"/>
        <w:jc w:val="center"/>
        <w:rPr>
          <w:rFonts w:ascii="Arial" w:hAnsi="Arial" w:cs="Arial"/>
          <w:bCs/>
          <w:iCs/>
          <w:color w:val="000000" w:themeColor="text1"/>
          <w:lang w:val="en-GB"/>
        </w:rPr>
      </w:pPr>
      <w:bookmarkStart w:id="519" w:name="_Toc487018713"/>
      <w:r w:rsidRPr="00C821E6">
        <w:rPr>
          <w:rFonts w:ascii="Arial" w:hAnsi="Arial" w:cs="Arial"/>
          <w:iCs/>
          <w:color w:val="000000" w:themeColor="text1"/>
        </w:rPr>
        <w:t xml:space="preserve">Table </w:t>
      </w:r>
      <w:r w:rsidR="00913E1D">
        <w:rPr>
          <w:rFonts w:ascii="Arial" w:hAnsi="Arial" w:cs="Arial"/>
          <w:iCs/>
          <w:color w:val="000000" w:themeColor="text1"/>
        </w:rPr>
        <w:t>8</w:t>
      </w:r>
      <w:r w:rsidRPr="00C821E6">
        <w:rPr>
          <w:rFonts w:ascii="Arial" w:hAnsi="Arial" w:cs="Arial"/>
          <w:iCs/>
          <w:color w:val="000000" w:themeColor="text1"/>
        </w:rPr>
        <w:t>: Queensland Government Research Priorities</w:t>
      </w:r>
      <w:bookmarkEnd w:id="519"/>
    </w:p>
    <w:tbl>
      <w:tblPr>
        <w:tblStyle w:val="TableGrid1"/>
        <w:tblW w:w="9167" w:type="dxa"/>
        <w:jc w:val="center"/>
        <w:tblLook w:val="04A0" w:firstRow="1" w:lastRow="0" w:firstColumn="1" w:lastColumn="0" w:noHBand="0" w:noVBand="1"/>
      </w:tblPr>
      <w:tblGrid>
        <w:gridCol w:w="6238"/>
        <w:gridCol w:w="2929"/>
      </w:tblGrid>
      <w:tr w:rsidR="002B5A16" w:rsidRPr="005B630D" w:rsidTr="002B5A16">
        <w:trPr>
          <w:jc w:val="center"/>
        </w:trPr>
        <w:tc>
          <w:tcPr>
            <w:tcW w:w="9167" w:type="dxa"/>
            <w:gridSpan w:val="2"/>
          </w:tcPr>
          <w:p w:rsidR="002B5A16" w:rsidRPr="001E229E" w:rsidRDefault="002B5A16" w:rsidP="002B5A16">
            <w:pPr>
              <w:jc w:val="center"/>
              <w:rPr>
                <w:rFonts w:ascii="Arial" w:hAnsi="Arial" w:cs="Arial"/>
                <w:b/>
                <w:szCs w:val="22"/>
              </w:rPr>
            </w:pPr>
            <w:r w:rsidRPr="00F76E2A">
              <w:rPr>
                <w:rFonts w:ascii="Arial" w:hAnsi="Arial" w:cs="Arial"/>
                <w:b/>
              </w:rPr>
              <w:t>Queensland Government</w:t>
            </w:r>
          </w:p>
        </w:tc>
      </w:tr>
      <w:tr w:rsidR="002B5A16" w:rsidRPr="005B630D" w:rsidTr="002B5A16">
        <w:trPr>
          <w:jc w:val="center"/>
        </w:trPr>
        <w:tc>
          <w:tcPr>
            <w:tcW w:w="6238" w:type="dxa"/>
          </w:tcPr>
          <w:p w:rsidR="002B5A16" w:rsidRPr="001E229E" w:rsidRDefault="002B5A16" w:rsidP="002B5A16">
            <w:pPr>
              <w:jc w:val="center"/>
              <w:rPr>
                <w:rFonts w:ascii="Arial" w:hAnsi="Arial" w:cs="Arial"/>
                <w:b/>
                <w:szCs w:val="22"/>
              </w:rPr>
            </w:pPr>
            <w:r w:rsidRPr="00F76E2A">
              <w:rPr>
                <w:rFonts w:ascii="Arial" w:hAnsi="Arial" w:cs="Arial"/>
                <w:b/>
              </w:rPr>
              <w:t>Science and Research Priorities (est. 2015)</w:t>
            </w:r>
          </w:p>
        </w:tc>
        <w:tc>
          <w:tcPr>
            <w:tcW w:w="2929" w:type="dxa"/>
          </w:tcPr>
          <w:p w:rsidR="002B5A16" w:rsidRPr="001E229E" w:rsidRDefault="002B5A16" w:rsidP="002B5A16">
            <w:pPr>
              <w:jc w:val="center"/>
              <w:rPr>
                <w:rFonts w:ascii="Arial" w:hAnsi="Arial" w:cs="Arial"/>
                <w:b/>
                <w:szCs w:val="22"/>
              </w:rPr>
            </w:pPr>
            <w:r w:rsidRPr="00F76E2A">
              <w:rPr>
                <w:rFonts w:ascii="Arial" w:hAnsi="Arial" w:cs="Arial"/>
                <w:b/>
              </w:rPr>
              <w:t>Investment Decision Rule Guides</w:t>
            </w:r>
            <w:r>
              <w:rPr>
                <w:rFonts w:ascii="Arial" w:hAnsi="Arial" w:cs="Arial"/>
                <w:b/>
              </w:rPr>
              <w:t xml:space="preserve"> </w:t>
            </w:r>
            <w:r w:rsidRPr="00F76E2A">
              <w:rPr>
                <w:rFonts w:ascii="Arial" w:hAnsi="Arial" w:cs="Arial"/>
                <w:b/>
              </w:rPr>
              <w:t>(est. 2015)</w:t>
            </w:r>
          </w:p>
        </w:tc>
      </w:tr>
      <w:tr w:rsidR="002B5A16" w:rsidRPr="005B630D" w:rsidTr="002B5A16">
        <w:trPr>
          <w:jc w:val="center"/>
        </w:trPr>
        <w:tc>
          <w:tcPr>
            <w:tcW w:w="6238" w:type="dxa"/>
          </w:tcPr>
          <w:p w:rsidR="002B5A16" w:rsidRPr="001E229E" w:rsidRDefault="002B5A16" w:rsidP="002B5A16">
            <w:pPr>
              <w:rPr>
                <w:rFonts w:ascii="Arial" w:hAnsi="Arial" w:cs="Arial"/>
                <w:szCs w:val="22"/>
              </w:rPr>
            </w:pPr>
            <w:r w:rsidRPr="00F76E2A">
              <w:rPr>
                <w:rFonts w:ascii="Arial" w:hAnsi="Arial" w:cs="Arial"/>
              </w:rPr>
              <w:t xml:space="preserve">1.Delivering productivity growth </w:t>
            </w:r>
          </w:p>
          <w:p w:rsidR="002B5A16" w:rsidRPr="001E229E" w:rsidRDefault="002B5A16" w:rsidP="002B5A16">
            <w:pPr>
              <w:rPr>
                <w:rFonts w:ascii="Arial" w:hAnsi="Arial" w:cs="Arial"/>
                <w:szCs w:val="22"/>
              </w:rPr>
            </w:pPr>
            <w:r w:rsidRPr="00F76E2A">
              <w:rPr>
                <w:rFonts w:ascii="Arial" w:hAnsi="Arial" w:cs="Arial"/>
              </w:rPr>
              <w:t>2.Growing knowledge intensive services</w:t>
            </w:r>
          </w:p>
          <w:p w:rsidR="002B5A16" w:rsidRPr="001E229E" w:rsidRDefault="002B5A16" w:rsidP="002B5A16">
            <w:pPr>
              <w:rPr>
                <w:rFonts w:ascii="Arial" w:hAnsi="Arial" w:cs="Arial"/>
                <w:szCs w:val="22"/>
              </w:rPr>
            </w:pPr>
            <w:r w:rsidRPr="00F76E2A">
              <w:rPr>
                <w:rFonts w:ascii="Arial" w:hAnsi="Arial" w:cs="Arial"/>
              </w:rPr>
              <w:t>3.Protecting biodiversity and heritage, both marine and terrestrial</w:t>
            </w:r>
          </w:p>
          <w:p w:rsidR="002B5A16" w:rsidRPr="001E229E" w:rsidRDefault="002B5A16" w:rsidP="002B5A16">
            <w:pPr>
              <w:rPr>
                <w:rFonts w:ascii="Arial" w:hAnsi="Arial" w:cs="Arial"/>
                <w:szCs w:val="22"/>
              </w:rPr>
            </w:pPr>
            <w:r w:rsidRPr="00F76E2A">
              <w:rPr>
                <w:rFonts w:ascii="Arial" w:hAnsi="Arial" w:cs="Arial"/>
              </w:rPr>
              <w:t>4.Cleaner and renewable energy technologies</w:t>
            </w:r>
          </w:p>
          <w:p w:rsidR="002B5A16" w:rsidRPr="001E229E" w:rsidRDefault="002B5A16" w:rsidP="002B5A16">
            <w:pPr>
              <w:rPr>
                <w:rFonts w:ascii="Arial" w:hAnsi="Arial" w:cs="Arial"/>
                <w:szCs w:val="22"/>
              </w:rPr>
            </w:pPr>
            <w:r w:rsidRPr="00F76E2A">
              <w:rPr>
                <w:rFonts w:ascii="Arial" w:hAnsi="Arial" w:cs="Arial"/>
              </w:rPr>
              <w:t>5. Ensuring sustainability of physical and especially digital infrastructure critical for research</w:t>
            </w:r>
          </w:p>
          <w:p w:rsidR="002B5A16" w:rsidRPr="001E229E" w:rsidRDefault="002B5A16" w:rsidP="002B5A16">
            <w:pPr>
              <w:rPr>
                <w:rFonts w:ascii="Arial" w:hAnsi="Arial" w:cs="Arial"/>
                <w:szCs w:val="22"/>
              </w:rPr>
            </w:pPr>
            <w:r w:rsidRPr="00F76E2A">
              <w:rPr>
                <w:rFonts w:ascii="Arial" w:hAnsi="Arial" w:cs="Arial"/>
              </w:rPr>
              <w:t>6. Building resilience and managing climate risk</w:t>
            </w:r>
          </w:p>
          <w:p w:rsidR="002B5A16" w:rsidRPr="001E229E" w:rsidRDefault="002B5A16" w:rsidP="002B5A16">
            <w:pPr>
              <w:rPr>
                <w:rFonts w:ascii="Arial" w:hAnsi="Arial" w:cs="Arial"/>
                <w:szCs w:val="22"/>
              </w:rPr>
            </w:pPr>
            <w:r w:rsidRPr="00F76E2A">
              <w:rPr>
                <w:rFonts w:ascii="Arial" w:hAnsi="Arial" w:cs="Arial"/>
              </w:rPr>
              <w:t>7. Supporting the translation of health and biotechnology research</w:t>
            </w:r>
          </w:p>
          <w:p w:rsidR="002B5A16" w:rsidRPr="001E229E" w:rsidRDefault="002B5A16" w:rsidP="002B5A16">
            <w:pPr>
              <w:rPr>
                <w:rFonts w:ascii="Arial" w:hAnsi="Arial" w:cs="Arial"/>
                <w:szCs w:val="22"/>
              </w:rPr>
            </w:pPr>
            <w:r w:rsidRPr="00F76E2A">
              <w:rPr>
                <w:rFonts w:ascii="Arial" w:hAnsi="Arial" w:cs="Arial"/>
              </w:rPr>
              <w:t>8.</w:t>
            </w:r>
            <w:r w:rsidRPr="00F76E2A">
              <w:t xml:space="preserve"> </w:t>
            </w:r>
            <w:r w:rsidRPr="00F76E2A">
              <w:rPr>
                <w:rFonts w:ascii="Arial" w:hAnsi="Arial" w:cs="Arial"/>
              </w:rPr>
              <w:t>Improving health data management and services delivery</w:t>
            </w:r>
          </w:p>
          <w:p w:rsidR="002B5A16" w:rsidRPr="001E229E" w:rsidRDefault="002B5A16" w:rsidP="002B5A16">
            <w:pPr>
              <w:rPr>
                <w:rFonts w:ascii="Arial" w:hAnsi="Arial" w:cs="Arial"/>
                <w:szCs w:val="22"/>
              </w:rPr>
            </w:pPr>
            <w:r w:rsidRPr="00F76E2A">
              <w:rPr>
                <w:rFonts w:ascii="Arial" w:hAnsi="Arial" w:cs="Arial"/>
              </w:rPr>
              <w:t>9.</w:t>
            </w:r>
            <w:r w:rsidRPr="00F76E2A">
              <w:t xml:space="preserve"> </w:t>
            </w:r>
            <w:r w:rsidRPr="00F76E2A">
              <w:rPr>
                <w:rFonts w:ascii="Arial" w:hAnsi="Arial" w:cs="Arial"/>
              </w:rPr>
              <w:t>Ensuring sustainable water use and delivering quality water and water security</w:t>
            </w:r>
          </w:p>
          <w:p w:rsidR="002B5A16" w:rsidRPr="001E229E" w:rsidRDefault="002B5A16" w:rsidP="002B5A16">
            <w:pPr>
              <w:rPr>
                <w:rFonts w:ascii="Arial" w:hAnsi="Arial" w:cs="Arial"/>
                <w:szCs w:val="22"/>
              </w:rPr>
            </w:pPr>
            <w:r w:rsidRPr="00F76E2A">
              <w:rPr>
                <w:rFonts w:ascii="Arial" w:hAnsi="Arial" w:cs="Arial"/>
              </w:rPr>
              <w:t xml:space="preserve">10.The development and application of digitally-enabled technologies. </w:t>
            </w:r>
          </w:p>
        </w:tc>
        <w:tc>
          <w:tcPr>
            <w:tcW w:w="2929" w:type="dxa"/>
          </w:tcPr>
          <w:p w:rsidR="002B5A16" w:rsidRPr="001E229E" w:rsidRDefault="002B5A16" w:rsidP="002B5A16">
            <w:pPr>
              <w:rPr>
                <w:rFonts w:ascii="Arial" w:hAnsi="Arial" w:cs="Arial"/>
                <w:szCs w:val="22"/>
              </w:rPr>
            </w:pPr>
            <w:r w:rsidRPr="00F76E2A">
              <w:rPr>
                <w:rFonts w:ascii="Arial" w:hAnsi="Arial" w:cs="Arial"/>
              </w:rPr>
              <w:t>1.Real Future Impact</w:t>
            </w:r>
          </w:p>
          <w:p w:rsidR="002B5A16" w:rsidRPr="001E229E" w:rsidRDefault="002B5A16" w:rsidP="002B5A16">
            <w:pPr>
              <w:rPr>
                <w:rFonts w:ascii="Arial" w:hAnsi="Arial" w:cs="Arial"/>
                <w:szCs w:val="22"/>
              </w:rPr>
            </w:pPr>
            <w:r w:rsidRPr="00F76E2A">
              <w:rPr>
                <w:rFonts w:ascii="Arial" w:hAnsi="Arial" w:cs="Arial"/>
              </w:rPr>
              <w:t xml:space="preserve">2.External Commitment </w:t>
            </w:r>
          </w:p>
          <w:p w:rsidR="002B5A16" w:rsidRPr="001E229E" w:rsidRDefault="002B5A16" w:rsidP="002B5A16">
            <w:pPr>
              <w:rPr>
                <w:rFonts w:ascii="Arial" w:hAnsi="Arial" w:cs="Arial"/>
                <w:szCs w:val="22"/>
              </w:rPr>
            </w:pPr>
            <w:r w:rsidRPr="00F76E2A">
              <w:rPr>
                <w:rFonts w:ascii="Arial" w:hAnsi="Arial" w:cs="Arial"/>
              </w:rPr>
              <w:t>3.Distinctive Angle</w:t>
            </w:r>
          </w:p>
          <w:p w:rsidR="002B5A16" w:rsidRPr="001E229E" w:rsidRDefault="002B5A16" w:rsidP="002B5A16">
            <w:pPr>
              <w:rPr>
                <w:rFonts w:ascii="Arial" w:hAnsi="Arial" w:cs="Arial"/>
                <w:szCs w:val="22"/>
              </w:rPr>
            </w:pPr>
            <w:r w:rsidRPr="00F76E2A">
              <w:rPr>
                <w:rFonts w:ascii="Arial" w:hAnsi="Arial" w:cs="Arial"/>
              </w:rPr>
              <w:t xml:space="preserve">4.Scaling towards Critical Mass  </w:t>
            </w:r>
          </w:p>
          <w:p w:rsidR="002B5A16" w:rsidRPr="001E229E" w:rsidRDefault="002B5A16" w:rsidP="002B5A16">
            <w:pPr>
              <w:rPr>
                <w:rFonts w:ascii="Arial" w:hAnsi="Arial" w:cs="Arial"/>
                <w:szCs w:val="22"/>
              </w:rPr>
            </w:pPr>
          </w:p>
        </w:tc>
      </w:tr>
    </w:tbl>
    <w:p w:rsidR="002B5A16" w:rsidRPr="00C821E6" w:rsidRDefault="002B5A16" w:rsidP="002B5A16">
      <w:pPr>
        <w:jc w:val="center"/>
        <w:rPr>
          <w:bCs/>
          <w:sz w:val="18"/>
          <w:szCs w:val="18"/>
          <w:lang w:val="en-GB"/>
        </w:rPr>
      </w:pPr>
      <w:r w:rsidRPr="00C821E6">
        <w:rPr>
          <w:rFonts w:ascii="Arial" w:hAnsi="Arial"/>
          <w:lang w:val="en-GB"/>
        </w:rPr>
        <w:t>Source: Office of the Chief Scientist Queensland (2015)</w:t>
      </w:r>
    </w:p>
    <w:p w:rsidR="002B5A16" w:rsidRDefault="002B5A16" w:rsidP="00F712CF">
      <w:pPr>
        <w:spacing w:after="240"/>
        <w:rPr>
          <w:lang w:val="en-GB"/>
        </w:rPr>
      </w:pPr>
    </w:p>
    <w:p w:rsidR="002B5A16" w:rsidRPr="00A66BB1" w:rsidRDefault="002B5A16" w:rsidP="00A66BB1">
      <w:pPr>
        <w:spacing w:after="240"/>
        <w:rPr>
          <w:rFonts w:ascii="Arial" w:hAnsi="Arial" w:cs="Arial"/>
          <w:b/>
          <w:sz w:val="40"/>
          <w:szCs w:val="40"/>
        </w:rPr>
      </w:pPr>
      <w:bookmarkStart w:id="520" w:name="_Toc487018701"/>
      <w:r w:rsidRPr="00A66BB1">
        <w:rPr>
          <w:rFonts w:ascii="Arial" w:hAnsi="Arial" w:cs="Arial"/>
          <w:b/>
          <w:sz w:val="40"/>
          <w:szCs w:val="40"/>
        </w:rPr>
        <w:t>6. Valuation of Impacts</w:t>
      </w:r>
      <w:bookmarkEnd w:id="520"/>
      <w:r w:rsidRPr="00A66BB1">
        <w:rPr>
          <w:rFonts w:ascii="Arial" w:hAnsi="Arial" w:cs="Arial"/>
          <w:b/>
          <w:sz w:val="40"/>
          <w:szCs w:val="40"/>
        </w:rPr>
        <w:t xml:space="preserve"> </w:t>
      </w:r>
    </w:p>
    <w:p w:rsidR="002B5A16" w:rsidRPr="00540B87" w:rsidRDefault="002B5A16" w:rsidP="00A66BB1">
      <w:pPr>
        <w:spacing w:after="240"/>
        <w:rPr>
          <w:rFonts w:ascii="Arial" w:hAnsi="Arial" w:cs="Arial"/>
          <w:b/>
          <w:sz w:val="24"/>
        </w:rPr>
      </w:pPr>
      <w:r w:rsidRPr="00540B87">
        <w:rPr>
          <w:rFonts w:ascii="Arial" w:hAnsi="Arial" w:cs="Arial"/>
          <w:b/>
          <w:sz w:val="24"/>
        </w:rPr>
        <w:t xml:space="preserve">Impacts Valued </w:t>
      </w:r>
    </w:p>
    <w:p w:rsidR="002B5A16" w:rsidRPr="00540B87" w:rsidRDefault="002B5A16" w:rsidP="00A66BB1">
      <w:pPr>
        <w:spacing w:after="240"/>
        <w:rPr>
          <w:rFonts w:ascii="Arial" w:hAnsi="Arial" w:cs="Arial"/>
        </w:rPr>
      </w:pPr>
      <w:r w:rsidRPr="00540B87">
        <w:rPr>
          <w:rFonts w:ascii="Arial" w:hAnsi="Arial" w:cs="Arial"/>
        </w:rPr>
        <w:t xml:space="preserve">Analyses were undertaken for total benefits that included future expected benefits. Investment in planting QG plums has provided, and will continue to provide in future, increased profit to both existing and new plum growers through the higher price attained. This is despite slightly higher costs than for other plums due to the royalty paid to the rights holder for the planting of QG plums.  The licensing regime applies to all tree plantings in Australia and overseas. Royalties paid by Australian interests are $2 per tree on ordering and $2 per tree per annum on bearing trees thereafter. </w:t>
      </w:r>
    </w:p>
    <w:p w:rsidR="002B5A16" w:rsidRPr="00540B87" w:rsidRDefault="002B5A16" w:rsidP="00A66BB1">
      <w:pPr>
        <w:spacing w:after="240"/>
        <w:rPr>
          <w:rFonts w:ascii="Arial" w:hAnsi="Arial" w:cs="Arial"/>
        </w:rPr>
      </w:pPr>
      <w:r w:rsidRPr="00540B87">
        <w:rPr>
          <w:rFonts w:ascii="Arial" w:hAnsi="Arial" w:cs="Arial"/>
        </w:rPr>
        <w:t>This royalty payment provides income to Nutrafruit (an Australian company) but it is a cost to the grower and therefore can be considered a transfer payment. Hence, royalties on Australian production of QG</w:t>
      </w:r>
      <w:r>
        <w:rPr>
          <w:rFonts w:ascii="Arial" w:hAnsi="Arial" w:cs="Arial"/>
        </w:rPr>
        <w:t xml:space="preserve"> plums</w:t>
      </w:r>
      <w:r w:rsidRPr="00540B87">
        <w:rPr>
          <w:rFonts w:ascii="Arial" w:hAnsi="Arial" w:cs="Arial"/>
        </w:rPr>
        <w:t xml:space="preserve"> influence the distribution of benefits within Australia, but not total benefits, and therefore are not valued as a separate benefit or cost</w:t>
      </w:r>
      <w:r>
        <w:rPr>
          <w:rFonts w:ascii="Arial" w:hAnsi="Arial" w:cs="Arial"/>
        </w:rPr>
        <w:t>.</w:t>
      </w:r>
      <w:r w:rsidRPr="00540B87">
        <w:rPr>
          <w:rFonts w:ascii="Arial" w:hAnsi="Arial" w:cs="Arial"/>
        </w:rPr>
        <w:t xml:space="preserve"> </w:t>
      </w:r>
      <w:bookmarkStart w:id="521" w:name="_Hlk482977384"/>
    </w:p>
    <w:bookmarkEnd w:id="521"/>
    <w:p w:rsidR="002B5A16" w:rsidRPr="000E5EBB" w:rsidRDefault="002B5A16" w:rsidP="00A66BB1">
      <w:pPr>
        <w:spacing w:after="240"/>
        <w:rPr>
          <w:rFonts w:ascii="Arial" w:hAnsi="Arial" w:cs="Arial"/>
          <w:color w:val="FF0000"/>
        </w:rPr>
      </w:pPr>
      <w:r w:rsidRPr="00540B87">
        <w:rPr>
          <w:rFonts w:ascii="Arial" w:hAnsi="Arial" w:cs="Arial"/>
        </w:rPr>
        <w:t>A degree of conservatism was used when finalising assumptions, particularly when some uncertainty was involved. Sensitivity analyses were undertaken on the discount rate</w:t>
      </w:r>
      <w:r>
        <w:rPr>
          <w:rFonts w:ascii="Arial" w:hAnsi="Arial" w:cs="Arial"/>
        </w:rPr>
        <w:t>, the price for GG plums and the inclusion of some overseas plantings and associated licensing income</w:t>
      </w:r>
      <w:r w:rsidRPr="000E5EBB">
        <w:rPr>
          <w:rFonts w:ascii="Arial" w:hAnsi="Arial" w:cs="Arial"/>
          <w:color w:val="FF0000"/>
        </w:rPr>
        <w:t xml:space="preserve">. </w:t>
      </w:r>
    </w:p>
    <w:p w:rsidR="002B5A16" w:rsidRPr="002A4B14" w:rsidRDefault="002B5A16" w:rsidP="00A66BB1">
      <w:pPr>
        <w:spacing w:after="240"/>
        <w:rPr>
          <w:rFonts w:ascii="Arial" w:hAnsi="Arial" w:cs="Arial"/>
          <w:b/>
          <w:sz w:val="24"/>
        </w:rPr>
      </w:pPr>
      <w:r w:rsidRPr="002A4B14">
        <w:rPr>
          <w:rFonts w:ascii="Arial" w:hAnsi="Arial" w:cs="Arial"/>
          <w:b/>
          <w:sz w:val="24"/>
        </w:rPr>
        <w:t>Impacts not Valued</w:t>
      </w:r>
    </w:p>
    <w:p w:rsidR="002B5A16" w:rsidRPr="00540B87" w:rsidRDefault="002B5A16" w:rsidP="00A66BB1">
      <w:pPr>
        <w:spacing w:after="240"/>
        <w:rPr>
          <w:rFonts w:ascii="Arial" w:hAnsi="Arial" w:cs="Arial"/>
        </w:rPr>
      </w:pPr>
      <w:r w:rsidRPr="00540B87">
        <w:rPr>
          <w:rFonts w:ascii="Arial" w:hAnsi="Arial" w:cs="Arial"/>
        </w:rPr>
        <w:t>Not all impacts identified in Table 6 were valued in this impact assessment. This was for various reasons including uncertainty, time and resources and the difficulty of placing credible monetary values on some impacts.</w:t>
      </w:r>
    </w:p>
    <w:p w:rsidR="002B5A16" w:rsidRPr="004A1381" w:rsidRDefault="002B5A16" w:rsidP="00A66BB1">
      <w:pPr>
        <w:spacing w:after="240"/>
        <w:rPr>
          <w:rFonts w:ascii="Arial" w:hAnsi="Arial" w:cs="Arial"/>
        </w:rPr>
      </w:pPr>
      <w:r w:rsidRPr="004A1381">
        <w:rPr>
          <w:rFonts w:ascii="Arial" w:hAnsi="Arial" w:cs="Arial"/>
        </w:rPr>
        <w:t xml:space="preserve">Licensing of trees to overseas growers of the plum will probably eventuate and this will provide a potential income stream to Nutrafruit. This would not be a transfer payment and such royalties can be considered an additional benefit to Australia.  However, as will be described later, oversees plantings of the QG are somewhat uncertain at present and the potential royalties from overseas therefore have not been valued in the basic assessment model.   </w:t>
      </w:r>
    </w:p>
    <w:p w:rsidR="002B5A16" w:rsidRPr="00540B87" w:rsidRDefault="002B5A16" w:rsidP="002B5A16">
      <w:pPr>
        <w:rPr>
          <w:rFonts w:ascii="Arial" w:hAnsi="Arial" w:cs="Arial"/>
        </w:rPr>
      </w:pPr>
      <w:r w:rsidRPr="00540B87">
        <w:rPr>
          <w:rFonts w:ascii="Arial" w:hAnsi="Arial" w:cs="Arial"/>
        </w:rPr>
        <w:t>The social impacts identified but not valued included:</w:t>
      </w:r>
    </w:p>
    <w:p w:rsidR="002B5A16" w:rsidRPr="00540B87" w:rsidRDefault="002B5A16" w:rsidP="002B5A16">
      <w:pPr>
        <w:framePr w:hSpace="180" w:wrap="around" w:vAnchor="text" w:hAnchor="text" w:xAlign="center" w:y="1"/>
        <w:widowControl w:val="0"/>
        <w:numPr>
          <w:ilvl w:val="0"/>
          <w:numId w:val="12"/>
        </w:numPr>
        <w:suppressAutoHyphens/>
        <w:suppressOverlap/>
        <w:rPr>
          <w:rFonts w:ascii="Arial" w:hAnsi="Arial" w:cs="Arial"/>
        </w:rPr>
      </w:pPr>
      <w:r>
        <w:rPr>
          <w:rFonts w:ascii="Arial" w:hAnsi="Arial" w:cs="Arial"/>
        </w:rPr>
        <w:t xml:space="preserve">The impact of the investment of additional R&amp;D resources for horticultural R&amp;D have not been valued due to a lack of readily available information on these investments as well as the limited time and resources available in the current economic evaluation. </w:t>
      </w:r>
      <w:r w:rsidRPr="00540B87">
        <w:rPr>
          <w:rFonts w:ascii="Arial" w:hAnsi="Arial" w:cs="Arial"/>
        </w:rPr>
        <w:t xml:space="preserve"> </w:t>
      </w:r>
    </w:p>
    <w:p w:rsidR="002B5A16" w:rsidRPr="00540B87" w:rsidRDefault="002B5A16" w:rsidP="002B5A16">
      <w:pPr>
        <w:framePr w:hSpace="180" w:wrap="around" w:vAnchor="text" w:hAnchor="text" w:xAlign="center" w:y="1"/>
        <w:widowControl w:val="0"/>
        <w:numPr>
          <w:ilvl w:val="0"/>
          <w:numId w:val="12"/>
        </w:numPr>
        <w:suppressAutoHyphens/>
        <w:suppressOverlap/>
        <w:rPr>
          <w:rFonts w:ascii="Arial" w:hAnsi="Arial" w:cs="Arial"/>
        </w:rPr>
      </w:pPr>
      <w:r w:rsidRPr="00540B87">
        <w:rPr>
          <w:rFonts w:ascii="Arial" w:hAnsi="Arial" w:cs="Arial"/>
        </w:rPr>
        <w:t xml:space="preserve">The research and industry capacities built by the investment have not been valued due to the difficulty of valuing such capacity.   </w:t>
      </w:r>
    </w:p>
    <w:p w:rsidR="002B5A16" w:rsidRDefault="002B5A16" w:rsidP="002B5A16">
      <w:pPr>
        <w:numPr>
          <w:ilvl w:val="0"/>
          <w:numId w:val="12"/>
        </w:numPr>
        <w:suppressAutoHyphens/>
        <w:rPr>
          <w:rFonts w:ascii="Arial" w:hAnsi="Arial" w:cs="Arial"/>
          <w:szCs w:val="20"/>
        </w:rPr>
      </w:pPr>
      <w:r w:rsidRPr="00540B87">
        <w:rPr>
          <w:rFonts w:ascii="Arial" w:hAnsi="Arial" w:cs="Arial"/>
          <w:szCs w:val="20"/>
        </w:rPr>
        <w:t xml:space="preserve">The Increased community well-being through the spill-over effects of a more profitable plum industry in regional areas of Australia has not been valued due to a lack of readily available data on the distribution of the QG trees in Australia, as well as time and resource constraints. </w:t>
      </w:r>
    </w:p>
    <w:p w:rsidR="002B5A16" w:rsidRDefault="002B5A16" w:rsidP="002B5A16">
      <w:pPr>
        <w:widowControl w:val="0"/>
        <w:numPr>
          <w:ilvl w:val="0"/>
          <w:numId w:val="12"/>
        </w:numPr>
        <w:suppressAutoHyphens/>
        <w:rPr>
          <w:rFonts w:ascii="Arial" w:hAnsi="Arial" w:cs="Arial"/>
        </w:rPr>
      </w:pPr>
      <w:r w:rsidRPr="00540B87">
        <w:rPr>
          <w:rFonts w:ascii="Arial" w:hAnsi="Arial" w:cs="Arial"/>
        </w:rPr>
        <w:t xml:space="preserve">The potential health benefits to consumers via any specific disease amelioration and health provision activity. These prospective health benefits are still uncertain as research is currently ongoing, hence their value is not estimated. Also, the past and current demand and prices paid for the QG </w:t>
      </w:r>
      <w:r>
        <w:rPr>
          <w:rFonts w:ascii="Arial" w:hAnsi="Arial" w:cs="Arial"/>
        </w:rPr>
        <w:t xml:space="preserve">plum </w:t>
      </w:r>
      <w:r w:rsidRPr="00540B87">
        <w:rPr>
          <w:rFonts w:ascii="Arial" w:hAnsi="Arial" w:cs="Arial"/>
        </w:rPr>
        <w:t>are likely to include some perceived health benefits anyway.</w:t>
      </w:r>
    </w:p>
    <w:p w:rsidR="002B5A16" w:rsidRDefault="002B5A16" w:rsidP="002B5A16">
      <w:pPr>
        <w:suppressAutoHyphens/>
        <w:ind w:left="360"/>
        <w:rPr>
          <w:rFonts w:ascii="Arial" w:hAnsi="Arial" w:cs="Arial"/>
          <w:szCs w:val="20"/>
        </w:rPr>
      </w:pPr>
    </w:p>
    <w:p w:rsidR="000D5A34" w:rsidRDefault="000D5A34" w:rsidP="002B5A16">
      <w:pPr>
        <w:suppressAutoHyphens/>
        <w:ind w:left="360"/>
        <w:rPr>
          <w:rFonts w:ascii="Arial" w:hAnsi="Arial" w:cs="Arial"/>
          <w:szCs w:val="20"/>
        </w:rPr>
      </w:pPr>
    </w:p>
    <w:p w:rsidR="000D5A34" w:rsidRDefault="000D5A34" w:rsidP="002B5A16">
      <w:pPr>
        <w:suppressAutoHyphens/>
        <w:ind w:left="360"/>
        <w:rPr>
          <w:rFonts w:ascii="Arial" w:hAnsi="Arial" w:cs="Arial"/>
          <w:szCs w:val="20"/>
        </w:rPr>
      </w:pPr>
    </w:p>
    <w:p w:rsidR="000D5A34" w:rsidRPr="00540B87" w:rsidRDefault="000D5A34" w:rsidP="002B5A16">
      <w:pPr>
        <w:suppressAutoHyphens/>
        <w:ind w:left="360"/>
        <w:rPr>
          <w:rFonts w:ascii="Arial" w:hAnsi="Arial" w:cs="Arial"/>
          <w:szCs w:val="20"/>
        </w:rPr>
      </w:pPr>
    </w:p>
    <w:p w:rsidR="002B5A16" w:rsidRPr="002C122E" w:rsidRDefault="002B5A16" w:rsidP="00A66BB1">
      <w:pPr>
        <w:spacing w:after="240"/>
        <w:rPr>
          <w:rFonts w:ascii="Arial" w:hAnsi="Arial" w:cs="Arial"/>
          <w:b/>
          <w:sz w:val="24"/>
        </w:rPr>
      </w:pPr>
      <w:r w:rsidRPr="002C122E">
        <w:rPr>
          <w:rFonts w:ascii="Arial" w:hAnsi="Arial" w:cs="Arial"/>
          <w:b/>
          <w:sz w:val="24"/>
        </w:rPr>
        <w:t xml:space="preserve">Total Tree Plantings </w:t>
      </w:r>
    </w:p>
    <w:p w:rsidR="002B5A16" w:rsidRPr="00540B87" w:rsidRDefault="002B5A16" w:rsidP="00A66BB1">
      <w:pPr>
        <w:spacing w:after="240"/>
        <w:rPr>
          <w:rFonts w:ascii="Arial" w:hAnsi="Arial" w:cs="Arial"/>
        </w:rPr>
      </w:pPr>
      <w:r w:rsidRPr="00540B87">
        <w:rPr>
          <w:rFonts w:ascii="Arial" w:hAnsi="Arial" w:cs="Arial"/>
        </w:rPr>
        <w:t xml:space="preserve">The QG plum already has been planted in the major plum growing areas of Australia (mainly Victoria and NSW). Table 9 provides the number of trees planted by year and expected to be planted up to 2018 (Nutrafruit, 2017). Two further years of planting at 25,000 trees per year were assumed by Agtrans Research for 2019 and 2020 based on current profitability of, and interest in, the QG plum. No plantings have been assumed after 2020 due to price uncertainty further into the future.  However, it is likely that further QG tree plantings will occur so the current assumptions on tree numbers can be viewed as conservative.  </w:t>
      </w:r>
    </w:p>
    <w:p w:rsidR="002B5A16" w:rsidRPr="004A1381" w:rsidRDefault="002B5A16" w:rsidP="00A66BB1">
      <w:pPr>
        <w:spacing w:after="240"/>
        <w:rPr>
          <w:rFonts w:ascii="Arial" w:hAnsi="Arial" w:cs="Arial"/>
        </w:rPr>
      </w:pPr>
      <w:r w:rsidRPr="004A1381">
        <w:rPr>
          <w:rFonts w:ascii="Arial" w:hAnsi="Arial" w:cs="Arial"/>
        </w:rPr>
        <w:t xml:space="preserve">Only trial plantings as opposed to commercial plantings have been made to date overseas and any royalty payments have yet to be received (Nutrafruit, 2017). However, as with future Australian plantings post 2020, some plantings overseas are expected but assumptions have not been made in this base evaluation. If commercial plantings are made in the future, the associated royalties would provide another source of benefits to Australia from the QG development.  Some exploration of overseas royalty payments has been made in the sensitivity analysis associated with this impact assessment.  </w:t>
      </w:r>
    </w:p>
    <w:p w:rsidR="002B5A16" w:rsidRPr="00A66BB1" w:rsidRDefault="002B5A16" w:rsidP="00A66BB1">
      <w:pPr>
        <w:pStyle w:val="Caption"/>
        <w:spacing w:after="240"/>
        <w:jc w:val="center"/>
        <w:rPr>
          <w:rFonts w:ascii="Arial" w:hAnsi="Arial"/>
          <w:b w:val="0"/>
          <w:i/>
          <w:sz w:val="22"/>
          <w:szCs w:val="22"/>
        </w:rPr>
      </w:pPr>
      <w:bookmarkStart w:id="522" w:name="_Toc487018714"/>
      <w:r w:rsidRPr="00A66BB1">
        <w:rPr>
          <w:rFonts w:ascii="Arial" w:hAnsi="Arial"/>
          <w:b w:val="0"/>
          <w:sz w:val="22"/>
          <w:szCs w:val="22"/>
        </w:rPr>
        <w:t xml:space="preserve">Table </w:t>
      </w:r>
      <w:r w:rsidR="00913E1D">
        <w:rPr>
          <w:rFonts w:ascii="Arial" w:hAnsi="Arial"/>
          <w:b w:val="0"/>
          <w:i/>
          <w:sz w:val="22"/>
          <w:szCs w:val="22"/>
        </w:rPr>
        <w:t>9</w:t>
      </w:r>
      <w:r w:rsidRPr="00A66BB1">
        <w:rPr>
          <w:rFonts w:ascii="Arial" w:hAnsi="Arial"/>
          <w:b w:val="0"/>
          <w:sz w:val="22"/>
          <w:szCs w:val="22"/>
        </w:rPr>
        <w:t>: Number of New QG Plum Trees Planted in Australia by Year from 2010</w:t>
      </w:r>
      <w:bookmarkEnd w:id="522"/>
    </w:p>
    <w:tbl>
      <w:tblPr>
        <w:tblStyle w:val="TableGrid"/>
        <w:tblW w:w="5382" w:type="dxa"/>
        <w:jc w:val="center"/>
        <w:tblLook w:val="04A0" w:firstRow="1" w:lastRow="0" w:firstColumn="1" w:lastColumn="0" w:noHBand="0" w:noVBand="1"/>
      </w:tblPr>
      <w:tblGrid>
        <w:gridCol w:w="1838"/>
        <w:gridCol w:w="1559"/>
        <w:gridCol w:w="1985"/>
      </w:tblGrid>
      <w:tr w:rsidR="002B5A16" w:rsidRPr="000D5A34" w:rsidTr="002B5A16">
        <w:trPr>
          <w:jc w:val="center"/>
        </w:trPr>
        <w:tc>
          <w:tcPr>
            <w:tcW w:w="1838" w:type="dxa"/>
          </w:tcPr>
          <w:p w:rsidR="002B5A16" w:rsidRPr="000D5A34" w:rsidRDefault="002B5A16" w:rsidP="002B5A16">
            <w:pPr>
              <w:rPr>
                <w:rFonts w:ascii="Arial" w:hAnsi="Arial" w:cs="Arial"/>
                <w:b/>
                <w:sz w:val="22"/>
                <w:szCs w:val="22"/>
              </w:rPr>
            </w:pPr>
            <w:r w:rsidRPr="000D5A34">
              <w:rPr>
                <w:rFonts w:ascii="Arial" w:hAnsi="Arial" w:cs="Arial"/>
                <w:b/>
                <w:sz w:val="22"/>
                <w:szCs w:val="22"/>
              </w:rPr>
              <w:t>Year</w:t>
            </w:r>
          </w:p>
        </w:tc>
        <w:tc>
          <w:tcPr>
            <w:tcW w:w="1559" w:type="dxa"/>
          </w:tcPr>
          <w:p w:rsidR="002B5A16" w:rsidRPr="000D5A34" w:rsidRDefault="002B5A16" w:rsidP="002B5A16">
            <w:pPr>
              <w:jc w:val="center"/>
              <w:rPr>
                <w:rFonts w:ascii="Arial" w:hAnsi="Arial" w:cs="Arial"/>
                <w:b/>
                <w:sz w:val="22"/>
                <w:szCs w:val="22"/>
              </w:rPr>
            </w:pPr>
            <w:r w:rsidRPr="000D5A34">
              <w:rPr>
                <w:rFonts w:ascii="Arial" w:hAnsi="Arial" w:cs="Arial"/>
                <w:b/>
                <w:sz w:val="22"/>
                <w:szCs w:val="22"/>
              </w:rPr>
              <w:t>New trees planted (a)</w:t>
            </w:r>
          </w:p>
        </w:tc>
        <w:tc>
          <w:tcPr>
            <w:tcW w:w="1985" w:type="dxa"/>
          </w:tcPr>
          <w:p w:rsidR="002B5A16" w:rsidRPr="000D5A34" w:rsidRDefault="002B5A16" w:rsidP="002B5A16">
            <w:pPr>
              <w:jc w:val="center"/>
              <w:rPr>
                <w:rFonts w:ascii="Arial" w:hAnsi="Arial" w:cs="Arial"/>
                <w:b/>
                <w:sz w:val="22"/>
                <w:szCs w:val="22"/>
              </w:rPr>
            </w:pPr>
            <w:r w:rsidRPr="000D5A34">
              <w:rPr>
                <w:rFonts w:ascii="Arial" w:hAnsi="Arial" w:cs="Arial"/>
                <w:b/>
                <w:sz w:val="22"/>
                <w:szCs w:val="22"/>
              </w:rPr>
              <w:t>Fruit bearing trees</w:t>
            </w:r>
          </w:p>
        </w:tc>
      </w:tr>
      <w:tr w:rsidR="002B5A16" w:rsidRPr="00540B87" w:rsidTr="002B5A16">
        <w:trPr>
          <w:jc w:val="center"/>
        </w:trPr>
        <w:tc>
          <w:tcPr>
            <w:tcW w:w="5382" w:type="dxa"/>
            <w:gridSpan w:val="3"/>
          </w:tcPr>
          <w:p w:rsidR="002B5A16" w:rsidRPr="00540B87" w:rsidRDefault="002B5A16" w:rsidP="002B5A16">
            <w:pPr>
              <w:rPr>
                <w:rFonts w:ascii="Arial" w:hAnsi="Arial" w:cs="Arial"/>
                <w:sz w:val="22"/>
                <w:szCs w:val="22"/>
              </w:rPr>
            </w:pPr>
            <w:r w:rsidRPr="00540B87">
              <w:rPr>
                <w:rFonts w:ascii="Arial" w:hAnsi="Arial" w:cs="Arial"/>
                <w:sz w:val="22"/>
                <w:szCs w:val="22"/>
              </w:rPr>
              <w:t>Actual</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2010</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14,900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0</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2011</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63,838</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0</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2012</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3,646</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0</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2013</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1,109</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14,900</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2014</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9,000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78,738</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2015</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10,230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82,384</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2016</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123,630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83,493</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2017</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38,110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92,493</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2018</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61,000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102,723</w:t>
            </w:r>
          </w:p>
        </w:tc>
      </w:tr>
      <w:tr w:rsidR="002B5A16" w:rsidRPr="00540B87" w:rsidTr="002B5A16">
        <w:trPr>
          <w:jc w:val="center"/>
        </w:trPr>
        <w:tc>
          <w:tcPr>
            <w:tcW w:w="1838" w:type="dxa"/>
          </w:tcPr>
          <w:p w:rsidR="002B5A16" w:rsidRPr="00047437" w:rsidRDefault="002B5A16" w:rsidP="002B5A16">
            <w:pPr>
              <w:rPr>
                <w:rFonts w:ascii="Arial" w:hAnsi="Arial" w:cs="Arial"/>
                <w:color w:val="000000" w:themeColor="text1"/>
                <w:sz w:val="22"/>
                <w:szCs w:val="22"/>
              </w:rPr>
            </w:pPr>
            <w:r w:rsidRPr="00047437">
              <w:rPr>
                <w:rFonts w:ascii="Arial" w:hAnsi="Arial" w:cs="Arial"/>
                <w:color w:val="000000" w:themeColor="text1"/>
                <w:sz w:val="22"/>
                <w:szCs w:val="22"/>
              </w:rPr>
              <w:t>Subtotal</w:t>
            </w:r>
          </w:p>
        </w:tc>
        <w:tc>
          <w:tcPr>
            <w:tcW w:w="1559" w:type="dxa"/>
          </w:tcPr>
          <w:p w:rsidR="002B5A16" w:rsidRPr="00047437" w:rsidRDefault="002B5A16" w:rsidP="002B5A16">
            <w:pPr>
              <w:jc w:val="right"/>
              <w:rPr>
                <w:rFonts w:ascii="Arial" w:hAnsi="Arial" w:cs="Arial"/>
                <w:color w:val="000000" w:themeColor="text1"/>
                <w:sz w:val="22"/>
                <w:szCs w:val="22"/>
              </w:rPr>
            </w:pPr>
            <w:r w:rsidRPr="00047437">
              <w:rPr>
                <w:rFonts w:ascii="Arial" w:hAnsi="Arial" w:cs="Arial"/>
                <w:color w:val="000000" w:themeColor="text1"/>
                <w:sz w:val="22"/>
                <w:szCs w:val="22"/>
              </w:rPr>
              <w:t>325,463</w:t>
            </w:r>
          </w:p>
        </w:tc>
        <w:tc>
          <w:tcPr>
            <w:tcW w:w="1985" w:type="dxa"/>
          </w:tcPr>
          <w:p w:rsidR="002B5A16" w:rsidRPr="00047437" w:rsidRDefault="002B5A16" w:rsidP="002B5A16">
            <w:pPr>
              <w:jc w:val="right"/>
              <w:rPr>
                <w:rFonts w:ascii="Arial" w:hAnsi="Arial" w:cs="Arial"/>
                <w:sz w:val="22"/>
                <w:szCs w:val="22"/>
              </w:rPr>
            </w:pP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2019 estimated</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25,000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226,353</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2020 estimated</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25,000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264,463</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2021 estimated</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325,463</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2022 estimated</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 xml:space="preserve"> 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350,463</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 xml:space="preserve">2023 estimated </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375,463</w:t>
            </w:r>
          </w:p>
        </w:tc>
      </w:tr>
      <w:tr w:rsidR="002B5A16" w:rsidRPr="00540B87" w:rsidTr="002B5A16">
        <w:trPr>
          <w:jc w:val="center"/>
        </w:trPr>
        <w:tc>
          <w:tcPr>
            <w:tcW w:w="1838" w:type="dxa"/>
          </w:tcPr>
          <w:p w:rsidR="002B5A16" w:rsidRPr="00540B87" w:rsidRDefault="002B5A16" w:rsidP="002B5A16">
            <w:pPr>
              <w:rPr>
                <w:rFonts w:ascii="Arial" w:hAnsi="Arial" w:cs="Arial"/>
                <w:sz w:val="22"/>
                <w:szCs w:val="22"/>
              </w:rPr>
            </w:pPr>
            <w:r w:rsidRPr="00540B87">
              <w:rPr>
                <w:rFonts w:ascii="Arial" w:hAnsi="Arial" w:cs="Arial"/>
                <w:sz w:val="22"/>
                <w:szCs w:val="22"/>
              </w:rPr>
              <w:t>2024 onwards</w:t>
            </w:r>
          </w:p>
        </w:tc>
        <w:tc>
          <w:tcPr>
            <w:tcW w:w="1559"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0</w:t>
            </w:r>
          </w:p>
        </w:tc>
        <w:tc>
          <w:tcPr>
            <w:tcW w:w="1985" w:type="dxa"/>
          </w:tcPr>
          <w:p w:rsidR="002B5A16" w:rsidRPr="00540B87" w:rsidRDefault="002B5A16" w:rsidP="002B5A16">
            <w:pPr>
              <w:jc w:val="right"/>
              <w:rPr>
                <w:rFonts w:ascii="Arial" w:hAnsi="Arial" w:cs="Arial"/>
                <w:sz w:val="22"/>
                <w:szCs w:val="22"/>
              </w:rPr>
            </w:pPr>
            <w:r w:rsidRPr="00540B87">
              <w:rPr>
                <w:rFonts w:ascii="Arial" w:hAnsi="Arial" w:cs="Arial"/>
                <w:sz w:val="22"/>
                <w:szCs w:val="22"/>
              </w:rPr>
              <w:t>375,463</w:t>
            </w:r>
          </w:p>
        </w:tc>
      </w:tr>
    </w:tbl>
    <w:p w:rsidR="002B5A16" w:rsidRPr="00540B87" w:rsidRDefault="002B5A16" w:rsidP="002B5A16">
      <w:pPr>
        <w:jc w:val="center"/>
        <w:rPr>
          <w:rFonts w:ascii="Arial" w:hAnsi="Arial" w:cs="Arial"/>
        </w:rPr>
      </w:pPr>
      <w:bookmarkStart w:id="523" w:name="_Hlk478485443"/>
      <w:r w:rsidRPr="00540B87">
        <w:rPr>
          <w:rFonts w:ascii="Arial" w:hAnsi="Arial" w:cs="Arial"/>
        </w:rPr>
        <w:t xml:space="preserve"> (a) Source: Nutrafruit (2017) </w:t>
      </w:r>
      <w:bookmarkEnd w:id="523"/>
    </w:p>
    <w:p w:rsidR="002B5A16" w:rsidRDefault="002B5A16" w:rsidP="002B5A16">
      <w:pPr>
        <w:rPr>
          <w:rFonts w:ascii="Arial" w:hAnsi="Arial" w:cs="Arial"/>
          <w:i/>
        </w:rPr>
      </w:pPr>
      <w:bookmarkStart w:id="524" w:name="_Hlk482976670"/>
    </w:p>
    <w:p w:rsidR="002B5A16" w:rsidRPr="002C122E" w:rsidRDefault="002B5A16" w:rsidP="00A66BB1">
      <w:pPr>
        <w:spacing w:after="240"/>
        <w:rPr>
          <w:rFonts w:ascii="Arial" w:hAnsi="Arial" w:cs="Arial"/>
          <w:b/>
          <w:sz w:val="24"/>
        </w:rPr>
      </w:pPr>
      <w:r w:rsidRPr="002C122E">
        <w:rPr>
          <w:rFonts w:ascii="Arial" w:hAnsi="Arial" w:cs="Arial"/>
          <w:b/>
          <w:sz w:val="24"/>
        </w:rPr>
        <w:t xml:space="preserve">Additional Profits from Growing the Queen Garnet Plum in Australia </w:t>
      </w:r>
    </w:p>
    <w:p w:rsidR="002B5A16" w:rsidRDefault="002B5A16" w:rsidP="00A66BB1">
      <w:pPr>
        <w:spacing w:after="240"/>
        <w:rPr>
          <w:rFonts w:ascii="Arial" w:hAnsi="Arial" w:cs="Arial"/>
        </w:rPr>
      </w:pPr>
      <w:r>
        <w:rPr>
          <w:rFonts w:ascii="Arial" w:hAnsi="Arial" w:cs="Arial"/>
        </w:rPr>
        <w:t xml:space="preserve">Additional profits will be derived from the higher prices for QG plums compared to other plum varieties. The retail price for QG plums has varied by year from about $11-$12 per kg in 2015 to $15-$16 in 2016 (Fruity Capers, Toowong, Brisbane). Nutrafruit (2017) reported retail prices of $17 to $20 per kg in 2017. Retail prices for non-QG black plums have been in the order of $4 to $8 per kg in 2017. This suggests a retail price ratio of about 3 to 1 in favour of QG plums. </w:t>
      </w:r>
    </w:p>
    <w:p w:rsidR="002B5A16" w:rsidRDefault="002B5A16" w:rsidP="00A66BB1">
      <w:pPr>
        <w:spacing w:after="240"/>
        <w:rPr>
          <w:rFonts w:ascii="Arial" w:hAnsi="Arial" w:cs="Arial"/>
        </w:rPr>
      </w:pPr>
      <w:r>
        <w:rPr>
          <w:rFonts w:ascii="Arial" w:hAnsi="Arial" w:cs="Arial"/>
        </w:rPr>
        <w:t xml:space="preserve">Wholesale prices for the QG plum in 2017 have averaged $10.10 per kg (Nutrafruit, 2017). The average wholesale price for all plums over the period 2013 to 2015 had been $2.10 per kg. Although this suggests a higher price ratio than 3 to 1, wholesale prices for the QG plum before 2017 may have been lower. Due to the uncertainty of the future price, a wholesale price ratio of 3 to 1 has been used in the analysis.     </w:t>
      </w:r>
    </w:p>
    <w:p w:rsidR="002B5A16" w:rsidRDefault="002B5A16" w:rsidP="00A66BB1">
      <w:pPr>
        <w:spacing w:after="240"/>
        <w:rPr>
          <w:rFonts w:ascii="Arial" w:hAnsi="Arial" w:cs="Arial"/>
        </w:rPr>
      </w:pPr>
      <w:r>
        <w:rPr>
          <w:rFonts w:ascii="Arial" w:hAnsi="Arial" w:cs="Arial"/>
        </w:rPr>
        <w:t>The extent of the profitability gain will vary according to the method and rationale for establishment of the QG. Three me</w:t>
      </w:r>
      <w:r w:rsidR="00A66BB1">
        <w:rPr>
          <w:rFonts w:ascii="Arial" w:hAnsi="Arial" w:cs="Arial"/>
        </w:rPr>
        <w:t>thods are considered.</w:t>
      </w:r>
    </w:p>
    <w:p w:rsidR="002B5A16" w:rsidRDefault="002B5A16" w:rsidP="000D5A34">
      <w:pPr>
        <w:pStyle w:val="ListParagraph"/>
        <w:numPr>
          <w:ilvl w:val="0"/>
          <w:numId w:val="64"/>
        </w:numPr>
        <w:suppressAutoHyphens/>
        <w:contextualSpacing w:val="0"/>
        <w:rPr>
          <w:rFonts w:ascii="Arial" w:hAnsi="Arial" w:cs="Arial"/>
        </w:rPr>
      </w:pPr>
      <w:r>
        <w:rPr>
          <w:rFonts w:ascii="Arial" w:hAnsi="Arial" w:cs="Arial"/>
        </w:rPr>
        <w:t>E</w:t>
      </w:r>
      <w:r w:rsidRPr="000D5794">
        <w:rPr>
          <w:rFonts w:ascii="Arial" w:hAnsi="Arial" w:cs="Arial"/>
        </w:rPr>
        <w:t xml:space="preserve">xisting </w:t>
      </w:r>
      <w:r>
        <w:rPr>
          <w:rFonts w:ascii="Arial" w:hAnsi="Arial" w:cs="Arial"/>
        </w:rPr>
        <w:t xml:space="preserve">aged </w:t>
      </w:r>
      <w:r w:rsidRPr="000D5794">
        <w:rPr>
          <w:rFonts w:ascii="Arial" w:hAnsi="Arial" w:cs="Arial"/>
        </w:rPr>
        <w:t xml:space="preserve">plum trees are replaced </w:t>
      </w:r>
      <w:r>
        <w:rPr>
          <w:rFonts w:ascii="Arial" w:hAnsi="Arial" w:cs="Arial"/>
        </w:rPr>
        <w:t>b</w:t>
      </w:r>
      <w:r w:rsidRPr="000D5794">
        <w:rPr>
          <w:rFonts w:ascii="Arial" w:hAnsi="Arial" w:cs="Arial"/>
        </w:rPr>
        <w:t>y QG</w:t>
      </w:r>
      <w:r>
        <w:rPr>
          <w:rFonts w:ascii="Arial" w:hAnsi="Arial" w:cs="Arial"/>
        </w:rPr>
        <w:t xml:space="preserve"> trees as opposed to another plum type.</w:t>
      </w:r>
      <w:r w:rsidRPr="000D5794">
        <w:rPr>
          <w:rFonts w:ascii="Arial" w:hAnsi="Arial" w:cs="Arial"/>
        </w:rPr>
        <w:t xml:space="preserve"> It is assumed that this change will result in a net gain to </w:t>
      </w:r>
      <w:r>
        <w:rPr>
          <w:rFonts w:ascii="Arial" w:hAnsi="Arial" w:cs="Arial"/>
        </w:rPr>
        <w:t xml:space="preserve">growers </w:t>
      </w:r>
      <w:r w:rsidRPr="000D5794">
        <w:rPr>
          <w:rFonts w:ascii="Arial" w:hAnsi="Arial" w:cs="Arial"/>
        </w:rPr>
        <w:t>due to the higher price</w:t>
      </w:r>
      <w:bookmarkStart w:id="525" w:name="_Hlk484531912"/>
      <w:r>
        <w:rPr>
          <w:rFonts w:ascii="Arial" w:hAnsi="Arial" w:cs="Arial"/>
        </w:rPr>
        <w:t xml:space="preserve"> but low establishment costs are included as the planting cost would have been incurred anyway. The exception is the licensing fee but this is minor compared to the capital costs of establishing new trees.</w:t>
      </w:r>
      <w:r w:rsidRPr="000D5794">
        <w:rPr>
          <w:rFonts w:ascii="Arial" w:hAnsi="Arial" w:cs="Arial"/>
        </w:rPr>
        <w:t xml:space="preserve"> </w:t>
      </w:r>
    </w:p>
    <w:p w:rsidR="002B5A16" w:rsidRDefault="002B5A16" w:rsidP="000D5A34">
      <w:pPr>
        <w:pStyle w:val="ListParagraph"/>
        <w:numPr>
          <w:ilvl w:val="0"/>
          <w:numId w:val="64"/>
        </w:numPr>
        <w:suppressAutoHyphens/>
        <w:contextualSpacing w:val="0"/>
        <w:rPr>
          <w:rFonts w:ascii="Arial" w:hAnsi="Arial" w:cs="Arial"/>
        </w:rPr>
      </w:pPr>
      <w:r w:rsidRPr="00540B87">
        <w:rPr>
          <w:rFonts w:ascii="Arial" w:hAnsi="Arial" w:cs="Arial"/>
        </w:rPr>
        <w:t>It is understood that some plantings to date have been via topworking</w:t>
      </w:r>
      <w:r>
        <w:rPr>
          <w:rFonts w:ascii="Arial" w:hAnsi="Arial" w:cs="Arial"/>
        </w:rPr>
        <w:t xml:space="preserve"> or grafting</w:t>
      </w:r>
      <w:r w:rsidRPr="00540B87">
        <w:rPr>
          <w:rFonts w:ascii="Arial" w:hAnsi="Arial" w:cs="Arial"/>
        </w:rPr>
        <w:t xml:space="preserve"> existing trees.</w:t>
      </w:r>
    </w:p>
    <w:p w:rsidR="002B5A16" w:rsidRDefault="002B5A16" w:rsidP="000D5A34">
      <w:pPr>
        <w:pStyle w:val="ListParagraph"/>
        <w:numPr>
          <w:ilvl w:val="0"/>
          <w:numId w:val="64"/>
        </w:numPr>
        <w:suppressAutoHyphens/>
        <w:spacing w:after="240"/>
        <w:contextualSpacing w:val="0"/>
        <w:rPr>
          <w:rFonts w:ascii="Arial" w:hAnsi="Arial" w:cs="Arial"/>
        </w:rPr>
      </w:pPr>
      <w:r>
        <w:rPr>
          <w:rFonts w:ascii="Arial" w:hAnsi="Arial" w:cs="Arial"/>
        </w:rPr>
        <w:t xml:space="preserve">Other </w:t>
      </w:r>
      <w:r w:rsidRPr="002A30D1">
        <w:rPr>
          <w:rFonts w:ascii="Arial" w:hAnsi="Arial" w:cs="Arial"/>
        </w:rPr>
        <w:t xml:space="preserve">plantings have been on new areas of land and the profits from these trees will depend on the opportunity value of the land, the capital investment required for the new planting and the gross margin </w:t>
      </w:r>
      <w:r>
        <w:rPr>
          <w:rFonts w:ascii="Arial" w:hAnsi="Arial" w:cs="Arial"/>
        </w:rPr>
        <w:t xml:space="preserve">from </w:t>
      </w:r>
      <w:r w:rsidRPr="002A30D1">
        <w:rPr>
          <w:rFonts w:ascii="Arial" w:hAnsi="Arial" w:cs="Arial"/>
        </w:rPr>
        <w:t>growing the QG plum.</w:t>
      </w:r>
    </w:p>
    <w:bookmarkEnd w:id="524"/>
    <w:bookmarkEnd w:id="525"/>
    <w:p w:rsidR="002B5A16" w:rsidRPr="00930FE5" w:rsidRDefault="002B5A16" w:rsidP="00A66BB1">
      <w:pPr>
        <w:spacing w:after="240"/>
        <w:rPr>
          <w:rFonts w:ascii="Arial" w:hAnsi="Arial" w:cs="Arial"/>
        </w:rPr>
      </w:pPr>
      <w:r>
        <w:rPr>
          <w:rFonts w:ascii="Arial" w:hAnsi="Arial" w:cs="Arial"/>
        </w:rPr>
        <w:t>Of the new plantings of QG plums made or planned in Australia, 20% are assumed to be in the category of replacement trees for aged plum or stonefruit trees, 10% from topworking/grafting, and 70% established on new land areas.  General assumptions for the valuation of benefits and s</w:t>
      </w:r>
      <w:r w:rsidRPr="00930FE5">
        <w:rPr>
          <w:rFonts w:ascii="Arial" w:hAnsi="Arial" w:cs="Arial"/>
        </w:rPr>
        <w:t xml:space="preserve">pecific assumptions for valuing </w:t>
      </w:r>
      <w:r>
        <w:rPr>
          <w:rFonts w:ascii="Arial" w:hAnsi="Arial" w:cs="Arial"/>
        </w:rPr>
        <w:t xml:space="preserve">profits for each of the three types of plantings </w:t>
      </w:r>
      <w:r w:rsidRPr="00930FE5">
        <w:rPr>
          <w:rFonts w:ascii="Arial" w:hAnsi="Arial" w:cs="Arial"/>
        </w:rPr>
        <w:t>are provided in Table 1</w:t>
      </w:r>
      <w:r>
        <w:rPr>
          <w:rFonts w:ascii="Arial" w:hAnsi="Arial" w:cs="Arial"/>
        </w:rPr>
        <w:t>0</w:t>
      </w:r>
      <w:r w:rsidRPr="00930FE5">
        <w:rPr>
          <w:rFonts w:ascii="Arial" w:hAnsi="Arial" w:cs="Arial"/>
        </w:rPr>
        <w:t>.</w:t>
      </w:r>
      <w:r>
        <w:rPr>
          <w:rFonts w:ascii="Arial" w:hAnsi="Arial" w:cs="Arial"/>
        </w:rPr>
        <w:t xml:space="preserve">  </w:t>
      </w:r>
    </w:p>
    <w:p w:rsidR="002B5A16" w:rsidRPr="003B1CB9" w:rsidRDefault="002B5A16" w:rsidP="00A66BB1">
      <w:pPr>
        <w:spacing w:after="240"/>
        <w:rPr>
          <w:rFonts w:ascii="Arial" w:hAnsi="Arial" w:cs="Arial"/>
          <w:b/>
          <w:color w:val="000000" w:themeColor="text1"/>
          <w:sz w:val="24"/>
        </w:rPr>
      </w:pPr>
      <w:r w:rsidRPr="003B1CB9">
        <w:rPr>
          <w:rFonts w:ascii="Arial" w:hAnsi="Arial" w:cs="Arial"/>
          <w:b/>
          <w:color w:val="000000" w:themeColor="text1"/>
          <w:sz w:val="24"/>
        </w:rPr>
        <w:t>Counterfactual</w:t>
      </w:r>
    </w:p>
    <w:p w:rsidR="002B5A16" w:rsidRDefault="002B5A16" w:rsidP="00A66BB1">
      <w:pPr>
        <w:spacing w:after="240"/>
        <w:rPr>
          <w:rFonts w:ascii="Arial" w:hAnsi="Arial" w:cs="Arial"/>
          <w:color w:val="000000" w:themeColor="text1"/>
        </w:rPr>
      </w:pPr>
      <w:r>
        <w:rPr>
          <w:rFonts w:ascii="Arial" w:hAnsi="Arial" w:cs="Arial"/>
          <w:color w:val="000000" w:themeColor="text1"/>
        </w:rPr>
        <w:t xml:space="preserve">Without the investment in plum </w:t>
      </w:r>
      <w:r w:rsidRPr="005F2B49">
        <w:rPr>
          <w:rFonts w:ascii="Arial" w:hAnsi="Arial" w:cs="Arial"/>
          <w:color w:val="000000" w:themeColor="text1"/>
        </w:rPr>
        <w:t xml:space="preserve">breeding </w:t>
      </w:r>
      <w:r>
        <w:rPr>
          <w:rFonts w:ascii="Arial" w:hAnsi="Arial" w:cs="Arial"/>
          <w:color w:val="000000" w:themeColor="text1"/>
        </w:rPr>
        <w:t>led by DAF, the Queen Garnet plum would not have been produced. While the breeding program was targeting a type of plum with the QG colour and quality for the Asian market, the potential health benefits were not specifically targeted and could be viewed as a serendipitous outcome and of additional potential value.</w:t>
      </w:r>
    </w:p>
    <w:p w:rsidR="002B5A16" w:rsidRPr="002C122E" w:rsidRDefault="002B5A16" w:rsidP="00A66BB1">
      <w:pPr>
        <w:spacing w:after="240"/>
        <w:rPr>
          <w:rFonts w:ascii="Arial" w:hAnsi="Arial" w:cs="Arial"/>
          <w:b/>
          <w:color w:val="000000" w:themeColor="text1"/>
          <w:sz w:val="24"/>
        </w:rPr>
      </w:pPr>
      <w:r w:rsidRPr="002C122E">
        <w:rPr>
          <w:rFonts w:ascii="Arial" w:hAnsi="Arial" w:cs="Arial"/>
          <w:b/>
          <w:color w:val="000000" w:themeColor="text1"/>
          <w:sz w:val="24"/>
        </w:rPr>
        <w:t>Summary of Assumptions</w:t>
      </w:r>
    </w:p>
    <w:p w:rsidR="002B5A16" w:rsidRPr="003B1CB9" w:rsidRDefault="002B5A16" w:rsidP="00A66BB1">
      <w:pPr>
        <w:spacing w:after="240"/>
        <w:rPr>
          <w:rFonts w:ascii="Arial" w:hAnsi="Arial" w:cs="Arial"/>
          <w:color w:val="000000" w:themeColor="text1"/>
        </w:rPr>
      </w:pPr>
      <w:r w:rsidRPr="003B1CB9">
        <w:rPr>
          <w:rFonts w:ascii="Arial" w:hAnsi="Arial" w:cs="Arial"/>
          <w:color w:val="000000" w:themeColor="text1"/>
        </w:rPr>
        <w:t xml:space="preserve">A summary of the key assumptions made for valuation of the impacts is shown in </w:t>
      </w:r>
      <w:r w:rsidRPr="003B1CB9">
        <w:rPr>
          <w:rFonts w:ascii="Arial" w:hAnsi="Arial" w:cs="Arial"/>
        </w:rPr>
        <w:t xml:space="preserve">Table </w:t>
      </w:r>
      <w:r>
        <w:rPr>
          <w:rFonts w:ascii="Arial" w:hAnsi="Arial" w:cs="Arial"/>
        </w:rPr>
        <w:t>10</w:t>
      </w:r>
      <w:r w:rsidRPr="003B1CB9">
        <w:rPr>
          <w:rFonts w:ascii="Arial" w:hAnsi="Arial" w:cs="Arial"/>
        </w:rPr>
        <w:t>.</w:t>
      </w:r>
      <w:r w:rsidRPr="003B1CB9">
        <w:rPr>
          <w:rFonts w:ascii="Arial" w:hAnsi="Arial" w:cs="Arial"/>
          <w:color w:val="000000" w:themeColor="text1"/>
        </w:rPr>
        <w:t xml:space="preserve"> </w:t>
      </w:r>
    </w:p>
    <w:p w:rsidR="002B5A16" w:rsidRPr="00A66BB1" w:rsidRDefault="002B5A16" w:rsidP="00A66BB1">
      <w:pPr>
        <w:pStyle w:val="Caption"/>
        <w:spacing w:after="240"/>
        <w:jc w:val="center"/>
        <w:rPr>
          <w:rFonts w:ascii="Arial" w:hAnsi="Arial"/>
          <w:b w:val="0"/>
          <w:i/>
          <w:sz w:val="22"/>
          <w:szCs w:val="22"/>
        </w:rPr>
      </w:pPr>
      <w:bookmarkStart w:id="526" w:name="_Toc487018715"/>
      <w:r w:rsidRPr="00A66BB1">
        <w:rPr>
          <w:rFonts w:ascii="Arial" w:hAnsi="Arial"/>
          <w:b w:val="0"/>
          <w:sz w:val="22"/>
          <w:szCs w:val="22"/>
        </w:rPr>
        <w:t xml:space="preserve">Table </w:t>
      </w:r>
      <w:r w:rsidR="00913E1D" w:rsidRPr="000D5A34">
        <w:rPr>
          <w:rFonts w:ascii="Arial" w:hAnsi="Arial"/>
          <w:b w:val="0"/>
          <w:sz w:val="22"/>
          <w:szCs w:val="22"/>
        </w:rPr>
        <w:t>10</w:t>
      </w:r>
      <w:r w:rsidRPr="000D5A34">
        <w:rPr>
          <w:rFonts w:ascii="Arial" w:hAnsi="Arial"/>
          <w:b w:val="0"/>
          <w:sz w:val="22"/>
          <w:szCs w:val="22"/>
        </w:rPr>
        <w:t>:</w:t>
      </w:r>
      <w:r w:rsidRPr="00A66BB1">
        <w:rPr>
          <w:rFonts w:ascii="Arial" w:hAnsi="Arial"/>
          <w:b w:val="0"/>
          <w:sz w:val="22"/>
          <w:szCs w:val="22"/>
        </w:rPr>
        <w:t xml:space="preserve"> Summary of Assumptions</w:t>
      </w:r>
      <w:bookmarkEnd w:id="526"/>
    </w:p>
    <w:tbl>
      <w:tblPr>
        <w:tblStyle w:val="TableGrid"/>
        <w:tblW w:w="9586" w:type="dxa"/>
        <w:jc w:val="center"/>
        <w:tblLook w:val="04A0" w:firstRow="1" w:lastRow="0" w:firstColumn="1" w:lastColumn="0" w:noHBand="0" w:noVBand="1"/>
      </w:tblPr>
      <w:tblGrid>
        <w:gridCol w:w="3535"/>
        <w:gridCol w:w="2420"/>
        <w:gridCol w:w="3631"/>
      </w:tblGrid>
      <w:tr w:rsidR="002B5A16" w:rsidRPr="00A75CF6" w:rsidTr="002B5A16">
        <w:trPr>
          <w:jc w:val="center"/>
        </w:trPr>
        <w:tc>
          <w:tcPr>
            <w:tcW w:w="3535" w:type="dxa"/>
          </w:tcPr>
          <w:p w:rsidR="002B5A16" w:rsidRPr="004C1ED1" w:rsidRDefault="002B5A16" w:rsidP="002B5A16">
            <w:pPr>
              <w:rPr>
                <w:rFonts w:ascii="Arial" w:hAnsi="Arial" w:cs="Arial"/>
                <w:b/>
                <w:color w:val="000000" w:themeColor="text1"/>
                <w:sz w:val="22"/>
                <w:szCs w:val="22"/>
              </w:rPr>
            </w:pPr>
            <w:r w:rsidRPr="004C1ED1">
              <w:rPr>
                <w:rFonts w:ascii="Arial" w:hAnsi="Arial" w:cs="Arial"/>
                <w:b/>
                <w:color w:val="000000" w:themeColor="text1"/>
                <w:sz w:val="22"/>
                <w:szCs w:val="22"/>
              </w:rPr>
              <w:t xml:space="preserve">Variable </w:t>
            </w:r>
          </w:p>
        </w:tc>
        <w:tc>
          <w:tcPr>
            <w:tcW w:w="2420" w:type="dxa"/>
          </w:tcPr>
          <w:p w:rsidR="002B5A16" w:rsidRPr="004C1ED1" w:rsidRDefault="002B5A16" w:rsidP="002B5A16">
            <w:pPr>
              <w:jc w:val="center"/>
              <w:rPr>
                <w:rFonts w:ascii="Arial" w:hAnsi="Arial" w:cs="Arial"/>
                <w:b/>
                <w:color w:val="000000" w:themeColor="text1"/>
                <w:sz w:val="22"/>
                <w:szCs w:val="22"/>
              </w:rPr>
            </w:pPr>
            <w:r w:rsidRPr="004C1ED1">
              <w:rPr>
                <w:rFonts w:ascii="Arial" w:hAnsi="Arial" w:cs="Arial"/>
                <w:b/>
                <w:color w:val="000000" w:themeColor="text1"/>
                <w:sz w:val="22"/>
                <w:szCs w:val="22"/>
              </w:rPr>
              <w:t>Assumption</w:t>
            </w:r>
          </w:p>
        </w:tc>
        <w:tc>
          <w:tcPr>
            <w:tcW w:w="3631" w:type="dxa"/>
          </w:tcPr>
          <w:p w:rsidR="002B5A16" w:rsidRPr="004C1ED1" w:rsidRDefault="002B5A16" w:rsidP="002B5A16">
            <w:pPr>
              <w:jc w:val="center"/>
              <w:rPr>
                <w:rFonts w:ascii="Arial" w:hAnsi="Arial" w:cs="Arial"/>
                <w:b/>
                <w:color w:val="000000" w:themeColor="text1"/>
                <w:sz w:val="22"/>
                <w:szCs w:val="22"/>
              </w:rPr>
            </w:pPr>
            <w:r w:rsidRPr="004C1ED1">
              <w:rPr>
                <w:rFonts w:ascii="Arial" w:hAnsi="Arial" w:cs="Arial"/>
                <w:b/>
                <w:color w:val="000000" w:themeColor="text1"/>
                <w:sz w:val="22"/>
                <w:szCs w:val="22"/>
              </w:rPr>
              <w:t>Source</w:t>
            </w:r>
          </w:p>
        </w:tc>
      </w:tr>
      <w:tr w:rsidR="002B5A16" w:rsidRPr="00A75CF6" w:rsidTr="002B5A16">
        <w:trPr>
          <w:jc w:val="center"/>
        </w:trPr>
        <w:tc>
          <w:tcPr>
            <w:tcW w:w="9586" w:type="dxa"/>
            <w:gridSpan w:val="3"/>
          </w:tcPr>
          <w:p w:rsidR="002B5A16" w:rsidRPr="004C1ED1" w:rsidRDefault="002B5A16" w:rsidP="002B5A16">
            <w:pPr>
              <w:rPr>
                <w:rFonts w:ascii="Arial" w:hAnsi="Arial" w:cs="Arial"/>
                <w:b/>
                <w:i/>
                <w:color w:val="000000" w:themeColor="text1"/>
                <w:sz w:val="22"/>
                <w:szCs w:val="22"/>
              </w:rPr>
            </w:pPr>
            <w:r w:rsidRPr="004C1ED1">
              <w:rPr>
                <w:rFonts w:ascii="Arial" w:hAnsi="Arial" w:cs="Arial"/>
                <w:b/>
                <w:i/>
                <w:color w:val="000000" w:themeColor="text1"/>
                <w:sz w:val="22"/>
                <w:szCs w:val="22"/>
              </w:rPr>
              <w:t xml:space="preserve">General Assumptions </w:t>
            </w:r>
          </w:p>
        </w:tc>
      </w:tr>
      <w:tr w:rsidR="002B5A16" w:rsidRPr="00A75CF6" w:rsidTr="002B5A16">
        <w:trPr>
          <w:jc w:val="center"/>
        </w:trPr>
        <w:tc>
          <w:tcPr>
            <w:tcW w:w="3535"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 xml:space="preserve">Year of commercialisation </w:t>
            </w:r>
          </w:p>
        </w:tc>
        <w:tc>
          <w:tcPr>
            <w:tcW w:w="2420"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2010</w:t>
            </w:r>
          </w:p>
        </w:tc>
        <w:tc>
          <w:tcPr>
            <w:tcW w:w="3631"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Nutrafruit website (2017)</w:t>
            </w:r>
          </w:p>
        </w:tc>
      </w:tr>
      <w:tr w:rsidR="002B5A16" w:rsidRPr="00A75CF6" w:rsidTr="002B5A16">
        <w:trPr>
          <w:jc w:val="center"/>
        </w:trPr>
        <w:tc>
          <w:tcPr>
            <w:tcW w:w="3535" w:type="dxa"/>
          </w:tcPr>
          <w:p w:rsidR="002B5A16" w:rsidRPr="004C1ED1" w:rsidRDefault="002B5A16" w:rsidP="002B5A16">
            <w:pPr>
              <w:rPr>
                <w:rFonts w:ascii="Arial" w:hAnsi="Arial" w:cs="Arial"/>
                <w:color w:val="000000" w:themeColor="text1"/>
                <w:sz w:val="22"/>
                <w:szCs w:val="22"/>
              </w:rPr>
            </w:pPr>
            <w:r w:rsidRPr="004C1ED1">
              <w:rPr>
                <w:rFonts w:ascii="Arial" w:hAnsi="Arial" w:cs="Arial"/>
                <w:color w:val="000000" w:themeColor="text1"/>
                <w:sz w:val="22"/>
                <w:szCs w:val="22"/>
              </w:rPr>
              <w:t>Number of new tree plantings of QG</w:t>
            </w:r>
            <w:r>
              <w:rPr>
                <w:rFonts w:ascii="Arial" w:hAnsi="Arial" w:cs="Arial"/>
                <w:color w:val="000000" w:themeColor="text1"/>
                <w:sz w:val="22"/>
                <w:szCs w:val="22"/>
              </w:rPr>
              <w:t xml:space="preserve"> plum</w:t>
            </w:r>
            <w:r w:rsidRPr="004C1ED1">
              <w:rPr>
                <w:rFonts w:ascii="Arial" w:hAnsi="Arial" w:cs="Arial"/>
                <w:color w:val="000000" w:themeColor="text1"/>
                <w:sz w:val="22"/>
                <w:szCs w:val="22"/>
              </w:rPr>
              <w:t xml:space="preserve"> </w:t>
            </w:r>
            <w:r>
              <w:rPr>
                <w:rFonts w:ascii="Arial" w:hAnsi="Arial" w:cs="Arial"/>
                <w:color w:val="000000" w:themeColor="text1"/>
                <w:sz w:val="22"/>
                <w:szCs w:val="22"/>
              </w:rPr>
              <w:t xml:space="preserve">in Australia </w:t>
            </w:r>
            <w:r w:rsidRPr="004C1ED1">
              <w:rPr>
                <w:rFonts w:ascii="Arial" w:hAnsi="Arial" w:cs="Arial"/>
                <w:color w:val="000000" w:themeColor="text1"/>
                <w:sz w:val="22"/>
                <w:szCs w:val="22"/>
              </w:rPr>
              <w:t xml:space="preserve">  </w:t>
            </w:r>
          </w:p>
        </w:tc>
        <w:tc>
          <w:tcPr>
            <w:tcW w:w="2420" w:type="dxa"/>
          </w:tcPr>
          <w:p w:rsidR="002B5A16" w:rsidRPr="004C1ED1" w:rsidRDefault="002B5A16" w:rsidP="002B5A16">
            <w:pPr>
              <w:rPr>
                <w:rFonts w:ascii="Arial" w:hAnsi="Arial" w:cs="Arial"/>
                <w:color w:val="000000" w:themeColor="text1"/>
                <w:sz w:val="22"/>
                <w:szCs w:val="22"/>
              </w:rPr>
            </w:pPr>
            <w:r w:rsidRPr="004C1ED1">
              <w:rPr>
                <w:rFonts w:ascii="Arial" w:hAnsi="Arial" w:cs="Arial"/>
                <w:color w:val="000000" w:themeColor="text1"/>
                <w:sz w:val="22"/>
                <w:szCs w:val="22"/>
              </w:rPr>
              <w:t xml:space="preserve">See Table </w:t>
            </w:r>
            <w:r>
              <w:rPr>
                <w:rFonts w:ascii="Arial" w:hAnsi="Arial" w:cs="Arial"/>
                <w:color w:val="000000" w:themeColor="text1"/>
                <w:sz w:val="22"/>
                <w:szCs w:val="22"/>
              </w:rPr>
              <w:t>9</w:t>
            </w:r>
          </w:p>
        </w:tc>
        <w:tc>
          <w:tcPr>
            <w:tcW w:w="3631" w:type="dxa"/>
          </w:tcPr>
          <w:p w:rsidR="002B5A16" w:rsidRPr="004C1ED1" w:rsidRDefault="002B5A16" w:rsidP="002B5A16">
            <w:pPr>
              <w:rPr>
                <w:rFonts w:ascii="Arial" w:hAnsi="Arial" w:cs="Arial"/>
                <w:color w:val="000000" w:themeColor="text1"/>
                <w:sz w:val="22"/>
                <w:szCs w:val="22"/>
              </w:rPr>
            </w:pPr>
            <w:r w:rsidRPr="004C1ED1">
              <w:rPr>
                <w:rFonts w:ascii="Arial" w:hAnsi="Arial" w:cs="Arial"/>
                <w:color w:val="000000" w:themeColor="text1"/>
                <w:sz w:val="22"/>
                <w:szCs w:val="22"/>
              </w:rPr>
              <w:t xml:space="preserve">Nutrafruit and Agtrans Research </w:t>
            </w:r>
          </w:p>
        </w:tc>
      </w:tr>
      <w:tr w:rsidR="002B5A16" w:rsidRPr="00A75CF6" w:rsidTr="002B5A16">
        <w:trPr>
          <w:jc w:val="center"/>
        </w:trPr>
        <w:tc>
          <w:tcPr>
            <w:tcW w:w="3535"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 xml:space="preserve">QG tree planting density </w:t>
            </w:r>
          </w:p>
        </w:tc>
        <w:tc>
          <w:tcPr>
            <w:tcW w:w="2420"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1</w:t>
            </w:r>
            <w:r>
              <w:rPr>
                <w:rFonts w:ascii="Arial" w:hAnsi="Arial" w:cs="Arial"/>
                <w:color w:val="000000" w:themeColor="text1"/>
                <w:sz w:val="22"/>
                <w:szCs w:val="22"/>
              </w:rPr>
              <w:t>,</w:t>
            </w:r>
            <w:r w:rsidRPr="004C1ED1">
              <w:rPr>
                <w:rFonts w:ascii="Arial" w:hAnsi="Arial" w:cs="Arial"/>
                <w:color w:val="000000" w:themeColor="text1"/>
                <w:sz w:val="22"/>
                <w:szCs w:val="22"/>
              </w:rPr>
              <w:t>000 trees/ha</w:t>
            </w:r>
          </w:p>
        </w:tc>
        <w:tc>
          <w:tcPr>
            <w:tcW w:w="3631" w:type="dxa"/>
            <w:vMerge w:val="restart"/>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Based on DAF (2012)</w:t>
            </w:r>
            <w:r>
              <w:rPr>
                <w:rFonts w:ascii="Arial" w:hAnsi="Arial" w:cs="Arial"/>
                <w:color w:val="000000" w:themeColor="text1"/>
                <w:sz w:val="22"/>
                <w:szCs w:val="22"/>
              </w:rPr>
              <w:t xml:space="preserve"> and discussions with Dougal Russell</w:t>
            </w:r>
          </w:p>
        </w:tc>
      </w:tr>
      <w:tr w:rsidR="002B5A16" w:rsidRPr="00A75CF6" w:rsidTr="002B5A16">
        <w:trPr>
          <w:jc w:val="center"/>
        </w:trPr>
        <w:tc>
          <w:tcPr>
            <w:tcW w:w="3535"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 xml:space="preserve">Years to first bearing </w:t>
            </w:r>
          </w:p>
        </w:tc>
        <w:tc>
          <w:tcPr>
            <w:tcW w:w="2420"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3</w:t>
            </w:r>
          </w:p>
        </w:tc>
        <w:tc>
          <w:tcPr>
            <w:tcW w:w="3631" w:type="dxa"/>
            <w:vMerge/>
          </w:tcPr>
          <w:p w:rsidR="002B5A16" w:rsidRPr="004C1ED1" w:rsidRDefault="002B5A16" w:rsidP="002B5A16">
            <w:pPr>
              <w:rPr>
                <w:rFonts w:ascii="Arial" w:hAnsi="Arial" w:cs="Arial"/>
                <w:b/>
                <w:color w:val="000000" w:themeColor="text1"/>
                <w:sz w:val="22"/>
                <w:szCs w:val="22"/>
              </w:rPr>
            </w:pPr>
          </w:p>
        </w:tc>
      </w:tr>
      <w:tr w:rsidR="002B5A16" w:rsidRPr="00A75CF6" w:rsidTr="002B5A16">
        <w:trPr>
          <w:jc w:val="center"/>
        </w:trPr>
        <w:tc>
          <w:tcPr>
            <w:tcW w:w="3535"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Average yield for QG</w:t>
            </w:r>
            <w:r>
              <w:rPr>
                <w:rFonts w:ascii="Arial" w:hAnsi="Arial" w:cs="Arial"/>
                <w:color w:val="000000" w:themeColor="text1"/>
                <w:sz w:val="22"/>
                <w:szCs w:val="22"/>
              </w:rPr>
              <w:t xml:space="preserve"> plum trees</w:t>
            </w:r>
          </w:p>
        </w:tc>
        <w:tc>
          <w:tcPr>
            <w:tcW w:w="2420" w:type="dxa"/>
          </w:tcPr>
          <w:p w:rsidR="002B5A16" w:rsidRPr="004C1ED1" w:rsidRDefault="002B5A16" w:rsidP="002B5A16">
            <w:pPr>
              <w:rPr>
                <w:rFonts w:ascii="Arial" w:hAnsi="Arial" w:cs="Arial"/>
                <w:b/>
                <w:color w:val="000000" w:themeColor="text1"/>
                <w:sz w:val="22"/>
                <w:szCs w:val="22"/>
              </w:rPr>
            </w:pPr>
            <w:r w:rsidRPr="004C1ED1">
              <w:rPr>
                <w:rFonts w:ascii="Arial" w:hAnsi="Arial" w:cs="Arial"/>
                <w:color w:val="000000" w:themeColor="text1"/>
                <w:sz w:val="22"/>
                <w:szCs w:val="22"/>
              </w:rPr>
              <w:t xml:space="preserve">20 tonnes per ha </w:t>
            </w:r>
          </w:p>
        </w:tc>
        <w:tc>
          <w:tcPr>
            <w:tcW w:w="3631" w:type="dxa"/>
            <w:vMerge/>
          </w:tcPr>
          <w:p w:rsidR="002B5A16" w:rsidRPr="004C1ED1" w:rsidRDefault="002B5A16" w:rsidP="002B5A16">
            <w:pPr>
              <w:rPr>
                <w:rFonts w:ascii="Arial" w:hAnsi="Arial" w:cs="Arial"/>
                <w:b/>
                <w:color w:val="000000" w:themeColor="text1"/>
                <w:sz w:val="22"/>
                <w:szCs w:val="22"/>
              </w:rPr>
            </w:pPr>
          </w:p>
        </w:tc>
      </w:tr>
      <w:tr w:rsidR="002B5A16" w:rsidRPr="00A75CF6" w:rsidTr="002B5A16">
        <w:trPr>
          <w:jc w:val="center"/>
        </w:trPr>
        <w:tc>
          <w:tcPr>
            <w:tcW w:w="3535" w:type="dxa"/>
          </w:tcPr>
          <w:p w:rsidR="002B5A16" w:rsidRPr="004C1ED1" w:rsidRDefault="002B5A16" w:rsidP="002B5A16">
            <w:pPr>
              <w:rPr>
                <w:rFonts w:ascii="Arial" w:hAnsi="Arial" w:cs="Arial"/>
                <w:color w:val="000000" w:themeColor="text1"/>
                <w:sz w:val="22"/>
                <w:szCs w:val="22"/>
              </w:rPr>
            </w:pPr>
            <w:r w:rsidRPr="004C1ED1">
              <w:rPr>
                <w:rFonts w:ascii="Arial" w:hAnsi="Arial" w:cs="Arial"/>
                <w:color w:val="000000" w:themeColor="text1"/>
                <w:sz w:val="22"/>
                <w:szCs w:val="22"/>
              </w:rPr>
              <w:t xml:space="preserve">Attribution of benefits to the </w:t>
            </w:r>
            <w:r>
              <w:rPr>
                <w:rFonts w:ascii="Arial" w:hAnsi="Arial" w:cs="Arial"/>
                <w:color w:val="000000" w:themeColor="text1"/>
                <w:sz w:val="22"/>
                <w:szCs w:val="22"/>
              </w:rPr>
              <w:t xml:space="preserve">DAF-led </w:t>
            </w:r>
            <w:r w:rsidRPr="004C1ED1">
              <w:rPr>
                <w:rFonts w:ascii="Arial" w:hAnsi="Arial" w:cs="Arial"/>
                <w:color w:val="000000" w:themeColor="text1"/>
                <w:sz w:val="22"/>
                <w:szCs w:val="22"/>
              </w:rPr>
              <w:t xml:space="preserve">plum breeding </w:t>
            </w:r>
            <w:r>
              <w:rPr>
                <w:rFonts w:ascii="Arial" w:hAnsi="Arial" w:cs="Arial"/>
                <w:color w:val="000000" w:themeColor="text1"/>
                <w:sz w:val="22"/>
                <w:szCs w:val="22"/>
              </w:rPr>
              <w:t xml:space="preserve">investment </w:t>
            </w:r>
          </w:p>
        </w:tc>
        <w:tc>
          <w:tcPr>
            <w:tcW w:w="2420" w:type="dxa"/>
          </w:tcPr>
          <w:p w:rsidR="002B5A16" w:rsidRPr="004C1ED1" w:rsidRDefault="002B5A16" w:rsidP="002B5A16">
            <w:pPr>
              <w:rPr>
                <w:rFonts w:ascii="Arial" w:hAnsi="Arial" w:cs="Arial"/>
                <w:color w:val="000000" w:themeColor="text1"/>
                <w:sz w:val="22"/>
                <w:szCs w:val="22"/>
              </w:rPr>
            </w:pPr>
            <w:r w:rsidRPr="004C1ED1">
              <w:rPr>
                <w:rFonts w:ascii="Arial" w:hAnsi="Arial" w:cs="Arial"/>
                <w:color w:val="000000" w:themeColor="text1"/>
                <w:sz w:val="22"/>
                <w:szCs w:val="22"/>
              </w:rPr>
              <w:t>100%</w:t>
            </w:r>
            <w:r>
              <w:rPr>
                <w:rFonts w:ascii="Arial" w:hAnsi="Arial" w:cs="Arial"/>
                <w:color w:val="000000" w:themeColor="text1"/>
                <w:sz w:val="22"/>
                <w:szCs w:val="22"/>
              </w:rPr>
              <w:t xml:space="preserve"> to total investment; 80% to DAF investment; 9.5% to HRDC investment; 10.5% to WADA and other investment     </w:t>
            </w:r>
          </w:p>
        </w:tc>
        <w:tc>
          <w:tcPr>
            <w:tcW w:w="3631" w:type="dxa"/>
          </w:tcPr>
          <w:p w:rsidR="002B5A16" w:rsidRPr="004C1ED1" w:rsidRDefault="002B5A16" w:rsidP="002B5A16">
            <w:pPr>
              <w:rPr>
                <w:rFonts w:ascii="Arial" w:hAnsi="Arial" w:cs="Arial"/>
                <w:color w:val="000000" w:themeColor="text1"/>
                <w:sz w:val="22"/>
                <w:szCs w:val="22"/>
              </w:rPr>
            </w:pPr>
            <w:r>
              <w:rPr>
                <w:rFonts w:ascii="Arial" w:hAnsi="Arial" w:cs="Arial"/>
                <w:color w:val="000000" w:themeColor="text1"/>
                <w:sz w:val="22"/>
                <w:szCs w:val="22"/>
              </w:rPr>
              <w:t xml:space="preserve">Agtrans Research, based on relative investment proportions in real terms </w:t>
            </w:r>
          </w:p>
        </w:tc>
      </w:tr>
      <w:tr w:rsidR="002B5A16" w:rsidRPr="00A75CF6" w:rsidTr="002B5A16">
        <w:trPr>
          <w:jc w:val="center"/>
        </w:trPr>
        <w:tc>
          <w:tcPr>
            <w:tcW w:w="3535" w:type="dxa"/>
          </w:tcPr>
          <w:p w:rsidR="002B5A16" w:rsidRPr="004C1ED1" w:rsidRDefault="002B5A16" w:rsidP="002B5A16">
            <w:pPr>
              <w:rPr>
                <w:rFonts w:ascii="Arial" w:hAnsi="Arial" w:cs="Arial"/>
                <w:color w:val="000000" w:themeColor="text1"/>
              </w:rPr>
            </w:pPr>
            <w:r w:rsidRPr="004C1ED1">
              <w:rPr>
                <w:rFonts w:ascii="Arial" w:hAnsi="Arial" w:cs="Arial"/>
                <w:color w:val="000000" w:themeColor="text1"/>
                <w:sz w:val="22"/>
                <w:szCs w:val="22"/>
              </w:rPr>
              <w:t xml:space="preserve">Average </w:t>
            </w:r>
            <w:r>
              <w:rPr>
                <w:rFonts w:ascii="Arial" w:hAnsi="Arial" w:cs="Arial"/>
                <w:color w:val="000000" w:themeColor="text1"/>
                <w:sz w:val="22"/>
                <w:szCs w:val="22"/>
              </w:rPr>
              <w:t xml:space="preserve">wholesale market </w:t>
            </w:r>
            <w:r w:rsidRPr="004C1ED1">
              <w:rPr>
                <w:rFonts w:ascii="Arial" w:hAnsi="Arial" w:cs="Arial"/>
                <w:color w:val="000000" w:themeColor="text1"/>
                <w:sz w:val="22"/>
                <w:szCs w:val="22"/>
              </w:rPr>
              <w:t xml:space="preserve">price for existing plums </w:t>
            </w:r>
          </w:p>
        </w:tc>
        <w:tc>
          <w:tcPr>
            <w:tcW w:w="2420" w:type="dxa"/>
          </w:tcPr>
          <w:p w:rsidR="002B5A16" w:rsidRPr="004C1ED1" w:rsidRDefault="002B5A16" w:rsidP="002B5A16">
            <w:pPr>
              <w:rPr>
                <w:rFonts w:ascii="Arial" w:hAnsi="Arial" w:cs="Arial"/>
                <w:color w:val="000000" w:themeColor="text1"/>
              </w:rPr>
            </w:pPr>
            <w:r w:rsidRPr="004C1ED1">
              <w:rPr>
                <w:rFonts w:ascii="Arial" w:hAnsi="Arial" w:cs="Arial"/>
                <w:color w:val="000000" w:themeColor="text1"/>
                <w:sz w:val="22"/>
                <w:szCs w:val="22"/>
              </w:rPr>
              <w:t xml:space="preserve">$2.10 per kg </w:t>
            </w:r>
          </w:p>
        </w:tc>
        <w:tc>
          <w:tcPr>
            <w:tcW w:w="3631" w:type="dxa"/>
          </w:tcPr>
          <w:p w:rsidR="002B5A16" w:rsidRPr="004C1ED1" w:rsidRDefault="002B5A16" w:rsidP="002B5A16">
            <w:pPr>
              <w:rPr>
                <w:rFonts w:ascii="Arial" w:hAnsi="Arial" w:cs="Arial"/>
                <w:color w:val="000000" w:themeColor="text1"/>
              </w:rPr>
            </w:pPr>
            <w:r w:rsidRPr="004C1ED1">
              <w:rPr>
                <w:rFonts w:ascii="Arial" w:hAnsi="Arial" w:cs="Arial"/>
                <w:color w:val="000000" w:themeColor="text1"/>
                <w:sz w:val="22"/>
                <w:szCs w:val="22"/>
              </w:rPr>
              <w:t xml:space="preserve">See Table 2 </w:t>
            </w:r>
          </w:p>
        </w:tc>
      </w:tr>
      <w:tr w:rsidR="002B5A16" w:rsidRPr="00A75CF6" w:rsidTr="002B5A16">
        <w:trPr>
          <w:jc w:val="center"/>
        </w:trPr>
        <w:tc>
          <w:tcPr>
            <w:tcW w:w="3535" w:type="dxa"/>
          </w:tcPr>
          <w:p w:rsidR="002B5A16" w:rsidRPr="00C65C30" w:rsidRDefault="002B5A16" w:rsidP="002B5A16">
            <w:pPr>
              <w:rPr>
                <w:rFonts w:ascii="Arial" w:hAnsi="Arial" w:cs="Arial"/>
                <w:color w:val="000000" w:themeColor="text1"/>
              </w:rPr>
            </w:pPr>
            <w:r w:rsidRPr="00C65C30">
              <w:rPr>
                <w:rFonts w:ascii="Arial" w:hAnsi="Arial" w:cs="Arial"/>
                <w:color w:val="000000" w:themeColor="text1"/>
                <w:sz w:val="22"/>
                <w:szCs w:val="22"/>
              </w:rPr>
              <w:t>Average wholesale market price assumed for QG</w:t>
            </w:r>
            <w:r>
              <w:rPr>
                <w:rFonts w:ascii="Arial" w:hAnsi="Arial" w:cs="Arial"/>
                <w:color w:val="000000" w:themeColor="text1"/>
                <w:sz w:val="22"/>
                <w:szCs w:val="22"/>
              </w:rPr>
              <w:t xml:space="preserve"> plums</w:t>
            </w:r>
          </w:p>
        </w:tc>
        <w:tc>
          <w:tcPr>
            <w:tcW w:w="2420" w:type="dxa"/>
          </w:tcPr>
          <w:p w:rsidR="002B5A16" w:rsidRPr="00C65C30" w:rsidRDefault="002B5A16" w:rsidP="002B5A16">
            <w:pPr>
              <w:rPr>
                <w:rFonts w:ascii="Arial" w:hAnsi="Arial" w:cs="Arial"/>
                <w:color w:val="000000" w:themeColor="text1"/>
              </w:rPr>
            </w:pPr>
            <w:r w:rsidRPr="00C65C30">
              <w:rPr>
                <w:rFonts w:ascii="Arial" w:hAnsi="Arial" w:cs="Arial"/>
                <w:color w:val="000000" w:themeColor="text1"/>
                <w:sz w:val="22"/>
                <w:szCs w:val="22"/>
              </w:rPr>
              <w:t>$6.30 per kg</w:t>
            </w:r>
          </w:p>
        </w:tc>
        <w:tc>
          <w:tcPr>
            <w:tcW w:w="3631" w:type="dxa"/>
          </w:tcPr>
          <w:p w:rsidR="002B5A16" w:rsidRPr="00C65C30" w:rsidRDefault="002B5A16" w:rsidP="002B5A16">
            <w:pPr>
              <w:rPr>
                <w:rFonts w:ascii="Arial" w:hAnsi="Arial" w:cs="Arial"/>
                <w:color w:val="000000" w:themeColor="text1"/>
              </w:rPr>
            </w:pPr>
            <w:r w:rsidRPr="00C65C30">
              <w:rPr>
                <w:rFonts w:ascii="Arial" w:hAnsi="Arial" w:cs="Arial"/>
                <w:color w:val="000000" w:themeColor="text1"/>
                <w:sz w:val="22"/>
                <w:szCs w:val="22"/>
              </w:rPr>
              <w:t xml:space="preserve">Conservatively based on 3x the average historical wholesale price for plums </w:t>
            </w:r>
          </w:p>
        </w:tc>
      </w:tr>
      <w:tr w:rsidR="002B5A16" w:rsidRPr="00A75CF6" w:rsidTr="002B5A16">
        <w:trPr>
          <w:jc w:val="center"/>
        </w:trPr>
        <w:tc>
          <w:tcPr>
            <w:tcW w:w="3535" w:type="dxa"/>
          </w:tcPr>
          <w:p w:rsidR="002B5A16" w:rsidRPr="0003222C" w:rsidRDefault="002B5A16" w:rsidP="002B5A16">
            <w:pPr>
              <w:rPr>
                <w:rFonts w:ascii="Arial" w:hAnsi="Arial" w:cs="Arial"/>
              </w:rPr>
            </w:pPr>
            <w:r w:rsidRPr="004C1ED1">
              <w:rPr>
                <w:rFonts w:ascii="Arial" w:hAnsi="Arial" w:cs="Arial"/>
                <w:color w:val="000000" w:themeColor="text1"/>
                <w:sz w:val="22"/>
                <w:szCs w:val="22"/>
              </w:rPr>
              <w:t xml:space="preserve">Cost of tree licensing (royalty)  </w:t>
            </w:r>
          </w:p>
        </w:tc>
        <w:tc>
          <w:tcPr>
            <w:tcW w:w="2420" w:type="dxa"/>
          </w:tcPr>
          <w:p w:rsidR="002B5A16" w:rsidRPr="0003222C" w:rsidRDefault="002B5A16" w:rsidP="002B5A16">
            <w:pPr>
              <w:rPr>
                <w:rFonts w:ascii="Arial" w:hAnsi="Arial" w:cs="Arial"/>
                <w:color w:val="FF0000"/>
              </w:rPr>
            </w:pPr>
            <w:r>
              <w:rPr>
                <w:rFonts w:ascii="Arial" w:hAnsi="Arial" w:cs="Arial"/>
                <w:color w:val="000000" w:themeColor="text1"/>
                <w:sz w:val="22"/>
                <w:szCs w:val="22"/>
              </w:rPr>
              <w:t>$</w:t>
            </w:r>
            <w:r w:rsidRPr="004C1ED1">
              <w:rPr>
                <w:rFonts w:ascii="Arial" w:hAnsi="Arial" w:cs="Arial"/>
                <w:color w:val="000000" w:themeColor="text1"/>
                <w:sz w:val="22"/>
                <w:szCs w:val="22"/>
              </w:rPr>
              <w:t xml:space="preserve">2 per tree on ordering and $2 per tree per annum (applied on and after the first fruit bearing year) </w:t>
            </w:r>
          </w:p>
        </w:tc>
        <w:tc>
          <w:tcPr>
            <w:tcW w:w="3631" w:type="dxa"/>
          </w:tcPr>
          <w:p w:rsidR="002B5A16" w:rsidRPr="0003222C" w:rsidRDefault="002B5A16" w:rsidP="002B5A16">
            <w:pPr>
              <w:rPr>
                <w:rFonts w:ascii="Arial" w:hAnsi="Arial" w:cs="Arial"/>
              </w:rPr>
            </w:pPr>
            <w:r w:rsidRPr="004C1ED1">
              <w:rPr>
                <w:rFonts w:ascii="Arial" w:hAnsi="Arial" w:cs="Arial"/>
                <w:color w:val="000000" w:themeColor="text1"/>
                <w:sz w:val="22"/>
                <w:szCs w:val="22"/>
              </w:rPr>
              <w:t>Nutrafruit (201</w:t>
            </w:r>
            <w:r>
              <w:rPr>
                <w:rFonts w:ascii="Arial" w:hAnsi="Arial" w:cs="Arial"/>
                <w:color w:val="000000" w:themeColor="text1"/>
                <w:sz w:val="22"/>
                <w:szCs w:val="22"/>
              </w:rPr>
              <w:t>7</w:t>
            </w:r>
            <w:r w:rsidRPr="004C1ED1">
              <w:rPr>
                <w:rFonts w:ascii="Arial" w:hAnsi="Arial" w:cs="Arial"/>
                <w:color w:val="000000" w:themeColor="text1"/>
                <w:sz w:val="22"/>
                <w:szCs w:val="22"/>
              </w:rPr>
              <w:t>)</w:t>
            </w:r>
          </w:p>
        </w:tc>
      </w:tr>
      <w:tr w:rsidR="002B5A16" w:rsidRPr="00A75CF6" w:rsidTr="002B5A16">
        <w:trPr>
          <w:jc w:val="center"/>
        </w:trPr>
        <w:tc>
          <w:tcPr>
            <w:tcW w:w="9586" w:type="dxa"/>
            <w:gridSpan w:val="3"/>
          </w:tcPr>
          <w:p w:rsidR="002B5A16" w:rsidRPr="004C1ED1" w:rsidRDefault="002B5A16" w:rsidP="002B5A16">
            <w:pPr>
              <w:rPr>
                <w:rFonts w:ascii="Arial" w:hAnsi="Arial" w:cs="Arial"/>
                <w:b/>
                <w:i/>
                <w:color w:val="000000" w:themeColor="text1"/>
                <w:sz w:val="22"/>
                <w:szCs w:val="22"/>
              </w:rPr>
            </w:pPr>
            <w:r w:rsidRPr="004C1ED1">
              <w:rPr>
                <w:rFonts w:ascii="Arial" w:hAnsi="Arial" w:cs="Arial"/>
                <w:b/>
                <w:i/>
                <w:color w:val="000000" w:themeColor="text1"/>
                <w:sz w:val="22"/>
                <w:szCs w:val="22"/>
              </w:rPr>
              <w:t xml:space="preserve">Benefit 1A: </w:t>
            </w:r>
            <w:bookmarkStart w:id="527" w:name="_Hlk478538996"/>
            <w:r w:rsidRPr="004C1ED1">
              <w:rPr>
                <w:rFonts w:ascii="Arial" w:hAnsi="Arial" w:cs="Arial"/>
                <w:b/>
                <w:i/>
                <w:color w:val="000000" w:themeColor="text1"/>
                <w:sz w:val="22"/>
                <w:szCs w:val="22"/>
              </w:rPr>
              <w:t xml:space="preserve">Increased Profitability from QG Plantings – Replacing Existing Stonefruit Trees </w:t>
            </w:r>
            <w:bookmarkEnd w:id="527"/>
            <w:r w:rsidRPr="004C1ED1">
              <w:rPr>
                <w:rFonts w:ascii="Arial" w:hAnsi="Arial" w:cs="Arial"/>
                <w:b/>
                <w:i/>
                <w:color w:val="000000" w:themeColor="text1"/>
                <w:sz w:val="22"/>
                <w:szCs w:val="22"/>
              </w:rPr>
              <w:t>with QG</w:t>
            </w:r>
          </w:p>
        </w:tc>
      </w:tr>
      <w:tr w:rsidR="002B5A16" w:rsidRPr="00A75CF6" w:rsidTr="002B5A16">
        <w:trPr>
          <w:jc w:val="center"/>
        </w:trPr>
        <w:tc>
          <w:tcPr>
            <w:tcW w:w="3535" w:type="dxa"/>
          </w:tcPr>
          <w:p w:rsidR="002B5A16" w:rsidRPr="002A30D1" w:rsidRDefault="002B5A16" w:rsidP="002B5A16">
            <w:pPr>
              <w:rPr>
                <w:rFonts w:ascii="Arial" w:hAnsi="Arial" w:cs="Arial"/>
                <w:sz w:val="22"/>
                <w:szCs w:val="22"/>
              </w:rPr>
            </w:pPr>
            <w:r w:rsidRPr="002A30D1">
              <w:rPr>
                <w:rFonts w:ascii="Arial" w:hAnsi="Arial" w:cs="Arial"/>
                <w:sz w:val="22"/>
                <w:szCs w:val="22"/>
              </w:rPr>
              <w:t xml:space="preserve">Proportion of new plantings replacing existing plum trees that would have been replaced anyway </w:t>
            </w:r>
          </w:p>
        </w:tc>
        <w:tc>
          <w:tcPr>
            <w:tcW w:w="2420"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20%</w:t>
            </w:r>
            <w:r>
              <w:rPr>
                <w:rFonts w:ascii="Arial" w:hAnsi="Arial" w:cs="Arial"/>
                <w:color w:val="000000" w:themeColor="text1"/>
                <w:sz w:val="22"/>
                <w:szCs w:val="22"/>
              </w:rPr>
              <w:t xml:space="preserve"> of QG trees planted as per Table 9</w:t>
            </w:r>
          </w:p>
        </w:tc>
        <w:tc>
          <w:tcPr>
            <w:tcW w:w="3631"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 xml:space="preserve">Agtrans Research </w:t>
            </w:r>
            <w:r>
              <w:rPr>
                <w:rFonts w:ascii="Arial" w:hAnsi="Arial" w:cs="Arial"/>
                <w:color w:val="000000" w:themeColor="text1"/>
                <w:sz w:val="22"/>
                <w:szCs w:val="22"/>
              </w:rPr>
              <w:t xml:space="preserve">after discussions with Hugh Macintosh  </w:t>
            </w:r>
          </w:p>
        </w:tc>
      </w:tr>
      <w:tr w:rsidR="002B5A16" w:rsidRPr="00A75CF6" w:rsidTr="002B5A16">
        <w:trPr>
          <w:jc w:val="center"/>
        </w:trPr>
        <w:tc>
          <w:tcPr>
            <w:tcW w:w="3535" w:type="dxa"/>
          </w:tcPr>
          <w:p w:rsidR="002B5A16" w:rsidRPr="004C1ED1" w:rsidRDefault="002B5A16" w:rsidP="002B5A16">
            <w:pPr>
              <w:rPr>
                <w:rFonts w:ascii="Arial" w:hAnsi="Arial" w:cs="Arial"/>
                <w:color w:val="000000" w:themeColor="text1"/>
                <w:sz w:val="22"/>
                <w:szCs w:val="22"/>
              </w:rPr>
            </w:pPr>
            <w:r>
              <w:rPr>
                <w:rFonts w:ascii="Arial" w:hAnsi="Arial" w:cs="Arial"/>
                <w:color w:val="000000" w:themeColor="text1"/>
                <w:sz w:val="22"/>
                <w:szCs w:val="22"/>
              </w:rPr>
              <w:t>C</w:t>
            </w:r>
            <w:r w:rsidRPr="004C1ED1">
              <w:rPr>
                <w:rFonts w:ascii="Arial" w:hAnsi="Arial" w:cs="Arial"/>
                <w:color w:val="000000" w:themeColor="text1"/>
                <w:sz w:val="22"/>
                <w:szCs w:val="22"/>
              </w:rPr>
              <w:t>ost of new planting</w:t>
            </w:r>
            <w:r>
              <w:rPr>
                <w:rFonts w:ascii="Arial" w:hAnsi="Arial" w:cs="Arial"/>
                <w:color w:val="000000" w:themeColor="text1"/>
                <w:sz w:val="22"/>
                <w:szCs w:val="22"/>
              </w:rPr>
              <w:t xml:space="preserve"> development </w:t>
            </w:r>
          </w:p>
        </w:tc>
        <w:tc>
          <w:tcPr>
            <w:tcW w:w="2420" w:type="dxa"/>
          </w:tcPr>
          <w:p w:rsidR="002B5A16" w:rsidRPr="00C65C30" w:rsidRDefault="002B5A16" w:rsidP="002B5A16">
            <w:pPr>
              <w:rPr>
                <w:rFonts w:ascii="Arial" w:hAnsi="Arial" w:cs="Arial"/>
                <w:color w:val="000000" w:themeColor="text1"/>
                <w:sz w:val="22"/>
                <w:szCs w:val="22"/>
              </w:rPr>
            </w:pPr>
            <w:r>
              <w:rPr>
                <w:rFonts w:ascii="Arial" w:hAnsi="Arial" w:cs="Arial"/>
                <w:color w:val="000000" w:themeColor="text1"/>
                <w:sz w:val="22"/>
                <w:szCs w:val="22"/>
              </w:rPr>
              <w:t>Negligible</w:t>
            </w:r>
          </w:p>
        </w:tc>
        <w:tc>
          <w:tcPr>
            <w:tcW w:w="3631"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The majority of the cost of new plantings would have been incurred anyway (exception is the tree licensing cost)</w:t>
            </w:r>
          </w:p>
        </w:tc>
      </w:tr>
      <w:tr w:rsidR="002B5A16" w:rsidRPr="00A75CF6" w:rsidTr="002B5A16">
        <w:trPr>
          <w:jc w:val="center"/>
        </w:trPr>
        <w:tc>
          <w:tcPr>
            <w:tcW w:w="9586" w:type="dxa"/>
            <w:gridSpan w:val="3"/>
          </w:tcPr>
          <w:p w:rsidR="002B5A16" w:rsidRPr="00C65C30" w:rsidRDefault="002B5A16" w:rsidP="002B5A16">
            <w:pPr>
              <w:rPr>
                <w:rFonts w:ascii="Arial" w:hAnsi="Arial" w:cs="Arial"/>
                <w:b/>
                <w:i/>
                <w:color w:val="000000" w:themeColor="text1"/>
                <w:sz w:val="22"/>
                <w:szCs w:val="22"/>
              </w:rPr>
            </w:pPr>
            <w:r w:rsidRPr="00C65C30">
              <w:rPr>
                <w:rFonts w:ascii="Arial" w:hAnsi="Arial" w:cs="Arial"/>
                <w:b/>
                <w:i/>
                <w:color w:val="000000" w:themeColor="text1"/>
                <w:sz w:val="22"/>
                <w:szCs w:val="22"/>
              </w:rPr>
              <w:t>Benefit 1B: Increased Profitability from QG Plantings – Topworking Existing Trees with QG</w:t>
            </w:r>
          </w:p>
        </w:tc>
      </w:tr>
      <w:tr w:rsidR="002B5A16" w:rsidRPr="00A75CF6" w:rsidTr="002B5A16">
        <w:trPr>
          <w:jc w:val="center"/>
        </w:trPr>
        <w:tc>
          <w:tcPr>
            <w:tcW w:w="3535" w:type="dxa"/>
          </w:tcPr>
          <w:p w:rsidR="002B5A16" w:rsidRPr="0003222C" w:rsidRDefault="002B5A16" w:rsidP="002B5A16">
            <w:pPr>
              <w:rPr>
                <w:rFonts w:ascii="Arial" w:hAnsi="Arial" w:cs="Arial"/>
                <w:sz w:val="22"/>
                <w:szCs w:val="22"/>
              </w:rPr>
            </w:pPr>
            <w:r w:rsidRPr="0003222C">
              <w:rPr>
                <w:rFonts w:ascii="Arial" w:hAnsi="Arial" w:cs="Arial"/>
                <w:sz w:val="22"/>
                <w:szCs w:val="22"/>
              </w:rPr>
              <w:t xml:space="preserve">Proportion of new QG trees from topworking </w:t>
            </w:r>
          </w:p>
        </w:tc>
        <w:tc>
          <w:tcPr>
            <w:tcW w:w="2420"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10%</w:t>
            </w:r>
            <w:r>
              <w:rPr>
                <w:rFonts w:ascii="Arial" w:hAnsi="Arial" w:cs="Arial"/>
                <w:color w:val="000000" w:themeColor="text1"/>
                <w:sz w:val="22"/>
                <w:szCs w:val="22"/>
              </w:rPr>
              <w:t xml:space="preserve"> of QG trees planted as per Table 9</w:t>
            </w:r>
          </w:p>
        </w:tc>
        <w:tc>
          <w:tcPr>
            <w:tcW w:w="3631"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 xml:space="preserve">Agtrans Research </w:t>
            </w:r>
            <w:r>
              <w:rPr>
                <w:rFonts w:ascii="Arial" w:hAnsi="Arial" w:cs="Arial"/>
                <w:color w:val="000000" w:themeColor="text1"/>
                <w:sz w:val="22"/>
                <w:szCs w:val="22"/>
              </w:rPr>
              <w:t xml:space="preserve">after discussions with Hugh Macintosh  </w:t>
            </w:r>
          </w:p>
        </w:tc>
      </w:tr>
      <w:tr w:rsidR="002B5A16" w:rsidRPr="00A75CF6" w:rsidTr="002B5A16">
        <w:trPr>
          <w:jc w:val="center"/>
        </w:trPr>
        <w:tc>
          <w:tcPr>
            <w:tcW w:w="3535" w:type="dxa"/>
          </w:tcPr>
          <w:p w:rsidR="002B5A16" w:rsidRPr="004C1ED1" w:rsidRDefault="002B5A16" w:rsidP="002B5A16">
            <w:pPr>
              <w:rPr>
                <w:rFonts w:ascii="Arial" w:hAnsi="Arial" w:cs="Arial"/>
                <w:sz w:val="22"/>
                <w:szCs w:val="22"/>
              </w:rPr>
            </w:pPr>
            <w:r w:rsidRPr="004C1ED1">
              <w:rPr>
                <w:rFonts w:ascii="Arial" w:hAnsi="Arial" w:cs="Arial"/>
                <w:sz w:val="22"/>
                <w:szCs w:val="22"/>
              </w:rPr>
              <w:t xml:space="preserve">Marginal capital cost of topworking   </w:t>
            </w:r>
          </w:p>
        </w:tc>
        <w:tc>
          <w:tcPr>
            <w:tcW w:w="2420"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 xml:space="preserve">$15,000 per ha </w:t>
            </w:r>
          </w:p>
        </w:tc>
        <w:tc>
          <w:tcPr>
            <w:tcW w:w="3631"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 xml:space="preserve">Agtrans Research </w:t>
            </w:r>
            <w:r w:rsidRPr="008A7595">
              <w:rPr>
                <w:rFonts w:ascii="Arial" w:hAnsi="Arial" w:cs="Arial"/>
                <w:color w:val="000000" w:themeColor="text1"/>
                <w:sz w:val="22"/>
                <w:szCs w:val="22"/>
              </w:rPr>
              <w:t xml:space="preserve">after discussions with Hugh Macintosh  </w:t>
            </w:r>
          </w:p>
        </w:tc>
      </w:tr>
      <w:tr w:rsidR="002B5A16" w:rsidRPr="00A75CF6" w:rsidTr="002B5A16">
        <w:trPr>
          <w:jc w:val="center"/>
        </w:trPr>
        <w:tc>
          <w:tcPr>
            <w:tcW w:w="9586" w:type="dxa"/>
            <w:gridSpan w:val="3"/>
          </w:tcPr>
          <w:p w:rsidR="002B5A16" w:rsidRPr="00C65C30" w:rsidRDefault="002B5A16" w:rsidP="002B5A16">
            <w:pPr>
              <w:rPr>
                <w:rFonts w:ascii="Arial" w:hAnsi="Arial" w:cs="Arial"/>
                <w:b/>
                <w:i/>
                <w:color w:val="000000" w:themeColor="text1"/>
                <w:sz w:val="22"/>
                <w:szCs w:val="22"/>
              </w:rPr>
            </w:pPr>
            <w:bookmarkStart w:id="528" w:name="_Hlk478539057"/>
            <w:r w:rsidRPr="00C65C30">
              <w:rPr>
                <w:rFonts w:ascii="Arial" w:hAnsi="Arial" w:cs="Arial"/>
                <w:b/>
                <w:i/>
                <w:color w:val="000000" w:themeColor="text1"/>
                <w:sz w:val="22"/>
                <w:szCs w:val="22"/>
              </w:rPr>
              <w:t xml:space="preserve">Benefit 1C: Profitability from QG Plantings - New Areas in Australia </w:t>
            </w:r>
          </w:p>
        </w:tc>
      </w:tr>
      <w:tr w:rsidR="002B5A16" w:rsidRPr="00A75CF6" w:rsidTr="002B5A16">
        <w:trPr>
          <w:jc w:val="center"/>
        </w:trPr>
        <w:tc>
          <w:tcPr>
            <w:tcW w:w="3535" w:type="dxa"/>
          </w:tcPr>
          <w:p w:rsidR="002B5A16" w:rsidRPr="004C1ED1" w:rsidRDefault="002B5A16" w:rsidP="002B5A16">
            <w:pPr>
              <w:rPr>
                <w:rFonts w:ascii="Arial" w:hAnsi="Arial" w:cs="Arial"/>
                <w:color w:val="000000" w:themeColor="text1"/>
                <w:sz w:val="22"/>
                <w:szCs w:val="22"/>
              </w:rPr>
            </w:pPr>
            <w:r w:rsidRPr="004C1ED1">
              <w:rPr>
                <w:rFonts w:ascii="Arial" w:hAnsi="Arial" w:cs="Arial"/>
                <w:color w:val="000000" w:themeColor="text1"/>
                <w:sz w:val="22"/>
                <w:szCs w:val="22"/>
              </w:rPr>
              <w:t xml:space="preserve">Proportion of new plantings on new land </w:t>
            </w:r>
          </w:p>
        </w:tc>
        <w:tc>
          <w:tcPr>
            <w:tcW w:w="2420"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70%</w:t>
            </w:r>
            <w:r>
              <w:rPr>
                <w:rFonts w:ascii="Arial" w:hAnsi="Arial" w:cs="Arial"/>
                <w:color w:val="000000" w:themeColor="text1"/>
                <w:sz w:val="22"/>
                <w:szCs w:val="22"/>
              </w:rPr>
              <w:t xml:space="preserve"> of QG trees planted as per Table 9</w:t>
            </w:r>
          </w:p>
        </w:tc>
        <w:tc>
          <w:tcPr>
            <w:tcW w:w="3631"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 xml:space="preserve">Agtrans Research </w:t>
            </w:r>
            <w:r>
              <w:rPr>
                <w:rFonts w:ascii="Arial" w:hAnsi="Arial" w:cs="Arial"/>
                <w:color w:val="000000" w:themeColor="text1"/>
                <w:sz w:val="22"/>
                <w:szCs w:val="22"/>
              </w:rPr>
              <w:t xml:space="preserve">after discussions with Hugh Macintosh  </w:t>
            </w:r>
            <w:r w:rsidRPr="00C65C30">
              <w:rPr>
                <w:rFonts w:ascii="Arial" w:hAnsi="Arial" w:cs="Arial"/>
                <w:color w:val="000000" w:themeColor="text1"/>
                <w:sz w:val="22"/>
                <w:szCs w:val="22"/>
              </w:rPr>
              <w:t xml:space="preserve"> </w:t>
            </w:r>
          </w:p>
        </w:tc>
      </w:tr>
      <w:bookmarkEnd w:id="528"/>
      <w:tr w:rsidR="002B5A16" w:rsidRPr="00A75CF6" w:rsidTr="002B5A16">
        <w:trPr>
          <w:jc w:val="center"/>
        </w:trPr>
        <w:tc>
          <w:tcPr>
            <w:tcW w:w="3535"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 xml:space="preserve">Opportunity cost of land </w:t>
            </w:r>
          </w:p>
        </w:tc>
        <w:tc>
          <w:tcPr>
            <w:tcW w:w="2420"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w:t>
            </w:r>
            <w:r>
              <w:rPr>
                <w:rFonts w:ascii="Arial" w:hAnsi="Arial" w:cs="Arial"/>
                <w:color w:val="000000" w:themeColor="text1"/>
                <w:sz w:val="22"/>
                <w:szCs w:val="22"/>
              </w:rPr>
              <w:t>5</w:t>
            </w:r>
            <w:r w:rsidRPr="00C65C30">
              <w:rPr>
                <w:rFonts w:ascii="Arial" w:hAnsi="Arial" w:cs="Arial"/>
                <w:color w:val="000000" w:themeColor="text1"/>
                <w:sz w:val="22"/>
                <w:szCs w:val="22"/>
              </w:rPr>
              <w:t>,000 per ha per annum</w:t>
            </w:r>
          </w:p>
        </w:tc>
        <w:tc>
          <w:tcPr>
            <w:tcW w:w="3631"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Agtrans Research</w:t>
            </w:r>
            <w:r>
              <w:rPr>
                <w:rFonts w:ascii="Arial" w:hAnsi="Arial" w:cs="Arial"/>
                <w:color w:val="000000" w:themeColor="text1"/>
                <w:sz w:val="22"/>
                <w:szCs w:val="22"/>
              </w:rPr>
              <w:t xml:space="preserve">, based on opportunity cost of suitable horticultural land  </w:t>
            </w:r>
          </w:p>
        </w:tc>
      </w:tr>
      <w:tr w:rsidR="002B5A16" w:rsidRPr="00A75CF6" w:rsidTr="002B5A16">
        <w:trPr>
          <w:jc w:val="center"/>
        </w:trPr>
        <w:tc>
          <w:tcPr>
            <w:tcW w:w="3535"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 xml:space="preserve">Capital cost of planting QG trees   </w:t>
            </w:r>
          </w:p>
        </w:tc>
        <w:tc>
          <w:tcPr>
            <w:tcW w:w="2420"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w:t>
            </w:r>
            <w:r>
              <w:rPr>
                <w:rFonts w:ascii="Arial" w:hAnsi="Arial" w:cs="Arial"/>
                <w:color w:val="000000" w:themeColor="text1"/>
                <w:sz w:val="22"/>
                <w:szCs w:val="22"/>
              </w:rPr>
              <w:t>6</w:t>
            </w:r>
            <w:r w:rsidRPr="00C65C30">
              <w:rPr>
                <w:rFonts w:ascii="Arial" w:hAnsi="Arial" w:cs="Arial"/>
                <w:color w:val="000000" w:themeColor="text1"/>
                <w:sz w:val="22"/>
                <w:szCs w:val="22"/>
              </w:rPr>
              <w:t>0,000 per ha</w:t>
            </w:r>
          </w:p>
        </w:tc>
        <w:tc>
          <w:tcPr>
            <w:tcW w:w="3631"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Agtrans Research</w:t>
            </w:r>
            <w:r>
              <w:rPr>
                <w:rFonts w:ascii="Arial" w:hAnsi="Arial" w:cs="Arial"/>
                <w:color w:val="000000" w:themeColor="text1"/>
                <w:sz w:val="22"/>
                <w:szCs w:val="22"/>
              </w:rPr>
              <w:t>, based on past stonefruit gross margin budgets and allowing for some infrastructure already present</w:t>
            </w:r>
          </w:p>
        </w:tc>
      </w:tr>
      <w:tr w:rsidR="002B5A16" w:rsidRPr="00A75CF6" w:rsidTr="002B5A16">
        <w:trPr>
          <w:jc w:val="center"/>
        </w:trPr>
        <w:tc>
          <w:tcPr>
            <w:tcW w:w="3535" w:type="dxa"/>
          </w:tcPr>
          <w:p w:rsidR="002B5A16" w:rsidRPr="00C65C30" w:rsidRDefault="002B5A16" w:rsidP="002B5A16">
            <w:pPr>
              <w:rPr>
                <w:rFonts w:ascii="Arial" w:hAnsi="Arial" w:cs="Arial"/>
                <w:color w:val="000000" w:themeColor="text1"/>
                <w:sz w:val="22"/>
                <w:szCs w:val="22"/>
              </w:rPr>
            </w:pPr>
            <w:r>
              <w:rPr>
                <w:rFonts w:ascii="Arial" w:hAnsi="Arial" w:cs="Arial"/>
                <w:color w:val="000000" w:themeColor="text1"/>
                <w:sz w:val="22"/>
                <w:szCs w:val="22"/>
              </w:rPr>
              <w:t>T</w:t>
            </w:r>
            <w:r w:rsidRPr="00C65C30">
              <w:rPr>
                <w:rFonts w:ascii="Arial" w:hAnsi="Arial" w:cs="Arial"/>
                <w:color w:val="000000" w:themeColor="text1"/>
                <w:sz w:val="22"/>
                <w:szCs w:val="22"/>
              </w:rPr>
              <w:t xml:space="preserve">otal variable operating costs </w:t>
            </w:r>
          </w:p>
        </w:tc>
        <w:tc>
          <w:tcPr>
            <w:tcW w:w="2420"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$55,000 per ha</w:t>
            </w:r>
          </w:p>
        </w:tc>
        <w:tc>
          <w:tcPr>
            <w:tcW w:w="3631" w:type="dxa"/>
          </w:tcPr>
          <w:p w:rsidR="002B5A16" w:rsidRPr="00C65C30" w:rsidRDefault="002B5A16" w:rsidP="002B5A16">
            <w:pPr>
              <w:rPr>
                <w:rFonts w:ascii="Arial" w:hAnsi="Arial" w:cs="Arial"/>
                <w:color w:val="000000" w:themeColor="text1"/>
                <w:sz w:val="22"/>
                <w:szCs w:val="22"/>
              </w:rPr>
            </w:pPr>
            <w:r w:rsidRPr="00C65C30">
              <w:rPr>
                <w:rFonts w:ascii="Arial" w:hAnsi="Arial" w:cs="Arial"/>
                <w:color w:val="000000" w:themeColor="text1"/>
                <w:sz w:val="22"/>
                <w:szCs w:val="22"/>
              </w:rPr>
              <w:t>Agtrans Research</w:t>
            </w:r>
            <w:r>
              <w:rPr>
                <w:rFonts w:ascii="Arial" w:hAnsi="Arial" w:cs="Arial"/>
                <w:color w:val="000000" w:themeColor="text1"/>
                <w:sz w:val="22"/>
                <w:szCs w:val="22"/>
              </w:rPr>
              <w:t>, based on past stonefruit gross margin budgets</w:t>
            </w:r>
          </w:p>
        </w:tc>
      </w:tr>
    </w:tbl>
    <w:p w:rsidR="002B5A16" w:rsidRDefault="002B5A16" w:rsidP="002B5A16">
      <w:pPr>
        <w:rPr>
          <w:rFonts w:ascii="Arial" w:hAnsi="Arial" w:cs="Arial"/>
        </w:rPr>
      </w:pPr>
      <w:bookmarkStart w:id="529" w:name="_Hlk482977861"/>
    </w:p>
    <w:p w:rsidR="00A66BB1" w:rsidRPr="00321A70" w:rsidRDefault="00A66BB1" w:rsidP="002B5A16">
      <w:pPr>
        <w:rPr>
          <w:rFonts w:ascii="Arial" w:hAnsi="Arial" w:cs="Arial"/>
        </w:rPr>
      </w:pPr>
    </w:p>
    <w:p w:rsidR="002B5A16" w:rsidRPr="00A66BB1" w:rsidRDefault="002B5A16" w:rsidP="00A66BB1">
      <w:pPr>
        <w:spacing w:after="240"/>
        <w:rPr>
          <w:rFonts w:ascii="Arial" w:hAnsi="Arial" w:cs="Arial"/>
          <w:b/>
          <w:sz w:val="40"/>
          <w:szCs w:val="40"/>
        </w:rPr>
      </w:pPr>
      <w:bookmarkStart w:id="530" w:name="_Toc487018702"/>
      <w:bookmarkEnd w:id="529"/>
      <w:r w:rsidRPr="00A66BB1">
        <w:rPr>
          <w:rFonts w:ascii="Arial" w:hAnsi="Arial" w:cs="Arial"/>
          <w:b/>
          <w:sz w:val="40"/>
          <w:szCs w:val="40"/>
        </w:rPr>
        <w:t>7. Results</w:t>
      </w:r>
      <w:bookmarkEnd w:id="530"/>
    </w:p>
    <w:p w:rsidR="002B5A16" w:rsidRDefault="002B5A16" w:rsidP="00A66BB1">
      <w:pPr>
        <w:spacing w:after="240"/>
        <w:rPr>
          <w:rFonts w:ascii="Arial" w:hAnsi="Arial" w:cs="Arial"/>
        </w:rPr>
      </w:pPr>
      <w:r w:rsidRPr="003B1CB9">
        <w:rPr>
          <w:rFonts w:ascii="Arial" w:hAnsi="Arial" w:cs="Arial"/>
        </w:rPr>
        <w:t xml:space="preserve">All past costs </w:t>
      </w:r>
      <w:r>
        <w:rPr>
          <w:rFonts w:ascii="Arial" w:hAnsi="Arial" w:cs="Arial"/>
        </w:rPr>
        <w:t xml:space="preserve">reported in Table 5 </w:t>
      </w:r>
      <w:r w:rsidRPr="003B1CB9">
        <w:rPr>
          <w:rFonts w:ascii="Arial" w:hAnsi="Arial" w:cs="Arial"/>
        </w:rPr>
        <w:t xml:space="preserve">were expressed in 2016/17 dollar terms using the Implicit Price Deflator for </w:t>
      </w:r>
      <w:r>
        <w:rPr>
          <w:rFonts w:ascii="Arial" w:hAnsi="Arial" w:cs="Arial"/>
        </w:rPr>
        <w:t>GDP</w:t>
      </w:r>
      <w:r w:rsidRPr="003B1CB9">
        <w:rPr>
          <w:rFonts w:ascii="Arial" w:hAnsi="Arial" w:cs="Arial"/>
        </w:rPr>
        <w:t xml:space="preserve">. All benefits after 2016/17 were expressed in 2016/17 dollar terms. All costs and benefits were discounted to 2016/17 using a discount rate of 5%. A reinvestment rate of 5% was used for estimating the Modified Internal Rate of Return (MIRR). The base analysis used the best available estimates for each variable, notwithstanding a level of uncertainty for </w:t>
      </w:r>
      <w:r>
        <w:rPr>
          <w:rFonts w:ascii="Arial" w:hAnsi="Arial" w:cs="Arial"/>
        </w:rPr>
        <w:t>some</w:t>
      </w:r>
      <w:r w:rsidRPr="003B1CB9">
        <w:rPr>
          <w:rFonts w:ascii="Arial" w:hAnsi="Arial" w:cs="Arial"/>
        </w:rPr>
        <w:t xml:space="preserve"> of the </w:t>
      </w:r>
      <w:r>
        <w:rPr>
          <w:rFonts w:ascii="Arial" w:hAnsi="Arial" w:cs="Arial"/>
        </w:rPr>
        <w:t>assumptions</w:t>
      </w:r>
      <w:r w:rsidRPr="003B1CB9">
        <w:rPr>
          <w:rFonts w:ascii="Arial" w:hAnsi="Arial" w:cs="Arial"/>
        </w:rPr>
        <w:t xml:space="preserve">. All analyses ran for the length of the investment period plus </w:t>
      </w:r>
      <w:r>
        <w:rPr>
          <w:rFonts w:ascii="Arial" w:hAnsi="Arial" w:cs="Arial"/>
        </w:rPr>
        <w:t>30</w:t>
      </w:r>
      <w:r w:rsidRPr="003B1CB9">
        <w:rPr>
          <w:rFonts w:ascii="Arial" w:hAnsi="Arial" w:cs="Arial"/>
        </w:rPr>
        <w:t xml:space="preserve"> years from the last year of investment (</w:t>
      </w:r>
      <w:r>
        <w:rPr>
          <w:rFonts w:ascii="Arial" w:hAnsi="Arial" w:cs="Arial"/>
        </w:rPr>
        <w:t>2006/07</w:t>
      </w:r>
      <w:r w:rsidRPr="003B1CB9">
        <w:rPr>
          <w:rFonts w:ascii="Arial" w:hAnsi="Arial" w:cs="Arial"/>
        </w:rPr>
        <w:t>) to the final year of benefits assumed.</w:t>
      </w:r>
    </w:p>
    <w:p w:rsidR="002B5A16" w:rsidRDefault="002B5A16" w:rsidP="00A66BB1">
      <w:pPr>
        <w:spacing w:after="240"/>
        <w:rPr>
          <w:rFonts w:ascii="Arial" w:hAnsi="Arial" w:cs="Arial"/>
        </w:rPr>
      </w:pPr>
      <w:r>
        <w:rPr>
          <w:rFonts w:ascii="Arial" w:hAnsi="Arial" w:cs="Arial"/>
        </w:rPr>
        <w:t xml:space="preserve">The extended period of relevant investment in breeding the QG plum (1981 to 2007), the lag period between the last year of investment and commercialisation in 2010, and the use of real dollar terms, all worked against the investment performance. </w:t>
      </w:r>
    </w:p>
    <w:p w:rsidR="002B5A16" w:rsidRPr="003B1CB9" w:rsidRDefault="002B5A16" w:rsidP="00A66BB1">
      <w:pPr>
        <w:spacing w:after="240"/>
        <w:rPr>
          <w:rFonts w:ascii="Arial" w:hAnsi="Arial" w:cs="Arial"/>
          <w:b/>
          <w:sz w:val="24"/>
        </w:rPr>
      </w:pPr>
      <w:r w:rsidRPr="003B1CB9">
        <w:rPr>
          <w:rFonts w:ascii="Arial" w:hAnsi="Arial" w:cs="Arial"/>
          <w:b/>
          <w:sz w:val="24"/>
        </w:rPr>
        <w:t xml:space="preserve">Investment Criteria  </w:t>
      </w:r>
    </w:p>
    <w:p w:rsidR="002B5A16" w:rsidRDefault="002B5A16" w:rsidP="00A66BB1">
      <w:pPr>
        <w:spacing w:after="240"/>
        <w:rPr>
          <w:rFonts w:ascii="Arial" w:hAnsi="Arial" w:cs="Arial"/>
        </w:rPr>
      </w:pPr>
      <w:r w:rsidRPr="003B1CB9">
        <w:rPr>
          <w:rFonts w:ascii="Arial" w:hAnsi="Arial" w:cs="Arial"/>
        </w:rPr>
        <w:t xml:space="preserve">Tables </w:t>
      </w:r>
      <w:r>
        <w:rPr>
          <w:rFonts w:ascii="Arial" w:hAnsi="Arial" w:cs="Arial"/>
        </w:rPr>
        <w:t>11</w:t>
      </w:r>
      <w:r w:rsidRPr="003B1CB9">
        <w:rPr>
          <w:rFonts w:ascii="Arial" w:hAnsi="Arial" w:cs="Arial"/>
        </w:rPr>
        <w:t xml:space="preserve">, </w:t>
      </w:r>
      <w:r>
        <w:rPr>
          <w:rFonts w:ascii="Arial" w:hAnsi="Arial" w:cs="Arial"/>
        </w:rPr>
        <w:t>12</w:t>
      </w:r>
      <w:r w:rsidRPr="003B1CB9">
        <w:rPr>
          <w:rFonts w:ascii="Arial" w:hAnsi="Arial" w:cs="Arial"/>
        </w:rPr>
        <w:t xml:space="preserve"> and </w:t>
      </w:r>
      <w:r>
        <w:rPr>
          <w:rFonts w:ascii="Arial" w:hAnsi="Arial" w:cs="Arial"/>
        </w:rPr>
        <w:t>13</w:t>
      </w:r>
      <w:r w:rsidRPr="003B1CB9">
        <w:rPr>
          <w:rFonts w:ascii="Arial" w:hAnsi="Arial" w:cs="Arial"/>
        </w:rPr>
        <w:t xml:space="preserve"> show the investment criteria estimated for different periods of benefits for the total investment and </w:t>
      </w:r>
      <w:r>
        <w:rPr>
          <w:rFonts w:ascii="Arial" w:hAnsi="Arial" w:cs="Arial"/>
        </w:rPr>
        <w:t xml:space="preserve">for the </w:t>
      </w:r>
      <w:r w:rsidRPr="003B1CB9">
        <w:rPr>
          <w:rFonts w:ascii="Arial" w:hAnsi="Arial" w:cs="Arial"/>
        </w:rPr>
        <w:t xml:space="preserve">DAF and </w:t>
      </w:r>
      <w:r>
        <w:rPr>
          <w:rFonts w:ascii="Arial" w:hAnsi="Arial" w:cs="Arial"/>
        </w:rPr>
        <w:t xml:space="preserve">HRDC </w:t>
      </w:r>
      <w:r w:rsidRPr="003B1CB9">
        <w:rPr>
          <w:rFonts w:ascii="Arial" w:hAnsi="Arial" w:cs="Arial"/>
        </w:rPr>
        <w:t>investment</w:t>
      </w:r>
      <w:r>
        <w:rPr>
          <w:rFonts w:ascii="Arial" w:hAnsi="Arial" w:cs="Arial"/>
        </w:rPr>
        <w:t>s</w:t>
      </w:r>
      <w:r w:rsidRPr="003B1CB9">
        <w:rPr>
          <w:rFonts w:ascii="Arial" w:hAnsi="Arial" w:cs="Arial"/>
        </w:rPr>
        <w:t xml:space="preserve"> respectively. The present value of benefits (PVB) attributable to </w:t>
      </w:r>
      <w:r>
        <w:rPr>
          <w:rFonts w:ascii="Arial" w:hAnsi="Arial" w:cs="Arial"/>
        </w:rPr>
        <w:t xml:space="preserve">the </w:t>
      </w:r>
      <w:r w:rsidRPr="003B1CB9">
        <w:rPr>
          <w:rFonts w:ascii="Arial" w:hAnsi="Arial" w:cs="Arial"/>
        </w:rPr>
        <w:t xml:space="preserve">DAF investment only, shown in Table </w:t>
      </w:r>
      <w:r>
        <w:rPr>
          <w:rFonts w:ascii="Arial" w:hAnsi="Arial" w:cs="Arial"/>
        </w:rPr>
        <w:t>12</w:t>
      </w:r>
      <w:r w:rsidRPr="003B1CB9">
        <w:rPr>
          <w:rFonts w:ascii="Arial" w:hAnsi="Arial" w:cs="Arial"/>
        </w:rPr>
        <w:t xml:space="preserve">, has been estimated by multiplying the PVB </w:t>
      </w:r>
      <w:r>
        <w:rPr>
          <w:rFonts w:ascii="Arial" w:hAnsi="Arial" w:cs="Arial"/>
        </w:rPr>
        <w:t xml:space="preserve">for the total investment </w:t>
      </w:r>
      <w:r w:rsidRPr="003B1CB9">
        <w:rPr>
          <w:rFonts w:ascii="Arial" w:hAnsi="Arial" w:cs="Arial"/>
        </w:rPr>
        <w:t xml:space="preserve">by the DAF </w:t>
      </w:r>
      <w:r w:rsidRPr="00F045ED">
        <w:rPr>
          <w:rFonts w:ascii="Arial" w:hAnsi="Arial" w:cs="Arial"/>
        </w:rPr>
        <w:t xml:space="preserve">proportion of the </w:t>
      </w:r>
      <w:r>
        <w:rPr>
          <w:rFonts w:ascii="Arial" w:hAnsi="Arial" w:cs="Arial"/>
        </w:rPr>
        <w:t xml:space="preserve">total </w:t>
      </w:r>
      <w:r w:rsidRPr="00F045ED">
        <w:rPr>
          <w:rFonts w:ascii="Arial" w:hAnsi="Arial" w:cs="Arial"/>
        </w:rPr>
        <w:t>investment in real terms (</w:t>
      </w:r>
      <w:r>
        <w:rPr>
          <w:rFonts w:ascii="Arial" w:hAnsi="Arial" w:cs="Arial"/>
        </w:rPr>
        <w:t>80.0</w:t>
      </w:r>
      <w:r w:rsidRPr="00F045ED">
        <w:rPr>
          <w:rFonts w:ascii="Arial" w:hAnsi="Arial" w:cs="Arial"/>
        </w:rPr>
        <w:t>%)</w:t>
      </w:r>
      <w:r>
        <w:rPr>
          <w:rFonts w:ascii="Arial" w:hAnsi="Arial" w:cs="Arial"/>
        </w:rPr>
        <w:t>; a similar approach was applied to estimate the HRDC investment criteria</w:t>
      </w:r>
      <w:r w:rsidRPr="00F045ED">
        <w:rPr>
          <w:rFonts w:ascii="Arial" w:hAnsi="Arial" w:cs="Arial"/>
        </w:rPr>
        <w:t>.</w:t>
      </w:r>
    </w:p>
    <w:p w:rsidR="002B5A16" w:rsidRPr="003B1CB9" w:rsidRDefault="002B5A16" w:rsidP="00A66BB1">
      <w:pPr>
        <w:suppressAutoHyphens/>
        <w:spacing w:after="240"/>
        <w:jc w:val="center"/>
        <w:rPr>
          <w:rFonts w:ascii="Arial" w:hAnsi="Arial" w:cs="Arial"/>
          <w:iCs/>
        </w:rPr>
      </w:pPr>
      <w:bookmarkStart w:id="531" w:name="_Toc487018716"/>
      <w:r w:rsidRPr="003B1CB9">
        <w:rPr>
          <w:rFonts w:ascii="Arial" w:hAnsi="Arial" w:cs="Arial"/>
          <w:iCs/>
          <w:color w:val="000000" w:themeColor="text1"/>
        </w:rPr>
        <w:t xml:space="preserve">Table </w:t>
      </w:r>
      <w:r w:rsidR="00913E1D">
        <w:rPr>
          <w:rFonts w:ascii="Arial" w:hAnsi="Arial" w:cs="Arial"/>
          <w:iCs/>
          <w:color w:val="000000" w:themeColor="text1"/>
        </w:rPr>
        <w:t>11</w:t>
      </w:r>
      <w:r w:rsidRPr="003B1CB9">
        <w:rPr>
          <w:rFonts w:ascii="Arial" w:hAnsi="Arial" w:cs="Arial"/>
          <w:iCs/>
          <w:color w:val="000000" w:themeColor="text1"/>
        </w:rPr>
        <w:t>: Investment Criteria for Total Investment</w:t>
      </w:r>
      <w:bookmarkEnd w:id="531"/>
      <w:r w:rsidRPr="003B1CB9">
        <w:rPr>
          <w:rFonts w:ascii="Arial" w:hAnsi="Arial" w:cs="Arial"/>
          <w:iCs/>
          <w:color w:val="000000" w:themeColor="text1"/>
        </w:rPr>
        <w:t xml:space="preserve"> </w:t>
      </w:r>
    </w:p>
    <w:tbl>
      <w:tblPr>
        <w:tblStyle w:val="TableGrid2"/>
        <w:tblW w:w="5893" w:type="pct"/>
        <w:jc w:val="center"/>
        <w:tblLayout w:type="fixed"/>
        <w:tblLook w:val="04A0" w:firstRow="1" w:lastRow="0" w:firstColumn="1" w:lastColumn="0" w:noHBand="0" w:noVBand="1"/>
      </w:tblPr>
      <w:tblGrid>
        <w:gridCol w:w="3390"/>
        <w:gridCol w:w="1141"/>
        <w:gridCol w:w="1135"/>
        <w:gridCol w:w="1133"/>
        <w:gridCol w:w="854"/>
        <w:gridCol w:w="992"/>
        <w:gridCol w:w="935"/>
        <w:gridCol w:w="1046"/>
      </w:tblGrid>
      <w:tr w:rsidR="00A66BB1" w:rsidRPr="000D5A34" w:rsidTr="000D5A34">
        <w:trPr>
          <w:jc w:val="center"/>
        </w:trPr>
        <w:tc>
          <w:tcPr>
            <w:tcW w:w="1595" w:type="pct"/>
            <w:vMerge w:val="restart"/>
          </w:tcPr>
          <w:p w:rsidR="00A66BB1" w:rsidRPr="000D5A34" w:rsidRDefault="00A66BB1" w:rsidP="002B5A16">
            <w:pPr>
              <w:rPr>
                <w:rFonts w:ascii="Arial" w:hAnsi="Arial" w:cs="Arial"/>
                <w:b/>
                <w:szCs w:val="22"/>
              </w:rPr>
            </w:pPr>
            <w:bookmarkStart w:id="532" w:name="_Hlk484701170"/>
            <w:r w:rsidRPr="000D5A34">
              <w:rPr>
                <w:rFonts w:ascii="Arial" w:hAnsi="Arial" w:cs="Arial"/>
                <w:b/>
                <w:szCs w:val="22"/>
              </w:rPr>
              <w:t xml:space="preserve">Investment criteria </w:t>
            </w:r>
          </w:p>
        </w:tc>
        <w:tc>
          <w:tcPr>
            <w:tcW w:w="3405" w:type="pct"/>
            <w:gridSpan w:val="7"/>
          </w:tcPr>
          <w:p w:rsidR="00A66BB1" w:rsidRPr="000D5A34" w:rsidRDefault="00A66BB1" w:rsidP="002B5A16">
            <w:pPr>
              <w:jc w:val="center"/>
              <w:rPr>
                <w:rFonts w:ascii="Arial" w:hAnsi="Arial" w:cs="Arial"/>
                <w:b/>
                <w:szCs w:val="22"/>
              </w:rPr>
            </w:pPr>
            <w:r w:rsidRPr="000D5A34">
              <w:rPr>
                <w:rFonts w:ascii="Arial" w:hAnsi="Arial" w:cs="Arial"/>
                <w:b/>
                <w:szCs w:val="22"/>
              </w:rPr>
              <w:t xml:space="preserve">Number of years from year of last investment </w:t>
            </w:r>
          </w:p>
        </w:tc>
      </w:tr>
      <w:tr w:rsidR="000D5A34" w:rsidRPr="000D5A34" w:rsidTr="000D5A34">
        <w:trPr>
          <w:jc w:val="center"/>
        </w:trPr>
        <w:tc>
          <w:tcPr>
            <w:tcW w:w="1595" w:type="pct"/>
            <w:vMerge/>
          </w:tcPr>
          <w:p w:rsidR="00A66BB1" w:rsidRPr="000D5A34" w:rsidRDefault="00A66BB1" w:rsidP="002B5A16">
            <w:pPr>
              <w:rPr>
                <w:rFonts w:ascii="Arial" w:hAnsi="Arial" w:cs="Arial"/>
                <w:szCs w:val="22"/>
              </w:rPr>
            </w:pPr>
          </w:p>
        </w:tc>
        <w:tc>
          <w:tcPr>
            <w:tcW w:w="537" w:type="pct"/>
          </w:tcPr>
          <w:p w:rsidR="00A66BB1" w:rsidRPr="000D5A34" w:rsidRDefault="00A66BB1" w:rsidP="002B5A16">
            <w:pPr>
              <w:jc w:val="center"/>
              <w:rPr>
                <w:rFonts w:ascii="Arial" w:hAnsi="Arial" w:cs="Arial"/>
                <w:b/>
                <w:szCs w:val="22"/>
              </w:rPr>
            </w:pPr>
            <w:r w:rsidRPr="000D5A34">
              <w:rPr>
                <w:rFonts w:ascii="Arial" w:hAnsi="Arial" w:cs="Arial"/>
                <w:b/>
                <w:szCs w:val="22"/>
              </w:rPr>
              <w:t>0</w:t>
            </w:r>
          </w:p>
        </w:tc>
        <w:tc>
          <w:tcPr>
            <w:tcW w:w="534" w:type="pct"/>
          </w:tcPr>
          <w:p w:rsidR="00A66BB1" w:rsidRPr="000D5A34" w:rsidRDefault="00A66BB1" w:rsidP="002B5A16">
            <w:pPr>
              <w:jc w:val="center"/>
              <w:rPr>
                <w:rFonts w:ascii="Arial" w:hAnsi="Arial" w:cs="Arial"/>
                <w:b/>
                <w:szCs w:val="22"/>
              </w:rPr>
            </w:pPr>
            <w:r w:rsidRPr="000D5A34">
              <w:rPr>
                <w:rFonts w:ascii="Arial" w:hAnsi="Arial" w:cs="Arial"/>
                <w:b/>
                <w:szCs w:val="22"/>
              </w:rPr>
              <w:t>5</w:t>
            </w:r>
          </w:p>
        </w:tc>
        <w:tc>
          <w:tcPr>
            <w:tcW w:w="533" w:type="pct"/>
          </w:tcPr>
          <w:p w:rsidR="00A66BB1" w:rsidRPr="000D5A34" w:rsidRDefault="00A66BB1" w:rsidP="002B5A16">
            <w:pPr>
              <w:jc w:val="center"/>
              <w:rPr>
                <w:rFonts w:ascii="Arial" w:hAnsi="Arial" w:cs="Arial"/>
                <w:b/>
                <w:szCs w:val="22"/>
              </w:rPr>
            </w:pPr>
            <w:r w:rsidRPr="000D5A34">
              <w:rPr>
                <w:rFonts w:ascii="Arial" w:hAnsi="Arial" w:cs="Arial"/>
                <w:b/>
                <w:szCs w:val="22"/>
              </w:rPr>
              <w:t>10</w:t>
            </w:r>
          </w:p>
        </w:tc>
        <w:tc>
          <w:tcPr>
            <w:tcW w:w="402" w:type="pct"/>
          </w:tcPr>
          <w:p w:rsidR="00A66BB1" w:rsidRPr="000D5A34" w:rsidRDefault="00A66BB1" w:rsidP="002B5A16">
            <w:pPr>
              <w:jc w:val="center"/>
              <w:rPr>
                <w:rFonts w:ascii="Arial" w:hAnsi="Arial" w:cs="Arial"/>
                <w:b/>
                <w:szCs w:val="22"/>
              </w:rPr>
            </w:pPr>
            <w:r w:rsidRPr="000D5A34">
              <w:rPr>
                <w:rFonts w:ascii="Arial" w:hAnsi="Arial" w:cs="Arial"/>
                <w:b/>
                <w:szCs w:val="22"/>
              </w:rPr>
              <w:t>15</w:t>
            </w:r>
          </w:p>
        </w:tc>
        <w:tc>
          <w:tcPr>
            <w:tcW w:w="467" w:type="pct"/>
          </w:tcPr>
          <w:p w:rsidR="00A66BB1" w:rsidRPr="000D5A34" w:rsidRDefault="00A66BB1" w:rsidP="002B5A16">
            <w:pPr>
              <w:jc w:val="center"/>
              <w:rPr>
                <w:rFonts w:ascii="Arial" w:hAnsi="Arial" w:cs="Arial"/>
                <w:b/>
                <w:szCs w:val="22"/>
              </w:rPr>
            </w:pPr>
            <w:r w:rsidRPr="000D5A34">
              <w:rPr>
                <w:rFonts w:ascii="Arial" w:hAnsi="Arial" w:cs="Arial"/>
                <w:b/>
                <w:szCs w:val="22"/>
              </w:rPr>
              <w:t>20</w:t>
            </w:r>
          </w:p>
        </w:tc>
        <w:tc>
          <w:tcPr>
            <w:tcW w:w="440" w:type="pct"/>
          </w:tcPr>
          <w:p w:rsidR="00A66BB1" w:rsidRPr="000D5A34" w:rsidRDefault="00A66BB1" w:rsidP="002B5A16">
            <w:pPr>
              <w:jc w:val="center"/>
              <w:rPr>
                <w:rFonts w:ascii="Arial" w:hAnsi="Arial" w:cs="Arial"/>
                <w:b/>
                <w:szCs w:val="22"/>
              </w:rPr>
            </w:pPr>
            <w:r w:rsidRPr="000D5A34">
              <w:rPr>
                <w:rFonts w:ascii="Arial" w:hAnsi="Arial" w:cs="Arial"/>
                <w:b/>
                <w:szCs w:val="22"/>
              </w:rPr>
              <w:t>25</w:t>
            </w:r>
          </w:p>
        </w:tc>
        <w:tc>
          <w:tcPr>
            <w:tcW w:w="492" w:type="pct"/>
          </w:tcPr>
          <w:p w:rsidR="00A66BB1" w:rsidRPr="000D5A34" w:rsidRDefault="00A66BB1" w:rsidP="002B5A16">
            <w:pPr>
              <w:jc w:val="center"/>
              <w:rPr>
                <w:rFonts w:ascii="Arial" w:hAnsi="Arial" w:cs="Arial"/>
                <w:b/>
                <w:szCs w:val="22"/>
              </w:rPr>
            </w:pPr>
            <w:r w:rsidRPr="000D5A34">
              <w:rPr>
                <w:rFonts w:ascii="Arial" w:hAnsi="Arial" w:cs="Arial"/>
                <w:b/>
                <w:szCs w:val="22"/>
              </w:rPr>
              <w:t>30</w:t>
            </w:r>
          </w:p>
        </w:tc>
      </w:tr>
      <w:tr w:rsidR="000D5A34" w:rsidRPr="000D5A34" w:rsidTr="000D5A34">
        <w:trPr>
          <w:jc w:val="center"/>
        </w:trPr>
        <w:tc>
          <w:tcPr>
            <w:tcW w:w="1595" w:type="pct"/>
          </w:tcPr>
          <w:p w:rsidR="002B5A16" w:rsidRPr="000D5A34" w:rsidRDefault="002B5A16" w:rsidP="002B5A16">
            <w:pPr>
              <w:widowControl w:val="0"/>
              <w:rPr>
                <w:rFonts w:ascii="Arial" w:hAnsi="Arial" w:cs="Arial"/>
                <w:szCs w:val="22"/>
              </w:rPr>
            </w:pPr>
            <w:r w:rsidRPr="000D5A34">
              <w:rPr>
                <w:rFonts w:ascii="Arial" w:hAnsi="Arial" w:cs="Arial"/>
                <w:szCs w:val="22"/>
              </w:rPr>
              <w:t>Present value of benefits ($m)</w:t>
            </w:r>
          </w:p>
        </w:tc>
        <w:tc>
          <w:tcPr>
            <w:tcW w:w="53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0.00</w:t>
            </w:r>
          </w:p>
        </w:tc>
        <w:tc>
          <w:tcPr>
            <w:tcW w:w="53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-14.53</w:t>
            </w:r>
          </w:p>
        </w:tc>
        <w:tc>
          <w:tcPr>
            <w:tcW w:w="53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-14.33</w:t>
            </w:r>
          </w:p>
        </w:tc>
        <w:tc>
          <w:tcPr>
            <w:tcW w:w="40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37.69</w:t>
            </w:r>
          </w:p>
        </w:tc>
        <w:tc>
          <w:tcPr>
            <w:tcW w:w="46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128.63</w:t>
            </w:r>
          </w:p>
        </w:tc>
        <w:tc>
          <w:tcPr>
            <w:tcW w:w="440"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199.88</w:t>
            </w:r>
          </w:p>
        </w:tc>
        <w:tc>
          <w:tcPr>
            <w:tcW w:w="49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255.71</w:t>
            </w:r>
          </w:p>
        </w:tc>
      </w:tr>
      <w:tr w:rsidR="000D5A34" w:rsidRPr="000D5A34" w:rsidTr="000D5A34">
        <w:trPr>
          <w:jc w:val="center"/>
        </w:trPr>
        <w:tc>
          <w:tcPr>
            <w:tcW w:w="1595" w:type="pct"/>
          </w:tcPr>
          <w:p w:rsidR="002B5A16" w:rsidRPr="000D5A34" w:rsidRDefault="002B5A16" w:rsidP="002B5A16">
            <w:pPr>
              <w:widowControl w:val="0"/>
              <w:rPr>
                <w:rFonts w:ascii="Arial" w:hAnsi="Arial" w:cs="Arial"/>
                <w:szCs w:val="22"/>
              </w:rPr>
            </w:pPr>
            <w:r w:rsidRPr="000D5A34">
              <w:rPr>
                <w:rFonts w:ascii="Arial" w:hAnsi="Arial" w:cs="Arial"/>
                <w:szCs w:val="22"/>
              </w:rPr>
              <w:t>Present value of costs ($m)</w:t>
            </w:r>
          </w:p>
        </w:tc>
        <w:tc>
          <w:tcPr>
            <w:tcW w:w="537" w:type="pct"/>
            <w:tcBorders>
              <w:top w:val="single" w:sz="4" w:space="0" w:color="auto"/>
              <w:left w:val="single" w:sz="4" w:space="0" w:color="auto"/>
              <w:bottom w:val="single" w:sz="4" w:space="0" w:color="auto"/>
              <w:right w:val="single" w:sz="4" w:space="0" w:color="auto"/>
            </w:tcBorders>
            <w:shd w:val="clear" w:color="000000" w:fill="FFFFFF"/>
          </w:tcPr>
          <w:p w:rsidR="002B5A16" w:rsidRPr="000D5A34" w:rsidRDefault="002B5A16" w:rsidP="002B5A16">
            <w:pPr>
              <w:jc w:val="right"/>
              <w:rPr>
                <w:rFonts w:ascii="Arial" w:hAnsi="Arial" w:cs="Arial"/>
                <w:color w:val="FF0000"/>
                <w:szCs w:val="22"/>
              </w:rPr>
            </w:pPr>
            <w:r w:rsidRPr="000D5A34">
              <w:rPr>
                <w:rFonts w:ascii="Arial" w:hAnsi="Arial" w:cs="Arial"/>
                <w:szCs w:val="22"/>
              </w:rPr>
              <w:t>19.71</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2B5A16" w:rsidRPr="000D5A34" w:rsidRDefault="002B5A16" w:rsidP="002B5A16">
            <w:pPr>
              <w:jc w:val="right"/>
              <w:rPr>
                <w:rFonts w:ascii="Arial" w:hAnsi="Arial" w:cs="Arial"/>
                <w:color w:val="FF0000"/>
                <w:szCs w:val="22"/>
              </w:rPr>
            </w:pPr>
            <w:r w:rsidRPr="000D5A34">
              <w:rPr>
                <w:rFonts w:ascii="Arial" w:hAnsi="Arial" w:cs="Arial"/>
                <w:szCs w:val="22"/>
              </w:rPr>
              <w:t>19.71</w:t>
            </w:r>
          </w:p>
        </w:tc>
        <w:tc>
          <w:tcPr>
            <w:tcW w:w="53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19.71</w:t>
            </w:r>
          </w:p>
        </w:tc>
        <w:tc>
          <w:tcPr>
            <w:tcW w:w="40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19.71</w:t>
            </w:r>
          </w:p>
        </w:tc>
        <w:tc>
          <w:tcPr>
            <w:tcW w:w="46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19.71</w:t>
            </w:r>
          </w:p>
        </w:tc>
        <w:tc>
          <w:tcPr>
            <w:tcW w:w="440"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19.71</w:t>
            </w:r>
          </w:p>
        </w:tc>
        <w:tc>
          <w:tcPr>
            <w:tcW w:w="49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19.71</w:t>
            </w:r>
          </w:p>
        </w:tc>
      </w:tr>
      <w:tr w:rsidR="000D5A34" w:rsidRPr="000D5A34" w:rsidTr="000D5A34">
        <w:trPr>
          <w:jc w:val="center"/>
        </w:trPr>
        <w:tc>
          <w:tcPr>
            <w:tcW w:w="1595" w:type="pct"/>
          </w:tcPr>
          <w:p w:rsidR="002B5A16" w:rsidRPr="000D5A34" w:rsidRDefault="002B5A16" w:rsidP="002B5A16">
            <w:pPr>
              <w:widowControl w:val="0"/>
              <w:rPr>
                <w:rFonts w:ascii="Arial" w:hAnsi="Arial" w:cs="Arial"/>
                <w:szCs w:val="22"/>
              </w:rPr>
            </w:pPr>
            <w:r w:rsidRPr="000D5A34">
              <w:rPr>
                <w:rFonts w:ascii="Arial" w:hAnsi="Arial" w:cs="Arial"/>
                <w:szCs w:val="22"/>
              </w:rPr>
              <w:t>Net present value ($m)</w:t>
            </w:r>
          </w:p>
        </w:tc>
        <w:tc>
          <w:tcPr>
            <w:tcW w:w="53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-19.71</w:t>
            </w:r>
          </w:p>
        </w:tc>
        <w:tc>
          <w:tcPr>
            <w:tcW w:w="53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-34.24</w:t>
            </w:r>
          </w:p>
        </w:tc>
        <w:tc>
          <w:tcPr>
            <w:tcW w:w="53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-34.03</w:t>
            </w:r>
          </w:p>
        </w:tc>
        <w:tc>
          <w:tcPr>
            <w:tcW w:w="40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17.98</w:t>
            </w:r>
          </w:p>
        </w:tc>
        <w:tc>
          <w:tcPr>
            <w:tcW w:w="46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108.92</w:t>
            </w:r>
          </w:p>
        </w:tc>
        <w:tc>
          <w:tcPr>
            <w:tcW w:w="440"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180.17</w:t>
            </w:r>
          </w:p>
        </w:tc>
        <w:tc>
          <w:tcPr>
            <w:tcW w:w="49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236.00</w:t>
            </w:r>
          </w:p>
        </w:tc>
      </w:tr>
      <w:tr w:rsidR="000D5A34" w:rsidRPr="000D5A34" w:rsidTr="000D5A34">
        <w:trPr>
          <w:jc w:val="center"/>
        </w:trPr>
        <w:tc>
          <w:tcPr>
            <w:tcW w:w="1595" w:type="pct"/>
          </w:tcPr>
          <w:p w:rsidR="002B5A16" w:rsidRPr="000D5A34" w:rsidRDefault="002B5A16" w:rsidP="002B5A16">
            <w:pPr>
              <w:widowControl w:val="0"/>
              <w:rPr>
                <w:rFonts w:ascii="Arial" w:hAnsi="Arial" w:cs="Arial"/>
                <w:szCs w:val="22"/>
              </w:rPr>
            </w:pPr>
            <w:r w:rsidRPr="000D5A34">
              <w:rPr>
                <w:rFonts w:ascii="Arial" w:hAnsi="Arial" w:cs="Arial"/>
                <w:szCs w:val="22"/>
              </w:rPr>
              <w:t>Benefit-cost ratio</w:t>
            </w:r>
          </w:p>
        </w:tc>
        <w:tc>
          <w:tcPr>
            <w:tcW w:w="53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0.00</w:t>
            </w:r>
          </w:p>
        </w:tc>
        <w:tc>
          <w:tcPr>
            <w:tcW w:w="53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-0.74</w:t>
            </w:r>
          </w:p>
        </w:tc>
        <w:tc>
          <w:tcPr>
            <w:tcW w:w="53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-0.73</w:t>
            </w:r>
          </w:p>
        </w:tc>
        <w:tc>
          <w:tcPr>
            <w:tcW w:w="40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1.91</w:t>
            </w:r>
          </w:p>
        </w:tc>
        <w:tc>
          <w:tcPr>
            <w:tcW w:w="46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6.53</w:t>
            </w:r>
          </w:p>
        </w:tc>
        <w:tc>
          <w:tcPr>
            <w:tcW w:w="440"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10.14</w:t>
            </w:r>
          </w:p>
        </w:tc>
        <w:tc>
          <w:tcPr>
            <w:tcW w:w="49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12.97</w:t>
            </w:r>
          </w:p>
        </w:tc>
      </w:tr>
      <w:tr w:rsidR="000D5A34" w:rsidRPr="000D5A34" w:rsidTr="000D5A34">
        <w:trPr>
          <w:jc w:val="center"/>
        </w:trPr>
        <w:tc>
          <w:tcPr>
            <w:tcW w:w="1595" w:type="pct"/>
          </w:tcPr>
          <w:p w:rsidR="002B5A16" w:rsidRPr="000D5A34" w:rsidRDefault="002B5A16" w:rsidP="002B5A16">
            <w:pPr>
              <w:widowControl w:val="0"/>
              <w:rPr>
                <w:rFonts w:ascii="Arial" w:hAnsi="Arial" w:cs="Arial"/>
                <w:szCs w:val="22"/>
              </w:rPr>
            </w:pPr>
            <w:r w:rsidRPr="000D5A34">
              <w:rPr>
                <w:rFonts w:ascii="Arial" w:hAnsi="Arial" w:cs="Arial"/>
                <w:szCs w:val="22"/>
              </w:rPr>
              <w:t>Internal rate of return (IRR) (%)</w:t>
            </w:r>
          </w:p>
        </w:tc>
        <w:tc>
          <w:tcPr>
            <w:tcW w:w="53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3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3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40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7.1</w:t>
            </w:r>
          </w:p>
        </w:tc>
        <w:tc>
          <w:tcPr>
            <w:tcW w:w="46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10.9</w:t>
            </w:r>
          </w:p>
        </w:tc>
        <w:tc>
          <w:tcPr>
            <w:tcW w:w="440"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12.0</w:t>
            </w:r>
          </w:p>
        </w:tc>
        <w:tc>
          <w:tcPr>
            <w:tcW w:w="49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12.4</w:t>
            </w:r>
          </w:p>
        </w:tc>
      </w:tr>
      <w:tr w:rsidR="000D5A34" w:rsidRPr="000D5A34" w:rsidTr="000D5A34">
        <w:trPr>
          <w:jc w:val="center"/>
        </w:trPr>
        <w:tc>
          <w:tcPr>
            <w:tcW w:w="1595" w:type="pct"/>
          </w:tcPr>
          <w:p w:rsidR="002B5A16" w:rsidRPr="000D5A34" w:rsidRDefault="002B5A16" w:rsidP="002B5A16">
            <w:pPr>
              <w:widowControl w:val="0"/>
              <w:rPr>
                <w:rFonts w:ascii="Arial" w:hAnsi="Arial" w:cs="Arial"/>
                <w:szCs w:val="22"/>
              </w:rPr>
            </w:pPr>
            <w:r w:rsidRPr="000D5A34">
              <w:rPr>
                <w:rFonts w:ascii="Arial" w:hAnsi="Arial" w:cs="Arial"/>
                <w:szCs w:val="22"/>
              </w:rPr>
              <w:t>Modified IRR (%)</w:t>
            </w:r>
          </w:p>
        </w:tc>
        <w:tc>
          <w:tcPr>
            <w:tcW w:w="53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3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3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40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11.8</w:t>
            </w:r>
          </w:p>
        </w:tc>
        <w:tc>
          <w:tcPr>
            <w:tcW w:w="46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18.1</w:t>
            </w:r>
          </w:p>
        </w:tc>
        <w:tc>
          <w:tcPr>
            <w:tcW w:w="440"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16.4</w:t>
            </w:r>
          </w:p>
        </w:tc>
        <w:tc>
          <w:tcPr>
            <w:tcW w:w="49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14.7</w:t>
            </w:r>
          </w:p>
        </w:tc>
      </w:tr>
    </w:tbl>
    <w:p w:rsidR="00F712CF" w:rsidRDefault="00F712CF" w:rsidP="00F712CF">
      <w:pPr>
        <w:suppressAutoHyphens/>
        <w:jc w:val="center"/>
        <w:rPr>
          <w:rFonts w:ascii="Arial" w:hAnsi="Arial" w:cs="Arial"/>
          <w:iCs/>
          <w:color w:val="000000" w:themeColor="text1"/>
        </w:rPr>
      </w:pPr>
      <w:bookmarkStart w:id="533" w:name="_Toc487018717"/>
      <w:bookmarkEnd w:id="532"/>
    </w:p>
    <w:p w:rsidR="00F712CF" w:rsidRDefault="00F712CF" w:rsidP="00F712CF">
      <w:pPr>
        <w:suppressAutoHyphens/>
        <w:jc w:val="center"/>
        <w:rPr>
          <w:rFonts w:ascii="Arial" w:hAnsi="Arial" w:cs="Arial"/>
          <w:iCs/>
          <w:color w:val="000000" w:themeColor="text1"/>
        </w:rPr>
      </w:pPr>
    </w:p>
    <w:p w:rsidR="002B5A16" w:rsidRDefault="002B5A16" w:rsidP="00A66BB1">
      <w:pPr>
        <w:suppressAutoHyphens/>
        <w:spacing w:after="240"/>
        <w:jc w:val="center"/>
        <w:rPr>
          <w:rFonts w:ascii="Arial" w:hAnsi="Arial" w:cs="Arial"/>
          <w:iCs/>
          <w:color w:val="000000" w:themeColor="text1"/>
        </w:rPr>
      </w:pPr>
      <w:r w:rsidRPr="00BE62BA">
        <w:rPr>
          <w:rFonts w:ascii="Arial" w:hAnsi="Arial" w:cs="Arial"/>
          <w:iCs/>
          <w:color w:val="000000" w:themeColor="text1"/>
        </w:rPr>
        <w:t xml:space="preserve">Table </w:t>
      </w:r>
      <w:r w:rsidR="00913E1D">
        <w:rPr>
          <w:rFonts w:ascii="Arial" w:hAnsi="Arial" w:cs="Arial"/>
          <w:iCs/>
          <w:color w:val="000000" w:themeColor="text1"/>
        </w:rPr>
        <w:t>12</w:t>
      </w:r>
      <w:r w:rsidRPr="00BE62BA">
        <w:rPr>
          <w:rFonts w:ascii="Arial" w:hAnsi="Arial" w:cs="Arial"/>
          <w:iCs/>
          <w:color w:val="000000" w:themeColor="text1"/>
        </w:rPr>
        <w:t>: Investment Criteria for DAF Investment</w:t>
      </w:r>
      <w:bookmarkEnd w:id="533"/>
    </w:p>
    <w:tbl>
      <w:tblPr>
        <w:tblStyle w:val="TableGrid2"/>
        <w:tblW w:w="5815" w:type="pct"/>
        <w:jc w:val="center"/>
        <w:tblLayout w:type="fixed"/>
        <w:tblLook w:val="04A0" w:firstRow="1" w:lastRow="0" w:firstColumn="1" w:lastColumn="0" w:noHBand="0" w:noVBand="1"/>
      </w:tblPr>
      <w:tblGrid>
        <w:gridCol w:w="3244"/>
        <w:gridCol w:w="1147"/>
        <w:gridCol w:w="1135"/>
        <w:gridCol w:w="1135"/>
        <w:gridCol w:w="851"/>
        <w:gridCol w:w="990"/>
        <w:gridCol w:w="994"/>
        <w:gridCol w:w="990"/>
      </w:tblGrid>
      <w:tr w:rsidR="002B5A16" w:rsidRPr="000D5A34" w:rsidTr="000D5A34">
        <w:trPr>
          <w:jc w:val="center"/>
        </w:trPr>
        <w:tc>
          <w:tcPr>
            <w:tcW w:w="1547" w:type="pct"/>
            <w:vMerge w:val="restart"/>
          </w:tcPr>
          <w:p w:rsidR="002B5A16" w:rsidRPr="000D5A34" w:rsidRDefault="002B5A16" w:rsidP="002B5A16">
            <w:pPr>
              <w:rPr>
                <w:rFonts w:ascii="Arial" w:hAnsi="Arial" w:cs="Arial"/>
                <w:b/>
                <w:szCs w:val="22"/>
              </w:rPr>
            </w:pPr>
            <w:r w:rsidRPr="000D5A34">
              <w:rPr>
                <w:rFonts w:ascii="Arial" w:hAnsi="Arial" w:cs="Arial"/>
                <w:b/>
                <w:szCs w:val="22"/>
              </w:rPr>
              <w:t xml:space="preserve">Investment criteria </w:t>
            </w:r>
          </w:p>
        </w:tc>
        <w:tc>
          <w:tcPr>
            <w:tcW w:w="3453" w:type="pct"/>
            <w:gridSpan w:val="7"/>
          </w:tcPr>
          <w:p w:rsidR="002B5A16" w:rsidRPr="000D5A34" w:rsidRDefault="002B5A16" w:rsidP="002B5A16">
            <w:pPr>
              <w:jc w:val="center"/>
              <w:rPr>
                <w:rFonts w:ascii="Arial" w:hAnsi="Arial" w:cs="Arial"/>
                <w:b/>
                <w:szCs w:val="22"/>
              </w:rPr>
            </w:pPr>
            <w:r w:rsidRPr="000D5A34">
              <w:rPr>
                <w:rFonts w:ascii="Arial" w:hAnsi="Arial" w:cs="Arial"/>
                <w:b/>
                <w:szCs w:val="22"/>
              </w:rPr>
              <w:t xml:space="preserve">Number of years from year of last investment </w:t>
            </w:r>
          </w:p>
        </w:tc>
      </w:tr>
      <w:tr w:rsidR="000D5A34" w:rsidRPr="000D5A34" w:rsidTr="000D5A34">
        <w:trPr>
          <w:jc w:val="center"/>
        </w:trPr>
        <w:tc>
          <w:tcPr>
            <w:tcW w:w="1547" w:type="pct"/>
            <w:vMerge/>
          </w:tcPr>
          <w:p w:rsidR="002B5A16" w:rsidRPr="000D5A34" w:rsidRDefault="002B5A16" w:rsidP="002B5A16">
            <w:pPr>
              <w:rPr>
                <w:rFonts w:ascii="Arial" w:hAnsi="Arial" w:cs="Arial"/>
                <w:szCs w:val="22"/>
              </w:rPr>
            </w:pPr>
          </w:p>
        </w:tc>
        <w:tc>
          <w:tcPr>
            <w:tcW w:w="547" w:type="pct"/>
          </w:tcPr>
          <w:p w:rsidR="002B5A16" w:rsidRPr="000D5A34" w:rsidRDefault="002B5A16" w:rsidP="002B5A16">
            <w:pPr>
              <w:jc w:val="center"/>
              <w:rPr>
                <w:rFonts w:ascii="Arial" w:hAnsi="Arial" w:cs="Arial"/>
                <w:b/>
                <w:szCs w:val="22"/>
              </w:rPr>
            </w:pPr>
            <w:r w:rsidRPr="000D5A34">
              <w:rPr>
                <w:rFonts w:ascii="Arial" w:hAnsi="Arial" w:cs="Arial"/>
                <w:b/>
                <w:szCs w:val="22"/>
              </w:rPr>
              <w:t>0</w:t>
            </w:r>
          </w:p>
        </w:tc>
        <w:tc>
          <w:tcPr>
            <w:tcW w:w="541" w:type="pct"/>
          </w:tcPr>
          <w:p w:rsidR="002B5A16" w:rsidRPr="000D5A34" w:rsidRDefault="002B5A16" w:rsidP="002B5A16">
            <w:pPr>
              <w:jc w:val="center"/>
              <w:rPr>
                <w:rFonts w:ascii="Arial" w:hAnsi="Arial" w:cs="Arial"/>
                <w:b/>
                <w:szCs w:val="22"/>
              </w:rPr>
            </w:pPr>
            <w:r w:rsidRPr="000D5A34">
              <w:rPr>
                <w:rFonts w:ascii="Arial" w:hAnsi="Arial" w:cs="Arial"/>
                <w:b/>
                <w:szCs w:val="22"/>
              </w:rPr>
              <w:t>5</w:t>
            </w:r>
          </w:p>
        </w:tc>
        <w:tc>
          <w:tcPr>
            <w:tcW w:w="541" w:type="pct"/>
          </w:tcPr>
          <w:p w:rsidR="002B5A16" w:rsidRPr="000D5A34" w:rsidRDefault="002B5A16" w:rsidP="002B5A16">
            <w:pPr>
              <w:jc w:val="center"/>
              <w:rPr>
                <w:rFonts w:ascii="Arial" w:hAnsi="Arial" w:cs="Arial"/>
                <w:b/>
                <w:szCs w:val="22"/>
              </w:rPr>
            </w:pPr>
            <w:r w:rsidRPr="000D5A34">
              <w:rPr>
                <w:rFonts w:ascii="Arial" w:hAnsi="Arial" w:cs="Arial"/>
                <w:b/>
                <w:szCs w:val="22"/>
              </w:rPr>
              <w:t>10</w:t>
            </w:r>
          </w:p>
        </w:tc>
        <w:tc>
          <w:tcPr>
            <w:tcW w:w="406" w:type="pct"/>
          </w:tcPr>
          <w:p w:rsidR="002B5A16" w:rsidRPr="000D5A34" w:rsidRDefault="002B5A16" w:rsidP="002B5A16">
            <w:pPr>
              <w:jc w:val="center"/>
              <w:rPr>
                <w:rFonts w:ascii="Arial" w:hAnsi="Arial" w:cs="Arial"/>
                <w:b/>
                <w:szCs w:val="22"/>
              </w:rPr>
            </w:pPr>
            <w:r w:rsidRPr="000D5A34">
              <w:rPr>
                <w:rFonts w:ascii="Arial" w:hAnsi="Arial" w:cs="Arial"/>
                <w:b/>
                <w:szCs w:val="22"/>
              </w:rPr>
              <w:t>15</w:t>
            </w:r>
          </w:p>
        </w:tc>
        <w:tc>
          <w:tcPr>
            <w:tcW w:w="472" w:type="pct"/>
          </w:tcPr>
          <w:p w:rsidR="002B5A16" w:rsidRPr="000D5A34" w:rsidRDefault="002B5A16" w:rsidP="002B5A16">
            <w:pPr>
              <w:jc w:val="center"/>
              <w:rPr>
                <w:rFonts w:ascii="Arial" w:hAnsi="Arial" w:cs="Arial"/>
                <w:b/>
                <w:szCs w:val="22"/>
              </w:rPr>
            </w:pPr>
            <w:r w:rsidRPr="000D5A34">
              <w:rPr>
                <w:rFonts w:ascii="Arial" w:hAnsi="Arial" w:cs="Arial"/>
                <w:b/>
                <w:szCs w:val="22"/>
              </w:rPr>
              <w:t>20</w:t>
            </w:r>
          </w:p>
        </w:tc>
        <w:tc>
          <w:tcPr>
            <w:tcW w:w="474" w:type="pct"/>
          </w:tcPr>
          <w:p w:rsidR="002B5A16" w:rsidRPr="000D5A34" w:rsidRDefault="002B5A16" w:rsidP="002B5A16">
            <w:pPr>
              <w:jc w:val="center"/>
              <w:rPr>
                <w:rFonts w:ascii="Arial" w:hAnsi="Arial" w:cs="Arial"/>
                <w:b/>
                <w:szCs w:val="22"/>
              </w:rPr>
            </w:pPr>
            <w:r w:rsidRPr="000D5A34">
              <w:rPr>
                <w:rFonts w:ascii="Arial" w:hAnsi="Arial" w:cs="Arial"/>
                <w:b/>
                <w:szCs w:val="22"/>
              </w:rPr>
              <w:t>25</w:t>
            </w:r>
          </w:p>
        </w:tc>
        <w:tc>
          <w:tcPr>
            <w:tcW w:w="473" w:type="pct"/>
          </w:tcPr>
          <w:p w:rsidR="002B5A16" w:rsidRPr="000D5A34" w:rsidRDefault="002B5A16" w:rsidP="002B5A16">
            <w:pPr>
              <w:jc w:val="center"/>
              <w:rPr>
                <w:rFonts w:ascii="Arial" w:hAnsi="Arial" w:cs="Arial"/>
                <w:b/>
                <w:szCs w:val="22"/>
              </w:rPr>
            </w:pPr>
            <w:r w:rsidRPr="000D5A34">
              <w:rPr>
                <w:rFonts w:ascii="Arial" w:hAnsi="Arial" w:cs="Arial"/>
                <w:b/>
                <w:szCs w:val="22"/>
              </w:rPr>
              <w:t>30</w:t>
            </w:r>
          </w:p>
        </w:tc>
      </w:tr>
      <w:tr w:rsidR="000D5A34" w:rsidRPr="000D5A34" w:rsidTr="000D5A34">
        <w:trPr>
          <w:jc w:val="center"/>
        </w:trPr>
        <w:tc>
          <w:tcPr>
            <w:tcW w:w="1547" w:type="pct"/>
          </w:tcPr>
          <w:p w:rsidR="002B5A16" w:rsidRPr="000D5A34" w:rsidRDefault="002B5A16" w:rsidP="002B5A16">
            <w:pPr>
              <w:widowControl w:val="0"/>
              <w:rPr>
                <w:rFonts w:ascii="Arial" w:hAnsi="Arial" w:cs="Arial"/>
                <w:szCs w:val="22"/>
              </w:rPr>
            </w:pPr>
            <w:r w:rsidRPr="000D5A34">
              <w:rPr>
                <w:rFonts w:ascii="Arial" w:hAnsi="Arial" w:cs="Arial"/>
                <w:szCs w:val="22"/>
              </w:rPr>
              <w:t>Present value of benefits ($m)</w:t>
            </w:r>
          </w:p>
        </w:tc>
        <w:tc>
          <w:tcPr>
            <w:tcW w:w="54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0.00</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-11.63</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-11.47</w:t>
            </w:r>
          </w:p>
        </w:tc>
        <w:tc>
          <w:tcPr>
            <w:tcW w:w="40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30.16</w:t>
            </w:r>
          </w:p>
        </w:tc>
        <w:tc>
          <w:tcPr>
            <w:tcW w:w="47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102.95</w:t>
            </w:r>
          </w:p>
        </w:tc>
        <w:tc>
          <w:tcPr>
            <w:tcW w:w="47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159.99</w:t>
            </w:r>
          </w:p>
        </w:tc>
        <w:tc>
          <w:tcPr>
            <w:tcW w:w="47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204.67</w:t>
            </w:r>
          </w:p>
        </w:tc>
      </w:tr>
      <w:tr w:rsidR="000D5A34" w:rsidRPr="000D5A34" w:rsidTr="000D5A34">
        <w:trPr>
          <w:jc w:val="center"/>
        </w:trPr>
        <w:tc>
          <w:tcPr>
            <w:tcW w:w="1547" w:type="pct"/>
          </w:tcPr>
          <w:p w:rsidR="002B5A16" w:rsidRPr="000D5A34" w:rsidRDefault="002B5A16" w:rsidP="002B5A16">
            <w:pPr>
              <w:widowControl w:val="0"/>
              <w:rPr>
                <w:rFonts w:ascii="Arial" w:hAnsi="Arial" w:cs="Arial"/>
                <w:szCs w:val="22"/>
              </w:rPr>
            </w:pPr>
            <w:r w:rsidRPr="000D5A34">
              <w:rPr>
                <w:rFonts w:ascii="Arial" w:hAnsi="Arial" w:cs="Arial"/>
                <w:szCs w:val="22"/>
              </w:rPr>
              <w:t>Present value of costs ($m)</w:t>
            </w:r>
          </w:p>
        </w:tc>
        <w:tc>
          <w:tcPr>
            <w:tcW w:w="547" w:type="pct"/>
            <w:tcBorders>
              <w:top w:val="single" w:sz="4" w:space="0" w:color="auto"/>
              <w:left w:val="single" w:sz="4" w:space="0" w:color="auto"/>
              <w:bottom w:val="single" w:sz="4" w:space="0" w:color="auto"/>
              <w:right w:val="single" w:sz="4" w:space="0" w:color="auto"/>
            </w:tcBorders>
            <w:shd w:val="clear" w:color="000000" w:fill="FFFFFF"/>
          </w:tcPr>
          <w:p w:rsidR="002B5A16" w:rsidRPr="000D5A34" w:rsidRDefault="002B5A16" w:rsidP="002B5A16">
            <w:pPr>
              <w:jc w:val="right"/>
              <w:rPr>
                <w:rFonts w:ascii="Arial" w:hAnsi="Arial" w:cs="Arial"/>
                <w:color w:val="FF0000"/>
                <w:szCs w:val="22"/>
              </w:rPr>
            </w:pPr>
            <w:r w:rsidRPr="000D5A34">
              <w:rPr>
                <w:rFonts w:ascii="Arial" w:hAnsi="Arial" w:cs="Arial"/>
                <w:szCs w:val="22"/>
              </w:rPr>
              <w:t>16.39</w:t>
            </w:r>
          </w:p>
        </w:tc>
        <w:tc>
          <w:tcPr>
            <w:tcW w:w="541" w:type="pct"/>
            <w:tcBorders>
              <w:top w:val="single" w:sz="4" w:space="0" w:color="auto"/>
              <w:left w:val="single" w:sz="4" w:space="0" w:color="auto"/>
              <w:bottom w:val="single" w:sz="4" w:space="0" w:color="auto"/>
              <w:right w:val="single" w:sz="4" w:space="0" w:color="auto"/>
            </w:tcBorders>
            <w:shd w:val="clear" w:color="000000" w:fill="FFFFFF"/>
          </w:tcPr>
          <w:p w:rsidR="002B5A16" w:rsidRPr="000D5A34" w:rsidRDefault="002B5A16" w:rsidP="002B5A16">
            <w:pPr>
              <w:jc w:val="right"/>
              <w:rPr>
                <w:rFonts w:ascii="Arial" w:hAnsi="Arial" w:cs="Arial"/>
                <w:color w:val="FF0000"/>
                <w:szCs w:val="22"/>
              </w:rPr>
            </w:pPr>
            <w:r w:rsidRPr="000D5A34">
              <w:rPr>
                <w:rFonts w:ascii="Arial" w:hAnsi="Arial" w:cs="Arial"/>
                <w:szCs w:val="22"/>
              </w:rPr>
              <w:t>16.39</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16.39</w:t>
            </w:r>
          </w:p>
        </w:tc>
        <w:tc>
          <w:tcPr>
            <w:tcW w:w="40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16.39</w:t>
            </w:r>
          </w:p>
        </w:tc>
        <w:tc>
          <w:tcPr>
            <w:tcW w:w="47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16.39</w:t>
            </w:r>
          </w:p>
        </w:tc>
        <w:tc>
          <w:tcPr>
            <w:tcW w:w="47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16.39</w:t>
            </w:r>
          </w:p>
        </w:tc>
        <w:tc>
          <w:tcPr>
            <w:tcW w:w="47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16.39</w:t>
            </w:r>
          </w:p>
        </w:tc>
      </w:tr>
      <w:tr w:rsidR="000D5A34" w:rsidRPr="000D5A34" w:rsidTr="000D5A34">
        <w:trPr>
          <w:jc w:val="center"/>
        </w:trPr>
        <w:tc>
          <w:tcPr>
            <w:tcW w:w="1547" w:type="pct"/>
          </w:tcPr>
          <w:p w:rsidR="002B5A16" w:rsidRPr="000D5A34" w:rsidRDefault="002B5A16" w:rsidP="002B5A16">
            <w:pPr>
              <w:widowControl w:val="0"/>
              <w:rPr>
                <w:rFonts w:ascii="Arial" w:hAnsi="Arial" w:cs="Arial"/>
                <w:szCs w:val="22"/>
              </w:rPr>
            </w:pPr>
            <w:r w:rsidRPr="000D5A34">
              <w:rPr>
                <w:rFonts w:ascii="Arial" w:hAnsi="Arial" w:cs="Arial"/>
                <w:szCs w:val="22"/>
              </w:rPr>
              <w:t>Net present value ($m)</w:t>
            </w:r>
          </w:p>
        </w:tc>
        <w:tc>
          <w:tcPr>
            <w:tcW w:w="54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-16.39</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-28.02</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-27.85</w:t>
            </w:r>
          </w:p>
        </w:tc>
        <w:tc>
          <w:tcPr>
            <w:tcW w:w="40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13.78</w:t>
            </w:r>
          </w:p>
        </w:tc>
        <w:tc>
          <w:tcPr>
            <w:tcW w:w="47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86.56</w:t>
            </w:r>
          </w:p>
        </w:tc>
        <w:tc>
          <w:tcPr>
            <w:tcW w:w="47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143.60</w:t>
            </w:r>
          </w:p>
        </w:tc>
        <w:tc>
          <w:tcPr>
            <w:tcW w:w="47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188.28</w:t>
            </w:r>
          </w:p>
        </w:tc>
      </w:tr>
      <w:tr w:rsidR="000D5A34" w:rsidRPr="000D5A34" w:rsidTr="000D5A34">
        <w:trPr>
          <w:jc w:val="center"/>
        </w:trPr>
        <w:tc>
          <w:tcPr>
            <w:tcW w:w="1547" w:type="pct"/>
          </w:tcPr>
          <w:p w:rsidR="002B5A16" w:rsidRPr="000D5A34" w:rsidRDefault="002B5A16" w:rsidP="002B5A16">
            <w:pPr>
              <w:widowControl w:val="0"/>
              <w:rPr>
                <w:rFonts w:ascii="Arial" w:hAnsi="Arial" w:cs="Arial"/>
                <w:szCs w:val="22"/>
              </w:rPr>
            </w:pPr>
            <w:r w:rsidRPr="000D5A34">
              <w:rPr>
                <w:rFonts w:ascii="Arial" w:hAnsi="Arial" w:cs="Arial"/>
                <w:szCs w:val="22"/>
              </w:rPr>
              <w:t>Benefit-cost ratio</w:t>
            </w:r>
          </w:p>
        </w:tc>
        <w:tc>
          <w:tcPr>
            <w:tcW w:w="54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0.00</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0.00</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-0.70</w:t>
            </w:r>
          </w:p>
        </w:tc>
        <w:tc>
          <w:tcPr>
            <w:tcW w:w="40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1.84</w:t>
            </w:r>
          </w:p>
        </w:tc>
        <w:tc>
          <w:tcPr>
            <w:tcW w:w="47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6.28</w:t>
            </w:r>
          </w:p>
        </w:tc>
        <w:tc>
          <w:tcPr>
            <w:tcW w:w="47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9.76</w:t>
            </w:r>
          </w:p>
        </w:tc>
        <w:tc>
          <w:tcPr>
            <w:tcW w:w="47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12.49</w:t>
            </w:r>
          </w:p>
        </w:tc>
      </w:tr>
      <w:tr w:rsidR="000D5A34" w:rsidRPr="000D5A34" w:rsidTr="000D5A34">
        <w:trPr>
          <w:jc w:val="center"/>
        </w:trPr>
        <w:tc>
          <w:tcPr>
            <w:tcW w:w="1547" w:type="pct"/>
          </w:tcPr>
          <w:p w:rsidR="002B5A16" w:rsidRPr="000D5A34" w:rsidRDefault="002B5A16" w:rsidP="002B5A16">
            <w:pPr>
              <w:widowControl w:val="0"/>
              <w:rPr>
                <w:rFonts w:ascii="Arial" w:hAnsi="Arial" w:cs="Arial"/>
                <w:szCs w:val="22"/>
              </w:rPr>
            </w:pPr>
            <w:r w:rsidRPr="000D5A34">
              <w:rPr>
                <w:rFonts w:ascii="Arial" w:hAnsi="Arial" w:cs="Arial"/>
                <w:szCs w:val="22"/>
              </w:rPr>
              <w:t>Internal rate of return</w:t>
            </w:r>
            <w:r w:rsidR="000D5A34">
              <w:rPr>
                <w:rFonts w:ascii="Arial" w:hAnsi="Arial" w:cs="Arial"/>
                <w:szCs w:val="22"/>
              </w:rPr>
              <w:t xml:space="preserve"> </w:t>
            </w:r>
            <w:r w:rsidRPr="000D5A34">
              <w:rPr>
                <w:rFonts w:ascii="Arial" w:hAnsi="Arial" w:cs="Arial"/>
                <w:szCs w:val="22"/>
              </w:rPr>
              <w:t>(%)</w:t>
            </w:r>
          </w:p>
        </w:tc>
        <w:tc>
          <w:tcPr>
            <w:tcW w:w="54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40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6.9</w:t>
            </w:r>
          </w:p>
        </w:tc>
        <w:tc>
          <w:tcPr>
            <w:tcW w:w="47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10.7</w:t>
            </w:r>
          </w:p>
        </w:tc>
        <w:tc>
          <w:tcPr>
            <w:tcW w:w="47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11.7</w:t>
            </w:r>
          </w:p>
        </w:tc>
        <w:tc>
          <w:tcPr>
            <w:tcW w:w="47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12.2</w:t>
            </w:r>
          </w:p>
        </w:tc>
      </w:tr>
      <w:tr w:rsidR="000D5A34" w:rsidRPr="000D5A34" w:rsidTr="000D5A34">
        <w:trPr>
          <w:jc w:val="center"/>
        </w:trPr>
        <w:tc>
          <w:tcPr>
            <w:tcW w:w="1547" w:type="pct"/>
          </w:tcPr>
          <w:p w:rsidR="002B5A16" w:rsidRPr="000D5A34" w:rsidRDefault="002B5A16" w:rsidP="002B5A16">
            <w:pPr>
              <w:widowControl w:val="0"/>
              <w:rPr>
                <w:rFonts w:ascii="Arial" w:hAnsi="Arial" w:cs="Arial"/>
                <w:szCs w:val="22"/>
              </w:rPr>
            </w:pPr>
            <w:r w:rsidRPr="000D5A34">
              <w:rPr>
                <w:rFonts w:ascii="Arial" w:hAnsi="Arial" w:cs="Arial"/>
                <w:szCs w:val="22"/>
              </w:rPr>
              <w:t>Modified IRR (%)</w:t>
            </w:r>
          </w:p>
        </w:tc>
        <w:tc>
          <w:tcPr>
            <w:tcW w:w="54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4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40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11.4</w:t>
            </w:r>
          </w:p>
        </w:tc>
        <w:tc>
          <w:tcPr>
            <w:tcW w:w="47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17.9</w:t>
            </w:r>
          </w:p>
        </w:tc>
        <w:tc>
          <w:tcPr>
            <w:tcW w:w="474"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16.3</w:t>
            </w:r>
          </w:p>
        </w:tc>
        <w:tc>
          <w:tcPr>
            <w:tcW w:w="473"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14.6</w:t>
            </w:r>
          </w:p>
        </w:tc>
      </w:tr>
    </w:tbl>
    <w:p w:rsidR="002B5A16" w:rsidRDefault="002B5A16" w:rsidP="002B5A16">
      <w:pPr>
        <w:suppressAutoHyphens/>
        <w:jc w:val="center"/>
        <w:rPr>
          <w:rFonts w:ascii="Arial" w:hAnsi="Arial" w:cs="Arial"/>
          <w:iCs/>
          <w:color w:val="000000" w:themeColor="text1"/>
        </w:rPr>
      </w:pPr>
    </w:p>
    <w:p w:rsidR="002B5A16" w:rsidRDefault="002B5A16" w:rsidP="002B5A16">
      <w:pPr>
        <w:suppressAutoHyphens/>
        <w:jc w:val="center"/>
        <w:rPr>
          <w:rFonts w:ascii="Arial" w:hAnsi="Arial" w:cs="Arial"/>
          <w:iCs/>
          <w:color w:val="000000" w:themeColor="text1"/>
        </w:rPr>
      </w:pPr>
    </w:p>
    <w:p w:rsidR="002B5A16" w:rsidRPr="00A66BB1" w:rsidRDefault="002B5A16" w:rsidP="00A66BB1">
      <w:pPr>
        <w:pStyle w:val="Caption"/>
        <w:spacing w:after="240"/>
        <w:jc w:val="center"/>
        <w:rPr>
          <w:rFonts w:ascii="Arial" w:hAnsi="Arial"/>
          <w:b w:val="0"/>
          <w:iCs/>
          <w:color w:val="000000" w:themeColor="text1"/>
        </w:rPr>
      </w:pPr>
      <w:bookmarkStart w:id="534" w:name="_Toc487018718"/>
      <w:r w:rsidRPr="00A66BB1">
        <w:rPr>
          <w:rFonts w:ascii="Arial" w:hAnsi="Arial"/>
          <w:b w:val="0"/>
          <w:color w:val="000000" w:themeColor="text1"/>
          <w:sz w:val="22"/>
          <w:szCs w:val="22"/>
        </w:rPr>
        <w:t xml:space="preserve">Table </w:t>
      </w:r>
      <w:r w:rsidR="00913E1D" w:rsidRPr="000D5A34">
        <w:rPr>
          <w:rFonts w:ascii="Arial" w:hAnsi="Arial"/>
          <w:b w:val="0"/>
          <w:color w:val="000000" w:themeColor="text1"/>
          <w:sz w:val="22"/>
          <w:szCs w:val="22"/>
        </w:rPr>
        <w:t>13</w:t>
      </w:r>
      <w:r w:rsidRPr="000D5A34">
        <w:rPr>
          <w:rFonts w:ascii="Arial" w:hAnsi="Arial"/>
          <w:b w:val="0"/>
          <w:color w:val="000000" w:themeColor="text1"/>
          <w:sz w:val="22"/>
          <w:szCs w:val="22"/>
        </w:rPr>
        <w:t>:</w:t>
      </w:r>
      <w:r w:rsidRPr="00A66BB1">
        <w:rPr>
          <w:rFonts w:ascii="Arial" w:hAnsi="Arial"/>
          <w:b w:val="0"/>
          <w:color w:val="000000" w:themeColor="text1"/>
          <w:sz w:val="22"/>
          <w:szCs w:val="22"/>
        </w:rPr>
        <w:t xml:space="preserve"> Investment Criteria for HRDC Investment</w:t>
      </w:r>
      <w:bookmarkEnd w:id="534"/>
      <w:r w:rsidRPr="00A66BB1">
        <w:rPr>
          <w:rFonts w:ascii="Arial" w:hAnsi="Arial"/>
          <w:b w:val="0"/>
          <w:color w:val="000000" w:themeColor="text1"/>
          <w:sz w:val="22"/>
          <w:szCs w:val="22"/>
        </w:rPr>
        <w:t xml:space="preserve"> </w:t>
      </w:r>
    </w:p>
    <w:tbl>
      <w:tblPr>
        <w:tblStyle w:val="TableGrid2"/>
        <w:tblW w:w="5657" w:type="pct"/>
        <w:jc w:val="center"/>
        <w:tblLayout w:type="fixed"/>
        <w:tblLook w:val="04A0" w:firstRow="1" w:lastRow="0" w:firstColumn="1" w:lastColumn="0" w:noHBand="0" w:noVBand="1"/>
      </w:tblPr>
      <w:tblGrid>
        <w:gridCol w:w="3247"/>
        <w:gridCol w:w="1134"/>
        <w:gridCol w:w="1126"/>
        <w:gridCol w:w="1145"/>
        <w:gridCol w:w="851"/>
        <w:gridCol w:w="996"/>
        <w:gridCol w:w="851"/>
        <w:gridCol w:w="851"/>
      </w:tblGrid>
      <w:tr w:rsidR="002B5A16" w:rsidRPr="000D5A34" w:rsidTr="000D5A34">
        <w:trPr>
          <w:jc w:val="center"/>
        </w:trPr>
        <w:tc>
          <w:tcPr>
            <w:tcW w:w="1592" w:type="pct"/>
            <w:vMerge w:val="restart"/>
          </w:tcPr>
          <w:p w:rsidR="002B5A16" w:rsidRPr="000D5A34" w:rsidRDefault="002B5A16" w:rsidP="002B5A16">
            <w:pPr>
              <w:rPr>
                <w:rFonts w:ascii="Arial" w:hAnsi="Arial" w:cs="Arial"/>
                <w:b/>
                <w:szCs w:val="22"/>
              </w:rPr>
            </w:pPr>
            <w:r w:rsidRPr="000D5A34">
              <w:rPr>
                <w:rFonts w:ascii="Arial" w:hAnsi="Arial" w:cs="Arial"/>
                <w:b/>
                <w:szCs w:val="22"/>
              </w:rPr>
              <w:t xml:space="preserve">Investment criteria </w:t>
            </w:r>
          </w:p>
        </w:tc>
        <w:tc>
          <w:tcPr>
            <w:tcW w:w="3408" w:type="pct"/>
            <w:gridSpan w:val="7"/>
          </w:tcPr>
          <w:p w:rsidR="002B5A16" w:rsidRPr="000D5A34" w:rsidRDefault="002B5A16" w:rsidP="002B5A16">
            <w:pPr>
              <w:jc w:val="center"/>
              <w:rPr>
                <w:rFonts w:ascii="Arial" w:hAnsi="Arial" w:cs="Arial"/>
                <w:b/>
                <w:szCs w:val="22"/>
              </w:rPr>
            </w:pPr>
            <w:r w:rsidRPr="000D5A34">
              <w:rPr>
                <w:rFonts w:ascii="Arial" w:hAnsi="Arial" w:cs="Arial"/>
                <w:b/>
                <w:szCs w:val="22"/>
              </w:rPr>
              <w:t xml:space="preserve">Number of years from year of last investment </w:t>
            </w:r>
          </w:p>
        </w:tc>
      </w:tr>
      <w:tr w:rsidR="000D5A34" w:rsidRPr="000D5A34" w:rsidTr="000D5A34">
        <w:trPr>
          <w:jc w:val="center"/>
        </w:trPr>
        <w:tc>
          <w:tcPr>
            <w:tcW w:w="1592" w:type="pct"/>
            <w:vMerge/>
          </w:tcPr>
          <w:p w:rsidR="002B5A16" w:rsidRPr="000D5A34" w:rsidRDefault="002B5A16" w:rsidP="002B5A16">
            <w:pPr>
              <w:rPr>
                <w:rFonts w:ascii="Arial" w:hAnsi="Arial" w:cs="Arial"/>
                <w:szCs w:val="22"/>
              </w:rPr>
            </w:pPr>
          </w:p>
        </w:tc>
        <w:tc>
          <w:tcPr>
            <w:tcW w:w="556" w:type="pct"/>
          </w:tcPr>
          <w:p w:rsidR="002B5A16" w:rsidRPr="000D5A34" w:rsidRDefault="002B5A16" w:rsidP="002B5A16">
            <w:pPr>
              <w:jc w:val="center"/>
              <w:rPr>
                <w:rFonts w:ascii="Arial" w:hAnsi="Arial" w:cs="Arial"/>
                <w:b/>
                <w:szCs w:val="22"/>
              </w:rPr>
            </w:pPr>
            <w:r w:rsidRPr="000D5A34">
              <w:rPr>
                <w:rFonts w:ascii="Arial" w:hAnsi="Arial" w:cs="Arial"/>
                <w:b/>
                <w:szCs w:val="22"/>
              </w:rPr>
              <w:t>0</w:t>
            </w:r>
          </w:p>
        </w:tc>
        <w:tc>
          <w:tcPr>
            <w:tcW w:w="552" w:type="pct"/>
          </w:tcPr>
          <w:p w:rsidR="002B5A16" w:rsidRPr="000D5A34" w:rsidRDefault="002B5A16" w:rsidP="002B5A16">
            <w:pPr>
              <w:jc w:val="center"/>
              <w:rPr>
                <w:rFonts w:ascii="Arial" w:hAnsi="Arial" w:cs="Arial"/>
                <w:b/>
                <w:szCs w:val="22"/>
              </w:rPr>
            </w:pPr>
            <w:r w:rsidRPr="000D5A34">
              <w:rPr>
                <w:rFonts w:ascii="Arial" w:hAnsi="Arial" w:cs="Arial"/>
                <w:b/>
                <w:szCs w:val="22"/>
              </w:rPr>
              <w:t>5</w:t>
            </w:r>
          </w:p>
        </w:tc>
        <w:tc>
          <w:tcPr>
            <w:tcW w:w="561" w:type="pct"/>
          </w:tcPr>
          <w:p w:rsidR="002B5A16" w:rsidRPr="000D5A34" w:rsidRDefault="002B5A16" w:rsidP="002B5A16">
            <w:pPr>
              <w:jc w:val="center"/>
              <w:rPr>
                <w:rFonts w:ascii="Arial" w:hAnsi="Arial" w:cs="Arial"/>
                <w:b/>
                <w:szCs w:val="22"/>
              </w:rPr>
            </w:pPr>
            <w:r w:rsidRPr="000D5A34">
              <w:rPr>
                <w:rFonts w:ascii="Arial" w:hAnsi="Arial" w:cs="Arial"/>
                <w:b/>
                <w:szCs w:val="22"/>
              </w:rPr>
              <w:t>10</w:t>
            </w:r>
          </w:p>
        </w:tc>
        <w:tc>
          <w:tcPr>
            <w:tcW w:w="417" w:type="pct"/>
          </w:tcPr>
          <w:p w:rsidR="002B5A16" w:rsidRPr="000D5A34" w:rsidRDefault="002B5A16" w:rsidP="002B5A16">
            <w:pPr>
              <w:jc w:val="center"/>
              <w:rPr>
                <w:rFonts w:ascii="Arial" w:hAnsi="Arial" w:cs="Arial"/>
                <w:b/>
                <w:szCs w:val="22"/>
              </w:rPr>
            </w:pPr>
            <w:r w:rsidRPr="000D5A34">
              <w:rPr>
                <w:rFonts w:ascii="Arial" w:hAnsi="Arial" w:cs="Arial"/>
                <w:b/>
                <w:szCs w:val="22"/>
              </w:rPr>
              <w:t>15</w:t>
            </w:r>
          </w:p>
        </w:tc>
        <w:tc>
          <w:tcPr>
            <w:tcW w:w="488" w:type="pct"/>
          </w:tcPr>
          <w:p w:rsidR="002B5A16" w:rsidRPr="000D5A34" w:rsidRDefault="002B5A16" w:rsidP="002B5A16">
            <w:pPr>
              <w:jc w:val="center"/>
              <w:rPr>
                <w:rFonts w:ascii="Arial" w:hAnsi="Arial" w:cs="Arial"/>
                <w:b/>
                <w:szCs w:val="22"/>
              </w:rPr>
            </w:pPr>
            <w:r w:rsidRPr="000D5A34">
              <w:rPr>
                <w:rFonts w:ascii="Arial" w:hAnsi="Arial" w:cs="Arial"/>
                <w:b/>
                <w:szCs w:val="22"/>
              </w:rPr>
              <w:t>20</w:t>
            </w:r>
          </w:p>
        </w:tc>
        <w:tc>
          <w:tcPr>
            <w:tcW w:w="417" w:type="pct"/>
          </w:tcPr>
          <w:p w:rsidR="002B5A16" w:rsidRPr="000D5A34" w:rsidRDefault="002B5A16" w:rsidP="002B5A16">
            <w:pPr>
              <w:jc w:val="center"/>
              <w:rPr>
                <w:rFonts w:ascii="Arial" w:hAnsi="Arial" w:cs="Arial"/>
                <w:b/>
                <w:szCs w:val="22"/>
              </w:rPr>
            </w:pPr>
            <w:r w:rsidRPr="000D5A34">
              <w:rPr>
                <w:rFonts w:ascii="Arial" w:hAnsi="Arial" w:cs="Arial"/>
                <w:b/>
                <w:szCs w:val="22"/>
              </w:rPr>
              <w:t>25</w:t>
            </w:r>
          </w:p>
        </w:tc>
        <w:tc>
          <w:tcPr>
            <w:tcW w:w="417" w:type="pct"/>
          </w:tcPr>
          <w:p w:rsidR="002B5A16" w:rsidRPr="000D5A34" w:rsidRDefault="002B5A16" w:rsidP="002B5A16">
            <w:pPr>
              <w:jc w:val="center"/>
              <w:rPr>
                <w:rFonts w:ascii="Arial" w:hAnsi="Arial" w:cs="Arial"/>
                <w:b/>
                <w:szCs w:val="22"/>
              </w:rPr>
            </w:pPr>
            <w:r w:rsidRPr="000D5A34">
              <w:rPr>
                <w:rFonts w:ascii="Arial" w:hAnsi="Arial" w:cs="Arial"/>
                <w:b/>
                <w:szCs w:val="22"/>
              </w:rPr>
              <w:t>30</w:t>
            </w:r>
          </w:p>
        </w:tc>
      </w:tr>
      <w:tr w:rsidR="000D5A34" w:rsidRPr="000D5A34" w:rsidTr="000D5A34">
        <w:trPr>
          <w:jc w:val="center"/>
        </w:trPr>
        <w:tc>
          <w:tcPr>
            <w:tcW w:w="1592" w:type="pct"/>
          </w:tcPr>
          <w:p w:rsidR="002B5A16" w:rsidRPr="000D5A34" w:rsidRDefault="002B5A16" w:rsidP="002B5A16">
            <w:pPr>
              <w:widowControl w:val="0"/>
              <w:rPr>
                <w:rFonts w:ascii="Arial" w:hAnsi="Arial" w:cs="Arial"/>
                <w:szCs w:val="22"/>
              </w:rPr>
            </w:pPr>
            <w:r w:rsidRPr="000D5A34">
              <w:rPr>
                <w:rFonts w:ascii="Arial" w:hAnsi="Arial" w:cs="Arial"/>
                <w:szCs w:val="22"/>
              </w:rPr>
              <w:t>Present value of benefits ($m)</w:t>
            </w:r>
          </w:p>
        </w:tc>
        <w:tc>
          <w:tcPr>
            <w:tcW w:w="55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0.00</w:t>
            </w:r>
          </w:p>
        </w:tc>
        <w:tc>
          <w:tcPr>
            <w:tcW w:w="55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-1.38</w:t>
            </w:r>
          </w:p>
        </w:tc>
        <w:tc>
          <w:tcPr>
            <w:tcW w:w="56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-1.36</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3.57</w:t>
            </w:r>
          </w:p>
        </w:tc>
        <w:tc>
          <w:tcPr>
            <w:tcW w:w="488"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12.17</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18.92</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24.20</w:t>
            </w:r>
          </w:p>
        </w:tc>
      </w:tr>
      <w:tr w:rsidR="000D5A34" w:rsidRPr="000D5A34" w:rsidTr="000D5A34">
        <w:trPr>
          <w:jc w:val="center"/>
        </w:trPr>
        <w:tc>
          <w:tcPr>
            <w:tcW w:w="1592" w:type="pct"/>
          </w:tcPr>
          <w:p w:rsidR="002B5A16" w:rsidRPr="000D5A34" w:rsidRDefault="002B5A16" w:rsidP="002B5A16">
            <w:pPr>
              <w:widowControl w:val="0"/>
              <w:rPr>
                <w:rFonts w:ascii="Arial" w:hAnsi="Arial" w:cs="Arial"/>
                <w:szCs w:val="22"/>
              </w:rPr>
            </w:pPr>
            <w:r w:rsidRPr="000D5A34">
              <w:rPr>
                <w:rFonts w:ascii="Arial" w:hAnsi="Arial" w:cs="Arial"/>
                <w:szCs w:val="22"/>
              </w:rPr>
              <w:t>Present value of costs ($m)</w:t>
            </w:r>
          </w:p>
        </w:tc>
        <w:tc>
          <w:tcPr>
            <w:tcW w:w="556" w:type="pct"/>
            <w:tcBorders>
              <w:top w:val="single" w:sz="4" w:space="0" w:color="auto"/>
              <w:left w:val="single" w:sz="4" w:space="0" w:color="auto"/>
              <w:bottom w:val="single" w:sz="4" w:space="0" w:color="auto"/>
              <w:right w:val="single" w:sz="4" w:space="0" w:color="auto"/>
            </w:tcBorders>
            <w:shd w:val="clear" w:color="000000" w:fill="FFFFFF"/>
          </w:tcPr>
          <w:p w:rsidR="002B5A16" w:rsidRPr="000D5A34" w:rsidRDefault="002B5A16" w:rsidP="002B5A16">
            <w:pPr>
              <w:jc w:val="right"/>
              <w:rPr>
                <w:rFonts w:ascii="Arial" w:hAnsi="Arial" w:cs="Arial"/>
                <w:color w:val="FF0000"/>
                <w:szCs w:val="22"/>
              </w:rPr>
            </w:pPr>
            <w:r w:rsidRPr="000D5A34">
              <w:rPr>
                <w:rFonts w:ascii="Arial" w:hAnsi="Arial" w:cs="Arial"/>
                <w:szCs w:val="22"/>
              </w:rPr>
              <w:t>1.72</w:t>
            </w:r>
          </w:p>
        </w:tc>
        <w:tc>
          <w:tcPr>
            <w:tcW w:w="552" w:type="pct"/>
            <w:tcBorders>
              <w:top w:val="single" w:sz="4" w:space="0" w:color="auto"/>
              <w:left w:val="single" w:sz="4" w:space="0" w:color="auto"/>
              <w:bottom w:val="single" w:sz="4" w:space="0" w:color="auto"/>
              <w:right w:val="single" w:sz="4" w:space="0" w:color="auto"/>
            </w:tcBorders>
            <w:shd w:val="clear" w:color="000000" w:fill="FFFFFF"/>
          </w:tcPr>
          <w:p w:rsidR="002B5A16" w:rsidRPr="000D5A34" w:rsidRDefault="002B5A16" w:rsidP="002B5A16">
            <w:pPr>
              <w:jc w:val="right"/>
              <w:rPr>
                <w:rFonts w:ascii="Arial" w:hAnsi="Arial" w:cs="Arial"/>
                <w:color w:val="FF0000"/>
                <w:szCs w:val="22"/>
              </w:rPr>
            </w:pPr>
            <w:r w:rsidRPr="000D5A34">
              <w:rPr>
                <w:rFonts w:ascii="Arial" w:hAnsi="Arial" w:cs="Arial"/>
                <w:szCs w:val="22"/>
              </w:rPr>
              <w:t>1.72</w:t>
            </w:r>
          </w:p>
        </w:tc>
        <w:tc>
          <w:tcPr>
            <w:tcW w:w="56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1.72</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1.72</w:t>
            </w:r>
          </w:p>
        </w:tc>
        <w:tc>
          <w:tcPr>
            <w:tcW w:w="488"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1.72</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1.72</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1.72</w:t>
            </w:r>
          </w:p>
        </w:tc>
      </w:tr>
      <w:tr w:rsidR="000D5A34" w:rsidRPr="000D5A34" w:rsidTr="000D5A34">
        <w:trPr>
          <w:jc w:val="center"/>
        </w:trPr>
        <w:tc>
          <w:tcPr>
            <w:tcW w:w="1592" w:type="pct"/>
          </w:tcPr>
          <w:p w:rsidR="002B5A16" w:rsidRPr="000D5A34" w:rsidRDefault="002B5A16" w:rsidP="002B5A16">
            <w:pPr>
              <w:widowControl w:val="0"/>
              <w:rPr>
                <w:rFonts w:ascii="Arial" w:hAnsi="Arial" w:cs="Arial"/>
                <w:szCs w:val="22"/>
              </w:rPr>
            </w:pPr>
            <w:r w:rsidRPr="000D5A34">
              <w:rPr>
                <w:rFonts w:ascii="Arial" w:hAnsi="Arial" w:cs="Arial"/>
                <w:szCs w:val="22"/>
              </w:rPr>
              <w:t>Net present value ($m)</w:t>
            </w:r>
          </w:p>
        </w:tc>
        <w:tc>
          <w:tcPr>
            <w:tcW w:w="55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-1.72</w:t>
            </w:r>
          </w:p>
        </w:tc>
        <w:tc>
          <w:tcPr>
            <w:tcW w:w="55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-3.09</w:t>
            </w:r>
          </w:p>
        </w:tc>
        <w:tc>
          <w:tcPr>
            <w:tcW w:w="56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-3.07</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1.85</w:t>
            </w:r>
          </w:p>
        </w:tc>
        <w:tc>
          <w:tcPr>
            <w:tcW w:w="488"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10.46</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17.20</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22.49</w:t>
            </w:r>
          </w:p>
        </w:tc>
      </w:tr>
      <w:tr w:rsidR="000D5A34" w:rsidRPr="000D5A34" w:rsidTr="000D5A34">
        <w:trPr>
          <w:jc w:val="center"/>
        </w:trPr>
        <w:tc>
          <w:tcPr>
            <w:tcW w:w="1592" w:type="pct"/>
          </w:tcPr>
          <w:p w:rsidR="002B5A16" w:rsidRPr="000D5A34" w:rsidRDefault="002B5A16" w:rsidP="002B5A16">
            <w:pPr>
              <w:widowControl w:val="0"/>
              <w:rPr>
                <w:rFonts w:ascii="Arial" w:hAnsi="Arial" w:cs="Arial"/>
                <w:szCs w:val="22"/>
              </w:rPr>
            </w:pPr>
            <w:r w:rsidRPr="000D5A34">
              <w:rPr>
                <w:rFonts w:ascii="Arial" w:hAnsi="Arial" w:cs="Arial"/>
                <w:szCs w:val="22"/>
              </w:rPr>
              <w:t>Benefit-cost ratio</w:t>
            </w:r>
          </w:p>
        </w:tc>
        <w:tc>
          <w:tcPr>
            <w:tcW w:w="55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0.00</w:t>
            </w:r>
          </w:p>
        </w:tc>
        <w:tc>
          <w:tcPr>
            <w:tcW w:w="55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-0.80</w:t>
            </w:r>
          </w:p>
        </w:tc>
        <w:tc>
          <w:tcPr>
            <w:tcW w:w="56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-0.79</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2.08</w:t>
            </w:r>
          </w:p>
        </w:tc>
        <w:tc>
          <w:tcPr>
            <w:tcW w:w="488"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7.09</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11.02</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14.10</w:t>
            </w:r>
          </w:p>
        </w:tc>
      </w:tr>
      <w:tr w:rsidR="000D5A34" w:rsidRPr="000D5A34" w:rsidTr="000D5A34">
        <w:trPr>
          <w:jc w:val="center"/>
        </w:trPr>
        <w:tc>
          <w:tcPr>
            <w:tcW w:w="1592" w:type="pct"/>
          </w:tcPr>
          <w:p w:rsidR="002B5A16" w:rsidRPr="000D5A34" w:rsidRDefault="000D5A34" w:rsidP="002B5A16">
            <w:pPr>
              <w:widowControl w:val="0"/>
              <w:rPr>
                <w:rFonts w:ascii="Arial" w:hAnsi="Arial" w:cs="Arial"/>
                <w:szCs w:val="22"/>
              </w:rPr>
            </w:pPr>
            <w:r>
              <w:rPr>
                <w:rFonts w:ascii="Arial" w:hAnsi="Arial" w:cs="Arial"/>
                <w:szCs w:val="22"/>
              </w:rPr>
              <w:t xml:space="preserve">Internal rate of return </w:t>
            </w:r>
            <w:r w:rsidR="002B5A16" w:rsidRPr="000D5A34">
              <w:rPr>
                <w:rFonts w:ascii="Arial" w:hAnsi="Arial" w:cs="Arial"/>
                <w:szCs w:val="22"/>
              </w:rPr>
              <w:t>(%)</w:t>
            </w:r>
          </w:p>
        </w:tc>
        <w:tc>
          <w:tcPr>
            <w:tcW w:w="55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5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6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7.7</w:t>
            </w:r>
          </w:p>
        </w:tc>
        <w:tc>
          <w:tcPr>
            <w:tcW w:w="488"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12.4</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13.7</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14.2</w:t>
            </w:r>
          </w:p>
        </w:tc>
      </w:tr>
      <w:tr w:rsidR="000D5A34" w:rsidRPr="000D5A34" w:rsidTr="000D5A34">
        <w:trPr>
          <w:jc w:val="center"/>
        </w:trPr>
        <w:tc>
          <w:tcPr>
            <w:tcW w:w="1592" w:type="pct"/>
          </w:tcPr>
          <w:p w:rsidR="002B5A16" w:rsidRPr="000D5A34" w:rsidRDefault="002B5A16" w:rsidP="002B5A16">
            <w:pPr>
              <w:widowControl w:val="0"/>
              <w:rPr>
                <w:rFonts w:ascii="Arial" w:hAnsi="Arial" w:cs="Arial"/>
                <w:szCs w:val="22"/>
              </w:rPr>
            </w:pPr>
            <w:r w:rsidRPr="000D5A34">
              <w:rPr>
                <w:rFonts w:ascii="Arial" w:hAnsi="Arial" w:cs="Arial"/>
                <w:szCs w:val="22"/>
              </w:rPr>
              <w:t>Modified IRR (%)</w:t>
            </w:r>
          </w:p>
        </w:tc>
        <w:tc>
          <w:tcPr>
            <w:tcW w:w="556"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52"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561"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negative</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8.5</w:t>
            </w:r>
          </w:p>
        </w:tc>
        <w:tc>
          <w:tcPr>
            <w:tcW w:w="488"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16.3</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15.2</w:t>
            </w:r>
          </w:p>
        </w:tc>
        <w:tc>
          <w:tcPr>
            <w:tcW w:w="417" w:type="pct"/>
            <w:tcBorders>
              <w:top w:val="single" w:sz="4" w:space="0" w:color="auto"/>
              <w:left w:val="single" w:sz="4" w:space="0" w:color="auto"/>
              <w:bottom w:val="single" w:sz="4" w:space="0" w:color="auto"/>
              <w:right w:val="single" w:sz="4" w:space="0" w:color="auto"/>
            </w:tcBorders>
          </w:tcPr>
          <w:p w:rsidR="002B5A16" w:rsidRPr="000D5A34" w:rsidRDefault="002B5A16" w:rsidP="002B5A16">
            <w:pPr>
              <w:jc w:val="right"/>
              <w:rPr>
                <w:rFonts w:ascii="Arial" w:hAnsi="Arial" w:cs="Arial"/>
                <w:color w:val="FF0000"/>
                <w:szCs w:val="22"/>
              </w:rPr>
            </w:pPr>
            <w:r w:rsidRPr="000D5A34">
              <w:rPr>
                <w:rFonts w:ascii="Arial" w:hAnsi="Arial" w:cs="Arial"/>
                <w:szCs w:val="22"/>
              </w:rPr>
              <w:t>13.8</w:t>
            </w:r>
          </w:p>
        </w:tc>
      </w:tr>
    </w:tbl>
    <w:p w:rsidR="002B5A16" w:rsidRDefault="002B5A16" w:rsidP="00A66BB1">
      <w:pPr>
        <w:spacing w:before="240" w:after="240"/>
        <w:rPr>
          <w:rFonts w:ascii="Arial" w:hAnsi="Arial" w:cs="Arial"/>
        </w:rPr>
      </w:pPr>
      <w:r w:rsidRPr="003B1CB9">
        <w:rPr>
          <w:rFonts w:ascii="Arial" w:hAnsi="Arial" w:cs="Arial"/>
        </w:rPr>
        <w:t xml:space="preserve">The annual undiscounted benefit and cost cash flows for the total investment for the duration of investment period plus </w:t>
      </w:r>
      <w:r>
        <w:rPr>
          <w:rFonts w:ascii="Arial" w:hAnsi="Arial" w:cs="Arial"/>
        </w:rPr>
        <w:t>30</w:t>
      </w:r>
      <w:r w:rsidRPr="003B1CB9">
        <w:rPr>
          <w:rFonts w:ascii="Arial" w:hAnsi="Arial" w:cs="Arial"/>
        </w:rPr>
        <w:t xml:space="preserve"> years from the last year of investment are shown in Figure </w:t>
      </w:r>
      <w:r>
        <w:rPr>
          <w:rFonts w:ascii="Arial" w:hAnsi="Arial" w:cs="Arial"/>
        </w:rPr>
        <w:t>1</w:t>
      </w:r>
      <w:r w:rsidRPr="003B1CB9">
        <w:rPr>
          <w:rFonts w:ascii="Arial" w:hAnsi="Arial" w:cs="Arial"/>
        </w:rPr>
        <w:t xml:space="preserve">. </w:t>
      </w:r>
      <w:r>
        <w:rPr>
          <w:rFonts w:ascii="Arial" w:hAnsi="Arial" w:cs="Arial"/>
        </w:rPr>
        <w:t>The negative period of benefits from 2010 to 2013 in Figure 1 is due to the cost of establishing the initial QG trees before any revenues were derived from plum bearing trees. The negative benefits from 2016 to 2018 were due to the costs of the large number of trees planted in that period compared to revenue being generated from the smaller number of trees planted earlier.</w:t>
      </w:r>
    </w:p>
    <w:p w:rsidR="00A66BB1" w:rsidRDefault="00A66BB1" w:rsidP="00A66BB1">
      <w:pPr>
        <w:spacing w:before="240" w:after="240"/>
        <w:rPr>
          <w:rFonts w:ascii="Arial" w:hAnsi="Arial" w:cs="Arial"/>
        </w:rPr>
      </w:pPr>
    </w:p>
    <w:p w:rsidR="002B5A16" w:rsidRPr="00A66BB1" w:rsidRDefault="002B5A16" w:rsidP="00A66BB1">
      <w:pPr>
        <w:pStyle w:val="Caption"/>
        <w:spacing w:after="240"/>
        <w:jc w:val="center"/>
        <w:rPr>
          <w:rFonts w:ascii="Arial" w:hAnsi="Arial"/>
          <w:b w:val="0"/>
          <w:i/>
          <w:iCs/>
          <w:sz w:val="22"/>
          <w:szCs w:val="22"/>
        </w:rPr>
      </w:pPr>
      <w:bookmarkStart w:id="535" w:name="_Toc487018501"/>
      <w:r w:rsidRPr="00A66BB1">
        <w:rPr>
          <w:rFonts w:ascii="Arial" w:hAnsi="Arial"/>
          <w:b w:val="0"/>
          <w:sz w:val="22"/>
          <w:szCs w:val="22"/>
        </w:rPr>
        <w:t xml:space="preserve">Figure </w:t>
      </w:r>
      <w:r w:rsidR="00913E1D" w:rsidRPr="000D5A34">
        <w:rPr>
          <w:rFonts w:ascii="Arial" w:hAnsi="Arial"/>
          <w:b w:val="0"/>
          <w:sz w:val="22"/>
          <w:szCs w:val="22"/>
        </w:rPr>
        <w:t>1</w:t>
      </w:r>
      <w:r w:rsidRPr="00A66BB1">
        <w:rPr>
          <w:rFonts w:ascii="Arial" w:hAnsi="Arial"/>
          <w:b w:val="0"/>
          <w:sz w:val="22"/>
          <w:szCs w:val="22"/>
        </w:rPr>
        <w:t>: Annual Cash Flow of Undiscounted Total Benefits and R&amp;D Costs</w:t>
      </w:r>
      <w:bookmarkEnd w:id="535"/>
    </w:p>
    <w:p w:rsidR="002B5A16" w:rsidRDefault="002B5A16" w:rsidP="002B5A16">
      <w:pPr>
        <w:jc w:val="center"/>
        <w:rPr>
          <w:rFonts w:ascii="Arial" w:hAnsi="Arial" w:cs="Arial"/>
          <w:b/>
          <w:sz w:val="24"/>
        </w:rPr>
      </w:pPr>
      <w:r>
        <w:rPr>
          <w:noProof/>
          <w:lang w:eastAsia="en-AU"/>
        </w:rPr>
        <w:drawing>
          <wp:inline distT="0" distB="0" distL="0" distR="0" wp14:anchorId="70C5AE6F" wp14:editId="6AC1C3FE">
            <wp:extent cx="5731510" cy="3743325"/>
            <wp:effectExtent l="0" t="0" r="2540" b="9525"/>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2E9E7E-587D-4DE3-9E39-74C4FCD09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66BB1" w:rsidRDefault="00A66BB1" w:rsidP="00A66BB1">
      <w:pPr>
        <w:spacing w:after="240"/>
        <w:rPr>
          <w:rFonts w:ascii="Arial" w:hAnsi="Arial" w:cs="Arial"/>
          <w:b/>
          <w:sz w:val="24"/>
        </w:rPr>
      </w:pPr>
    </w:p>
    <w:p w:rsidR="002B5A16" w:rsidRPr="003B1CB9" w:rsidRDefault="002B5A16" w:rsidP="00A66BB1">
      <w:pPr>
        <w:spacing w:after="240"/>
        <w:rPr>
          <w:rFonts w:ascii="Arial" w:hAnsi="Arial" w:cs="Arial"/>
          <w:b/>
          <w:sz w:val="24"/>
        </w:rPr>
      </w:pPr>
      <w:r w:rsidRPr="003B1CB9">
        <w:rPr>
          <w:rFonts w:ascii="Arial" w:hAnsi="Arial" w:cs="Arial"/>
          <w:b/>
          <w:sz w:val="24"/>
        </w:rPr>
        <w:t xml:space="preserve">Sources of Benefits </w:t>
      </w:r>
    </w:p>
    <w:p w:rsidR="002B5A16" w:rsidRDefault="002B5A16" w:rsidP="00A66BB1">
      <w:pPr>
        <w:spacing w:after="240"/>
        <w:rPr>
          <w:rFonts w:ascii="Arial" w:hAnsi="Arial" w:cs="Arial"/>
        </w:rPr>
      </w:pPr>
      <w:r w:rsidRPr="003B1CB9">
        <w:rPr>
          <w:rFonts w:ascii="Arial" w:hAnsi="Arial" w:cs="Arial"/>
        </w:rPr>
        <w:t>Estimates of the relative contribution of each benefit valued, given the assumptions made, are shown in Table 1</w:t>
      </w:r>
      <w:r>
        <w:rPr>
          <w:rFonts w:ascii="Arial" w:hAnsi="Arial" w:cs="Arial"/>
        </w:rPr>
        <w:t>4</w:t>
      </w:r>
      <w:r w:rsidRPr="003B1CB9">
        <w:rPr>
          <w:rFonts w:ascii="Arial" w:hAnsi="Arial" w:cs="Arial"/>
        </w:rPr>
        <w:t>.</w:t>
      </w:r>
      <w:r>
        <w:rPr>
          <w:rFonts w:ascii="Arial" w:hAnsi="Arial" w:cs="Arial"/>
        </w:rPr>
        <w:t xml:space="preserve"> For the Australian planting benefits, Benefit 1C (the new area of trees) provided 56% of all benefits despite making up 70% of all trees planted. Where QG plums were planted instead of other new plantings (Benefit 1A, 20% of all QG trees planted) they provided 30% of the benefits. These results were due to costs of different methods for establishing the QG plantings. </w:t>
      </w:r>
    </w:p>
    <w:p w:rsidR="002B5A16" w:rsidRPr="00A66BB1" w:rsidRDefault="002B5A16" w:rsidP="00A66BB1">
      <w:pPr>
        <w:pStyle w:val="Caption"/>
        <w:spacing w:after="240"/>
        <w:jc w:val="center"/>
        <w:rPr>
          <w:rFonts w:ascii="Arial" w:hAnsi="Arial"/>
          <w:b w:val="0"/>
          <w:i/>
          <w:iCs/>
          <w:color w:val="000000" w:themeColor="text1"/>
          <w:sz w:val="22"/>
          <w:szCs w:val="22"/>
        </w:rPr>
      </w:pPr>
      <w:bookmarkStart w:id="536" w:name="_Toc487018719"/>
      <w:r w:rsidRPr="00A66BB1">
        <w:rPr>
          <w:rFonts w:ascii="Arial" w:hAnsi="Arial"/>
          <w:b w:val="0"/>
          <w:sz w:val="22"/>
          <w:szCs w:val="22"/>
        </w:rPr>
        <w:t xml:space="preserve">Table </w:t>
      </w:r>
      <w:r w:rsidR="00913E1D" w:rsidRPr="000D5A34">
        <w:rPr>
          <w:rFonts w:ascii="Arial" w:hAnsi="Arial"/>
          <w:b w:val="0"/>
          <w:sz w:val="22"/>
          <w:szCs w:val="22"/>
        </w:rPr>
        <w:t>14</w:t>
      </w:r>
      <w:r w:rsidRPr="00A66BB1">
        <w:rPr>
          <w:rFonts w:ascii="Arial" w:hAnsi="Arial"/>
          <w:b w:val="0"/>
          <w:sz w:val="22"/>
          <w:szCs w:val="22"/>
        </w:rPr>
        <w:t xml:space="preserve">: </w:t>
      </w:r>
      <w:r w:rsidRPr="00A66BB1">
        <w:rPr>
          <w:rFonts w:ascii="Arial" w:hAnsi="Arial"/>
          <w:b w:val="0"/>
          <w:color w:val="000000" w:themeColor="text1"/>
          <w:sz w:val="22"/>
          <w:szCs w:val="22"/>
        </w:rPr>
        <w:t>Contribution to Total Benefits from Each Source</w:t>
      </w:r>
      <w:bookmarkEnd w:id="536"/>
    </w:p>
    <w:tbl>
      <w:tblPr>
        <w:tblStyle w:val="TableGrid2"/>
        <w:tblW w:w="7796" w:type="dxa"/>
        <w:jc w:val="center"/>
        <w:tblLook w:val="04A0" w:firstRow="1" w:lastRow="0" w:firstColumn="1" w:lastColumn="0" w:noHBand="0" w:noVBand="1"/>
      </w:tblPr>
      <w:tblGrid>
        <w:gridCol w:w="3969"/>
        <w:gridCol w:w="2126"/>
        <w:gridCol w:w="1701"/>
      </w:tblGrid>
      <w:tr w:rsidR="002B5A16" w:rsidRPr="005B630D" w:rsidTr="002B5A16">
        <w:trPr>
          <w:jc w:val="center"/>
        </w:trPr>
        <w:tc>
          <w:tcPr>
            <w:tcW w:w="3969" w:type="dxa"/>
          </w:tcPr>
          <w:p w:rsidR="002B5A16" w:rsidRPr="003D2E04" w:rsidRDefault="002B5A16" w:rsidP="002B5A16">
            <w:pPr>
              <w:rPr>
                <w:rFonts w:ascii="Arial" w:hAnsi="Arial" w:cs="Arial"/>
                <w:b/>
                <w:szCs w:val="22"/>
              </w:rPr>
            </w:pPr>
            <w:r w:rsidRPr="00F76E2A">
              <w:rPr>
                <w:rFonts w:ascii="Arial" w:hAnsi="Arial" w:cs="Arial"/>
                <w:b/>
              </w:rPr>
              <w:t>Source of Benefits</w:t>
            </w:r>
          </w:p>
        </w:tc>
        <w:tc>
          <w:tcPr>
            <w:tcW w:w="2126" w:type="dxa"/>
            <w:tcBorders>
              <w:bottom w:val="single" w:sz="4" w:space="0" w:color="auto"/>
            </w:tcBorders>
          </w:tcPr>
          <w:p w:rsidR="002B5A16" w:rsidRPr="003D2E04" w:rsidRDefault="002B5A16" w:rsidP="002B5A16">
            <w:pPr>
              <w:jc w:val="center"/>
              <w:rPr>
                <w:rFonts w:ascii="Arial" w:hAnsi="Arial" w:cs="Arial"/>
                <w:b/>
                <w:szCs w:val="22"/>
              </w:rPr>
            </w:pPr>
            <w:r w:rsidRPr="00F76E2A">
              <w:rPr>
                <w:rFonts w:ascii="Arial" w:hAnsi="Arial" w:cs="Arial"/>
                <w:b/>
              </w:rPr>
              <w:t>Contribution to PVB ($m)</w:t>
            </w:r>
          </w:p>
        </w:tc>
        <w:tc>
          <w:tcPr>
            <w:tcW w:w="1701" w:type="dxa"/>
            <w:tcBorders>
              <w:bottom w:val="single" w:sz="4" w:space="0" w:color="auto"/>
            </w:tcBorders>
          </w:tcPr>
          <w:p w:rsidR="002B5A16" w:rsidRPr="003D2E04" w:rsidRDefault="002B5A16" w:rsidP="002B5A16">
            <w:pPr>
              <w:jc w:val="center"/>
              <w:rPr>
                <w:rFonts w:ascii="Arial" w:hAnsi="Arial" w:cs="Arial"/>
                <w:b/>
                <w:szCs w:val="22"/>
              </w:rPr>
            </w:pPr>
            <w:r w:rsidRPr="00F76E2A">
              <w:rPr>
                <w:rFonts w:ascii="Arial" w:hAnsi="Arial" w:cs="Arial"/>
                <w:b/>
              </w:rPr>
              <w:t xml:space="preserve">Share of </w:t>
            </w:r>
            <w:r>
              <w:rPr>
                <w:rFonts w:ascii="Arial" w:hAnsi="Arial" w:cs="Arial"/>
                <w:b/>
              </w:rPr>
              <w:t>B</w:t>
            </w:r>
            <w:r w:rsidRPr="00F76E2A">
              <w:rPr>
                <w:rFonts w:ascii="Arial" w:hAnsi="Arial" w:cs="Arial"/>
                <w:b/>
              </w:rPr>
              <w:t>enefits (%)</w:t>
            </w:r>
          </w:p>
        </w:tc>
      </w:tr>
      <w:tr w:rsidR="002B5A16" w:rsidRPr="005B630D" w:rsidTr="002B5A16">
        <w:trPr>
          <w:jc w:val="center"/>
        </w:trPr>
        <w:tc>
          <w:tcPr>
            <w:tcW w:w="3969" w:type="dxa"/>
          </w:tcPr>
          <w:p w:rsidR="002B5A16" w:rsidRPr="008C332D" w:rsidRDefault="002B5A16" w:rsidP="002B5A16">
            <w:pPr>
              <w:rPr>
                <w:rFonts w:ascii="Arial" w:hAnsi="Arial" w:cs="Arial"/>
                <w:szCs w:val="22"/>
              </w:rPr>
            </w:pPr>
            <w:r w:rsidRPr="008C332D">
              <w:rPr>
                <w:rFonts w:ascii="Arial" w:hAnsi="Arial" w:cs="Arial"/>
                <w:szCs w:val="22"/>
              </w:rPr>
              <w:t xml:space="preserve">Benefit </w:t>
            </w:r>
            <w:r>
              <w:rPr>
                <w:rFonts w:ascii="Arial" w:hAnsi="Arial" w:cs="Arial"/>
                <w:szCs w:val="22"/>
              </w:rPr>
              <w:t>1</w:t>
            </w:r>
            <w:r w:rsidRPr="008C332D">
              <w:rPr>
                <w:rFonts w:ascii="Arial" w:hAnsi="Arial" w:cs="Arial"/>
                <w:szCs w:val="22"/>
              </w:rPr>
              <w:t xml:space="preserve">A: Replacing old trees </w:t>
            </w:r>
          </w:p>
        </w:tc>
        <w:tc>
          <w:tcPr>
            <w:tcW w:w="2126" w:type="dxa"/>
            <w:tcBorders>
              <w:top w:val="single" w:sz="4" w:space="0" w:color="auto"/>
              <w:left w:val="nil"/>
              <w:bottom w:val="single" w:sz="4" w:space="0" w:color="auto"/>
              <w:right w:val="single" w:sz="4" w:space="0" w:color="auto"/>
            </w:tcBorders>
          </w:tcPr>
          <w:p w:rsidR="002B5A16" w:rsidRPr="004B6F85" w:rsidRDefault="002B5A16" w:rsidP="002B5A16">
            <w:pPr>
              <w:jc w:val="center"/>
              <w:rPr>
                <w:rFonts w:ascii="Arial" w:hAnsi="Arial" w:cs="Arial"/>
                <w:szCs w:val="22"/>
              </w:rPr>
            </w:pPr>
            <w:r w:rsidRPr="004B6F85">
              <w:rPr>
                <w:rFonts w:ascii="Arial" w:hAnsi="Arial" w:cs="Arial"/>
                <w:szCs w:val="22"/>
              </w:rPr>
              <w:t>75.73</w:t>
            </w:r>
          </w:p>
        </w:tc>
        <w:tc>
          <w:tcPr>
            <w:tcW w:w="1701" w:type="dxa"/>
            <w:tcBorders>
              <w:top w:val="single" w:sz="4" w:space="0" w:color="auto"/>
              <w:left w:val="single" w:sz="4" w:space="0" w:color="auto"/>
              <w:bottom w:val="single" w:sz="4" w:space="0" w:color="auto"/>
              <w:right w:val="single" w:sz="4" w:space="0" w:color="auto"/>
            </w:tcBorders>
          </w:tcPr>
          <w:p w:rsidR="002B5A16" w:rsidRPr="004B6F85" w:rsidRDefault="002B5A16" w:rsidP="002B5A16">
            <w:pPr>
              <w:jc w:val="center"/>
              <w:rPr>
                <w:rFonts w:ascii="Arial" w:hAnsi="Arial" w:cs="Arial"/>
                <w:szCs w:val="22"/>
              </w:rPr>
            </w:pPr>
            <w:r w:rsidRPr="004B6F85">
              <w:rPr>
                <w:rFonts w:ascii="Arial" w:hAnsi="Arial" w:cs="Arial"/>
                <w:szCs w:val="22"/>
              </w:rPr>
              <w:t>29.6%</w:t>
            </w:r>
          </w:p>
        </w:tc>
      </w:tr>
      <w:tr w:rsidR="002B5A16" w:rsidRPr="005B630D" w:rsidTr="002B5A16">
        <w:trPr>
          <w:jc w:val="center"/>
        </w:trPr>
        <w:tc>
          <w:tcPr>
            <w:tcW w:w="3969" w:type="dxa"/>
          </w:tcPr>
          <w:p w:rsidR="002B5A16" w:rsidRPr="008C332D" w:rsidRDefault="002B5A16" w:rsidP="002B5A16">
            <w:pPr>
              <w:rPr>
                <w:rFonts w:ascii="Arial" w:hAnsi="Arial" w:cs="Arial"/>
                <w:szCs w:val="22"/>
              </w:rPr>
            </w:pPr>
            <w:r w:rsidRPr="008C332D">
              <w:rPr>
                <w:rFonts w:ascii="Arial" w:hAnsi="Arial" w:cs="Arial"/>
                <w:szCs w:val="22"/>
              </w:rPr>
              <w:t xml:space="preserve">Benefit </w:t>
            </w:r>
            <w:r>
              <w:rPr>
                <w:rFonts w:ascii="Arial" w:hAnsi="Arial" w:cs="Arial"/>
                <w:szCs w:val="22"/>
              </w:rPr>
              <w:t>1</w:t>
            </w:r>
            <w:r w:rsidRPr="008C332D">
              <w:rPr>
                <w:rFonts w:ascii="Arial" w:hAnsi="Arial" w:cs="Arial"/>
                <w:szCs w:val="22"/>
              </w:rPr>
              <w:t xml:space="preserve">B: Topworking existing trees </w:t>
            </w:r>
          </w:p>
        </w:tc>
        <w:tc>
          <w:tcPr>
            <w:tcW w:w="2126" w:type="dxa"/>
            <w:tcBorders>
              <w:top w:val="single" w:sz="4" w:space="0" w:color="auto"/>
              <w:left w:val="nil"/>
              <w:bottom w:val="single" w:sz="4" w:space="0" w:color="auto"/>
              <w:right w:val="single" w:sz="4" w:space="0" w:color="auto"/>
            </w:tcBorders>
          </w:tcPr>
          <w:p w:rsidR="002B5A16" w:rsidRPr="004B6F85" w:rsidRDefault="002B5A16" w:rsidP="002B5A16">
            <w:pPr>
              <w:jc w:val="center"/>
              <w:rPr>
                <w:rFonts w:ascii="Arial" w:hAnsi="Arial" w:cs="Arial"/>
                <w:szCs w:val="22"/>
              </w:rPr>
            </w:pPr>
            <w:r w:rsidRPr="004B6F85">
              <w:rPr>
                <w:rFonts w:ascii="Arial" w:hAnsi="Arial" w:cs="Arial"/>
                <w:szCs w:val="22"/>
              </w:rPr>
              <w:t>37.29</w:t>
            </w:r>
          </w:p>
        </w:tc>
        <w:tc>
          <w:tcPr>
            <w:tcW w:w="1701" w:type="dxa"/>
            <w:tcBorders>
              <w:top w:val="single" w:sz="4" w:space="0" w:color="auto"/>
              <w:left w:val="single" w:sz="4" w:space="0" w:color="auto"/>
              <w:bottom w:val="single" w:sz="4" w:space="0" w:color="auto"/>
              <w:right w:val="single" w:sz="4" w:space="0" w:color="auto"/>
            </w:tcBorders>
          </w:tcPr>
          <w:p w:rsidR="002B5A16" w:rsidRPr="004B6F85" w:rsidRDefault="002B5A16" w:rsidP="002B5A16">
            <w:pPr>
              <w:jc w:val="center"/>
              <w:rPr>
                <w:rFonts w:ascii="Arial" w:hAnsi="Arial" w:cs="Arial"/>
                <w:szCs w:val="22"/>
              </w:rPr>
            </w:pPr>
            <w:r w:rsidRPr="004B6F85">
              <w:rPr>
                <w:rFonts w:ascii="Arial" w:hAnsi="Arial" w:cs="Arial"/>
                <w:szCs w:val="22"/>
              </w:rPr>
              <w:t>14.6%</w:t>
            </w:r>
          </w:p>
        </w:tc>
      </w:tr>
      <w:tr w:rsidR="002B5A16" w:rsidRPr="005B630D" w:rsidTr="002B5A16">
        <w:trPr>
          <w:jc w:val="center"/>
        </w:trPr>
        <w:tc>
          <w:tcPr>
            <w:tcW w:w="3969" w:type="dxa"/>
          </w:tcPr>
          <w:p w:rsidR="002B5A16" w:rsidRPr="008C332D" w:rsidRDefault="002B5A16" w:rsidP="002B5A16">
            <w:pPr>
              <w:rPr>
                <w:rFonts w:ascii="Arial" w:hAnsi="Arial" w:cs="Arial"/>
                <w:szCs w:val="22"/>
              </w:rPr>
            </w:pPr>
            <w:r w:rsidRPr="008C332D">
              <w:rPr>
                <w:rFonts w:ascii="Arial" w:hAnsi="Arial" w:cs="Arial"/>
                <w:szCs w:val="22"/>
              </w:rPr>
              <w:t xml:space="preserve">Benefit </w:t>
            </w:r>
            <w:r>
              <w:rPr>
                <w:rFonts w:ascii="Arial" w:hAnsi="Arial" w:cs="Arial"/>
                <w:szCs w:val="22"/>
              </w:rPr>
              <w:t>1</w:t>
            </w:r>
            <w:r w:rsidRPr="008C332D">
              <w:rPr>
                <w:rFonts w:ascii="Arial" w:hAnsi="Arial" w:cs="Arial"/>
                <w:szCs w:val="22"/>
              </w:rPr>
              <w:t>C: New area of trees</w:t>
            </w:r>
          </w:p>
        </w:tc>
        <w:tc>
          <w:tcPr>
            <w:tcW w:w="2126" w:type="dxa"/>
            <w:tcBorders>
              <w:top w:val="single" w:sz="4" w:space="0" w:color="auto"/>
              <w:left w:val="nil"/>
              <w:bottom w:val="single" w:sz="4" w:space="0" w:color="auto"/>
              <w:right w:val="single" w:sz="4" w:space="0" w:color="auto"/>
            </w:tcBorders>
          </w:tcPr>
          <w:p w:rsidR="002B5A16" w:rsidRPr="004B6F85" w:rsidRDefault="002B5A16" w:rsidP="002B5A16">
            <w:pPr>
              <w:jc w:val="center"/>
              <w:rPr>
                <w:rFonts w:ascii="Arial" w:hAnsi="Arial" w:cs="Arial"/>
                <w:szCs w:val="22"/>
              </w:rPr>
            </w:pPr>
            <w:r w:rsidRPr="004B6F85">
              <w:rPr>
                <w:rFonts w:ascii="Arial" w:hAnsi="Arial" w:cs="Arial"/>
                <w:szCs w:val="22"/>
              </w:rPr>
              <w:t>142.69</w:t>
            </w:r>
          </w:p>
        </w:tc>
        <w:tc>
          <w:tcPr>
            <w:tcW w:w="1701" w:type="dxa"/>
            <w:tcBorders>
              <w:top w:val="single" w:sz="4" w:space="0" w:color="auto"/>
              <w:left w:val="single" w:sz="4" w:space="0" w:color="auto"/>
              <w:bottom w:val="single" w:sz="4" w:space="0" w:color="auto"/>
              <w:right w:val="single" w:sz="4" w:space="0" w:color="auto"/>
            </w:tcBorders>
          </w:tcPr>
          <w:p w:rsidR="002B5A16" w:rsidRPr="004B6F85" w:rsidRDefault="002B5A16" w:rsidP="002B5A16">
            <w:pPr>
              <w:jc w:val="center"/>
              <w:rPr>
                <w:rFonts w:ascii="Arial" w:hAnsi="Arial" w:cs="Arial"/>
                <w:szCs w:val="22"/>
              </w:rPr>
            </w:pPr>
            <w:r w:rsidRPr="004B6F85">
              <w:rPr>
                <w:rFonts w:ascii="Arial" w:hAnsi="Arial" w:cs="Arial"/>
                <w:szCs w:val="22"/>
              </w:rPr>
              <w:t>55.8%</w:t>
            </w:r>
          </w:p>
        </w:tc>
      </w:tr>
      <w:tr w:rsidR="002B5A16" w:rsidRPr="005B630D" w:rsidTr="002B5A16">
        <w:trPr>
          <w:jc w:val="center"/>
        </w:trPr>
        <w:tc>
          <w:tcPr>
            <w:tcW w:w="3969" w:type="dxa"/>
          </w:tcPr>
          <w:p w:rsidR="002B5A16" w:rsidRPr="008C332D" w:rsidRDefault="002B5A16" w:rsidP="002B5A16">
            <w:pPr>
              <w:rPr>
                <w:rFonts w:ascii="Arial" w:hAnsi="Arial" w:cs="Arial"/>
                <w:szCs w:val="22"/>
              </w:rPr>
            </w:pPr>
            <w:r w:rsidRPr="008C332D">
              <w:rPr>
                <w:rFonts w:ascii="Arial" w:hAnsi="Arial" w:cs="Arial"/>
                <w:szCs w:val="22"/>
              </w:rPr>
              <w:t>Total Benefit: A+B+C</w:t>
            </w:r>
          </w:p>
        </w:tc>
        <w:tc>
          <w:tcPr>
            <w:tcW w:w="2126" w:type="dxa"/>
            <w:tcBorders>
              <w:top w:val="single" w:sz="4" w:space="0" w:color="auto"/>
              <w:left w:val="nil"/>
              <w:bottom w:val="single" w:sz="4" w:space="0" w:color="auto"/>
              <w:right w:val="single" w:sz="4" w:space="0" w:color="auto"/>
            </w:tcBorders>
          </w:tcPr>
          <w:p w:rsidR="002B5A16" w:rsidRPr="004B6F85" w:rsidRDefault="002B5A16" w:rsidP="002B5A16">
            <w:pPr>
              <w:jc w:val="center"/>
              <w:rPr>
                <w:rFonts w:ascii="Arial" w:hAnsi="Arial" w:cs="Arial"/>
                <w:szCs w:val="22"/>
              </w:rPr>
            </w:pPr>
            <w:r w:rsidRPr="004B6F85">
              <w:rPr>
                <w:rFonts w:ascii="Arial" w:hAnsi="Arial" w:cs="Arial"/>
                <w:szCs w:val="22"/>
              </w:rPr>
              <w:t>255.71</w:t>
            </w:r>
          </w:p>
        </w:tc>
        <w:tc>
          <w:tcPr>
            <w:tcW w:w="1701" w:type="dxa"/>
            <w:tcBorders>
              <w:top w:val="single" w:sz="4" w:space="0" w:color="auto"/>
              <w:left w:val="single" w:sz="4" w:space="0" w:color="auto"/>
              <w:bottom w:val="single" w:sz="4" w:space="0" w:color="auto"/>
              <w:right w:val="single" w:sz="4" w:space="0" w:color="auto"/>
            </w:tcBorders>
          </w:tcPr>
          <w:p w:rsidR="002B5A16" w:rsidRPr="004B6F85" w:rsidRDefault="002B5A16" w:rsidP="002B5A16">
            <w:pPr>
              <w:jc w:val="center"/>
              <w:rPr>
                <w:rFonts w:ascii="Arial" w:hAnsi="Arial" w:cs="Arial"/>
                <w:szCs w:val="22"/>
              </w:rPr>
            </w:pPr>
            <w:r w:rsidRPr="004B6F85">
              <w:rPr>
                <w:rFonts w:ascii="Arial" w:hAnsi="Arial" w:cs="Arial"/>
                <w:szCs w:val="22"/>
              </w:rPr>
              <w:t>100.0%</w:t>
            </w:r>
          </w:p>
        </w:tc>
      </w:tr>
    </w:tbl>
    <w:p w:rsidR="002B5A16" w:rsidRPr="003B1CB9" w:rsidRDefault="002B5A16" w:rsidP="002B5A16">
      <w:pPr>
        <w:rPr>
          <w:rFonts w:ascii="Arial" w:hAnsi="Arial" w:cs="Arial"/>
          <w:b/>
          <w:sz w:val="24"/>
        </w:rPr>
      </w:pPr>
      <w:r w:rsidRPr="003B1CB9">
        <w:rPr>
          <w:rFonts w:ascii="Arial" w:hAnsi="Arial" w:cs="Arial"/>
          <w:b/>
          <w:sz w:val="24"/>
        </w:rPr>
        <w:t xml:space="preserve"> </w:t>
      </w:r>
    </w:p>
    <w:p w:rsidR="002B5A16" w:rsidRPr="003B1CB9" w:rsidRDefault="002B5A16" w:rsidP="00A66BB1">
      <w:pPr>
        <w:spacing w:after="240"/>
        <w:rPr>
          <w:rFonts w:ascii="Arial" w:hAnsi="Arial" w:cs="Arial"/>
          <w:b/>
          <w:sz w:val="24"/>
        </w:rPr>
      </w:pPr>
      <w:r w:rsidRPr="003B1CB9">
        <w:rPr>
          <w:rFonts w:ascii="Arial" w:hAnsi="Arial" w:cs="Arial"/>
          <w:b/>
          <w:sz w:val="24"/>
        </w:rPr>
        <w:t>Sensitivity Analyses</w:t>
      </w:r>
    </w:p>
    <w:p w:rsidR="002B5A16" w:rsidRDefault="002B5A16" w:rsidP="002B5A16">
      <w:pPr>
        <w:rPr>
          <w:rFonts w:ascii="Arial" w:hAnsi="Arial" w:cs="Arial"/>
          <w:iCs/>
          <w:color w:val="000000" w:themeColor="text1"/>
        </w:rPr>
      </w:pPr>
      <w:r w:rsidRPr="003B1CB9">
        <w:rPr>
          <w:rFonts w:ascii="Arial" w:hAnsi="Arial" w:cs="Arial"/>
        </w:rPr>
        <w:t xml:space="preserve">A sensitivity analysis was carried out on the discount rate. The analysis was performed for the total investment and with benefits taken over the life of the investment plus </w:t>
      </w:r>
      <w:r>
        <w:rPr>
          <w:rFonts w:ascii="Arial" w:hAnsi="Arial" w:cs="Arial"/>
        </w:rPr>
        <w:t>3</w:t>
      </w:r>
      <w:r w:rsidRPr="003B1CB9">
        <w:rPr>
          <w:rFonts w:ascii="Arial" w:hAnsi="Arial" w:cs="Arial"/>
        </w:rPr>
        <w:t>0 years from the last year of investment. All other parameters were held at their base values. Table 1</w:t>
      </w:r>
      <w:r>
        <w:rPr>
          <w:rFonts w:ascii="Arial" w:hAnsi="Arial" w:cs="Arial"/>
        </w:rPr>
        <w:t>5</w:t>
      </w:r>
      <w:r w:rsidRPr="003B1CB9">
        <w:rPr>
          <w:rFonts w:ascii="Arial" w:hAnsi="Arial" w:cs="Arial"/>
        </w:rPr>
        <w:t xml:space="preserve"> presents the results. The results showed a </w:t>
      </w:r>
      <w:r>
        <w:rPr>
          <w:rFonts w:ascii="Arial" w:hAnsi="Arial" w:cs="Arial"/>
        </w:rPr>
        <w:t xml:space="preserve">very </w:t>
      </w:r>
      <w:r w:rsidRPr="00D522C2">
        <w:rPr>
          <w:rFonts w:ascii="Arial" w:hAnsi="Arial" w:cs="Arial"/>
        </w:rPr>
        <w:t xml:space="preserve">high sensitivity to </w:t>
      </w:r>
      <w:r w:rsidRPr="003B1CB9">
        <w:rPr>
          <w:rFonts w:ascii="Arial" w:hAnsi="Arial" w:cs="Arial"/>
        </w:rPr>
        <w:t>the discount rate</w:t>
      </w:r>
      <w:r>
        <w:rPr>
          <w:rFonts w:ascii="Arial" w:hAnsi="Arial" w:cs="Arial"/>
        </w:rPr>
        <w:t>, largely due to the long lag time between the beginning of the investment and the incidence of benefits.</w:t>
      </w:r>
    </w:p>
    <w:p w:rsidR="002B5A16" w:rsidRPr="00A66BB1" w:rsidRDefault="002B5A16" w:rsidP="00A66BB1">
      <w:pPr>
        <w:pStyle w:val="Caption"/>
        <w:spacing w:after="240"/>
        <w:jc w:val="center"/>
        <w:rPr>
          <w:rFonts w:ascii="Arial" w:hAnsi="Arial"/>
          <w:b w:val="0"/>
          <w:i/>
          <w:sz w:val="22"/>
          <w:szCs w:val="22"/>
        </w:rPr>
      </w:pPr>
      <w:bookmarkStart w:id="537" w:name="_Toc487018720"/>
      <w:r w:rsidRPr="00A66BB1">
        <w:rPr>
          <w:rFonts w:ascii="Arial" w:hAnsi="Arial"/>
          <w:b w:val="0"/>
          <w:sz w:val="22"/>
          <w:szCs w:val="22"/>
        </w:rPr>
        <w:t xml:space="preserve">Table </w:t>
      </w:r>
      <w:r w:rsidR="00913E1D" w:rsidRPr="000D5A34">
        <w:rPr>
          <w:rFonts w:ascii="Arial" w:hAnsi="Arial"/>
          <w:b w:val="0"/>
          <w:sz w:val="22"/>
          <w:szCs w:val="22"/>
        </w:rPr>
        <w:t>15</w:t>
      </w:r>
      <w:r w:rsidRPr="00A66BB1">
        <w:rPr>
          <w:rFonts w:ascii="Arial" w:hAnsi="Arial"/>
          <w:b w:val="0"/>
          <w:sz w:val="22"/>
          <w:szCs w:val="22"/>
        </w:rPr>
        <w:t>: Sensitivity to Discount Rate</w:t>
      </w:r>
      <w:r w:rsidRPr="00A66BB1">
        <w:rPr>
          <w:rFonts w:ascii="Arial" w:hAnsi="Arial"/>
          <w:b w:val="0"/>
          <w:sz w:val="22"/>
          <w:szCs w:val="22"/>
        </w:rPr>
        <w:br/>
        <w:t>(Total investment, 30 years)</w:t>
      </w:r>
      <w:bookmarkEnd w:id="537"/>
    </w:p>
    <w:tbl>
      <w:tblPr>
        <w:tblStyle w:val="TableGrid2"/>
        <w:tblW w:w="0" w:type="auto"/>
        <w:tblLook w:val="04A0" w:firstRow="1" w:lastRow="0" w:firstColumn="1" w:lastColumn="0" w:noHBand="0" w:noVBand="1"/>
      </w:tblPr>
      <w:tblGrid>
        <w:gridCol w:w="3256"/>
        <w:gridCol w:w="1920"/>
        <w:gridCol w:w="1920"/>
        <w:gridCol w:w="1920"/>
      </w:tblGrid>
      <w:tr w:rsidR="002B5A16" w:rsidRPr="005B630D" w:rsidTr="002B5A16">
        <w:tc>
          <w:tcPr>
            <w:tcW w:w="3256" w:type="dxa"/>
            <w:vMerge w:val="restart"/>
          </w:tcPr>
          <w:p w:rsidR="002B5A16" w:rsidRPr="003D2E04" w:rsidRDefault="002B5A16" w:rsidP="002B5A16">
            <w:pPr>
              <w:rPr>
                <w:rFonts w:ascii="Arial" w:hAnsi="Arial" w:cs="Arial"/>
                <w:b/>
                <w:szCs w:val="22"/>
              </w:rPr>
            </w:pPr>
            <w:r w:rsidRPr="00F76E2A">
              <w:rPr>
                <w:rFonts w:ascii="Arial" w:hAnsi="Arial" w:cs="Arial"/>
                <w:b/>
              </w:rPr>
              <w:t>Investment Criteria</w:t>
            </w:r>
          </w:p>
        </w:tc>
        <w:tc>
          <w:tcPr>
            <w:tcW w:w="5760" w:type="dxa"/>
            <w:gridSpan w:val="3"/>
          </w:tcPr>
          <w:p w:rsidR="002B5A16" w:rsidRPr="003D2E04" w:rsidRDefault="002B5A16" w:rsidP="002B5A16">
            <w:pPr>
              <w:jc w:val="center"/>
              <w:rPr>
                <w:rFonts w:ascii="Arial" w:hAnsi="Arial" w:cs="Arial"/>
                <w:b/>
                <w:szCs w:val="22"/>
              </w:rPr>
            </w:pPr>
            <w:r w:rsidRPr="00F76E2A">
              <w:rPr>
                <w:rFonts w:ascii="Arial" w:hAnsi="Arial" w:cs="Arial"/>
                <w:b/>
              </w:rPr>
              <w:t>Discount rate</w:t>
            </w:r>
          </w:p>
        </w:tc>
      </w:tr>
      <w:tr w:rsidR="002B5A16" w:rsidRPr="005B630D" w:rsidTr="002B5A16">
        <w:trPr>
          <w:trHeight w:val="118"/>
        </w:trPr>
        <w:tc>
          <w:tcPr>
            <w:tcW w:w="3256" w:type="dxa"/>
            <w:vMerge/>
          </w:tcPr>
          <w:p w:rsidR="002B5A16" w:rsidRPr="003D2E04" w:rsidRDefault="002B5A16" w:rsidP="002B5A16">
            <w:pPr>
              <w:rPr>
                <w:rFonts w:ascii="Arial" w:hAnsi="Arial" w:cs="Arial"/>
                <w:b/>
                <w:szCs w:val="22"/>
              </w:rPr>
            </w:pPr>
          </w:p>
        </w:tc>
        <w:tc>
          <w:tcPr>
            <w:tcW w:w="1920" w:type="dxa"/>
          </w:tcPr>
          <w:p w:rsidR="002B5A16" w:rsidRPr="003D2E04" w:rsidRDefault="002B5A16" w:rsidP="002B5A16">
            <w:pPr>
              <w:jc w:val="center"/>
              <w:rPr>
                <w:rFonts w:ascii="Arial" w:hAnsi="Arial" w:cs="Arial"/>
                <w:b/>
                <w:szCs w:val="22"/>
              </w:rPr>
            </w:pPr>
            <w:r w:rsidRPr="00F76E2A">
              <w:rPr>
                <w:rFonts w:ascii="Arial" w:hAnsi="Arial" w:cs="Arial"/>
                <w:b/>
              </w:rPr>
              <w:t>0%</w:t>
            </w:r>
          </w:p>
        </w:tc>
        <w:tc>
          <w:tcPr>
            <w:tcW w:w="1920" w:type="dxa"/>
          </w:tcPr>
          <w:p w:rsidR="002B5A16" w:rsidRPr="003D2E04" w:rsidRDefault="002B5A16" w:rsidP="002B5A16">
            <w:pPr>
              <w:jc w:val="center"/>
              <w:rPr>
                <w:rFonts w:ascii="Arial" w:hAnsi="Arial" w:cs="Arial"/>
                <w:b/>
                <w:szCs w:val="22"/>
              </w:rPr>
            </w:pPr>
            <w:r w:rsidRPr="00F76E2A">
              <w:rPr>
                <w:rFonts w:ascii="Arial" w:hAnsi="Arial" w:cs="Arial"/>
                <w:b/>
              </w:rPr>
              <w:t>5% (base)</w:t>
            </w:r>
          </w:p>
        </w:tc>
        <w:tc>
          <w:tcPr>
            <w:tcW w:w="1920" w:type="dxa"/>
          </w:tcPr>
          <w:p w:rsidR="002B5A16" w:rsidRPr="003D2E04" w:rsidRDefault="002B5A16" w:rsidP="002B5A16">
            <w:pPr>
              <w:jc w:val="center"/>
              <w:rPr>
                <w:rFonts w:ascii="Arial" w:hAnsi="Arial" w:cs="Arial"/>
                <w:b/>
                <w:szCs w:val="22"/>
              </w:rPr>
            </w:pPr>
            <w:r w:rsidRPr="00F76E2A">
              <w:rPr>
                <w:rFonts w:ascii="Arial" w:hAnsi="Arial" w:cs="Arial"/>
                <w:b/>
              </w:rPr>
              <w:t>10%</w:t>
            </w:r>
          </w:p>
        </w:tc>
      </w:tr>
      <w:tr w:rsidR="002B5A16" w:rsidRPr="005B630D" w:rsidTr="002B5A16">
        <w:tc>
          <w:tcPr>
            <w:tcW w:w="3256" w:type="dxa"/>
          </w:tcPr>
          <w:p w:rsidR="002B5A16" w:rsidRPr="008C332D" w:rsidRDefault="002B5A16" w:rsidP="002B5A16">
            <w:pPr>
              <w:rPr>
                <w:rFonts w:ascii="Arial" w:hAnsi="Arial" w:cs="Arial"/>
                <w:szCs w:val="22"/>
              </w:rPr>
            </w:pPr>
            <w:r w:rsidRPr="008C332D">
              <w:rPr>
                <w:rFonts w:ascii="Arial" w:hAnsi="Arial" w:cs="Arial"/>
                <w:szCs w:val="22"/>
              </w:rPr>
              <w:t>Present value of benefits ($m)</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454.28</w:t>
            </w:r>
          </w:p>
        </w:tc>
        <w:tc>
          <w:tcPr>
            <w:tcW w:w="1920" w:type="dxa"/>
            <w:tcBorders>
              <w:top w:val="single" w:sz="4" w:space="0" w:color="auto"/>
              <w:left w:val="single" w:sz="4" w:space="0" w:color="auto"/>
              <w:bottom w:val="single" w:sz="4" w:space="0" w:color="auto"/>
              <w:right w:val="single" w:sz="4" w:space="0" w:color="auto"/>
            </w:tcBorders>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255.71</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151.43</w:t>
            </w:r>
          </w:p>
        </w:tc>
      </w:tr>
      <w:tr w:rsidR="002B5A16" w:rsidRPr="005B630D" w:rsidTr="002B5A16">
        <w:tc>
          <w:tcPr>
            <w:tcW w:w="3256" w:type="dxa"/>
          </w:tcPr>
          <w:p w:rsidR="002B5A16" w:rsidRPr="008C332D" w:rsidRDefault="002B5A16" w:rsidP="002B5A16">
            <w:pPr>
              <w:rPr>
                <w:rFonts w:ascii="Arial" w:hAnsi="Arial" w:cs="Arial"/>
                <w:szCs w:val="22"/>
              </w:rPr>
            </w:pPr>
            <w:r w:rsidRPr="008C332D">
              <w:rPr>
                <w:rFonts w:ascii="Arial" w:hAnsi="Arial" w:cs="Arial"/>
                <w:szCs w:val="22"/>
              </w:rPr>
              <w:t>Present value of costs ($m)</w:t>
            </w:r>
          </w:p>
        </w:tc>
        <w:tc>
          <w:tcPr>
            <w:tcW w:w="1920" w:type="dxa"/>
            <w:tcBorders>
              <w:top w:val="nil"/>
              <w:left w:val="single" w:sz="4" w:space="0" w:color="auto"/>
              <w:bottom w:val="single" w:sz="4" w:space="0" w:color="auto"/>
              <w:right w:val="single" w:sz="4" w:space="0" w:color="auto"/>
            </w:tcBorders>
            <w:shd w:val="clear" w:color="auto" w:fill="auto"/>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6.19</w:t>
            </w:r>
          </w:p>
        </w:tc>
        <w:tc>
          <w:tcPr>
            <w:tcW w:w="1920" w:type="dxa"/>
            <w:tcBorders>
              <w:top w:val="single" w:sz="4" w:space="0" w:color="auto"/>
              <w:left w:val="single" w:sz="4" w:space="0" w:color="auto"/>
              <w:bottom w:val="single" w:sz="4" w:space="0" w:color="auto"/>
              <w:right w:val="single" w:sz="4" w:space="0" w:color="auto"/>
            </w:tcBorders>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19.71</w:t>
            </w:r>
          </w:p>
        </w:tc>
        <w:tc>
          <w:tcPr>
            <w:tcW w:w="1920" w:type="dxa"/>
            <w:tcBorders>
              <w:top w:val="nil"/>
              <w:left w:val="single" w:sz="4" w:space="0" w:color="auto"/>
              <w:bottom w:val="single" w:sz="4" w:space="0" w:color="auto"/>
              <w:right w:val="single" w:sz="4" w:space="0" w:color="auto"/>
            </w:tcBorders>
            <w:shd w:val="clear" w:color="auto" w:fill="auto"/>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65.29</w:t>
            </w:r>
          </w:p>
        </w:tc>
      </w:tr>
      <w:tr w:rsidR="002B5A16" w:rsidRPr="005B630D" w:rsidTr="002B5A16">
        <w:tc>
          <w:tcPr>
            <w:tcW w:w="3256" w:type="dxa"/>
          </w:tcPr>
          <w:p w:rsidR="002B5A16" w:rsidRPr="008C332D" w:rsidRDefault="002B5A16" w:rsidP="002B5A16">
            <w:pPr>
              <w:rPr>
                <w:rFonts w:ascii="Arial" w:hAnsi="Arial" w:cs="Arial"/>
                <w:szCs w:val="22"/>
              </w:rPr>
            </w:pPr>
            <w:r w:rsidRPr="008C332D">
              <w:rPr>
                <w:rFonts w:ascii="Arial" w:hAnsi="Arial" w:cs="Arial"/>
                <w:szCs w:val="22"/>
              </w:rPr>
              <w:t>Net present value ($m)</w:t>
            </w:r>
          </w:p>
        </w:tc>
        <w:tc>
          <w:tcPr>
            <w:tcW w:w="1920" w:type="dxa"/>
            <w:tcBorders>
              <w:top w:val="nil"/>
              <w:left w:val="single" w:sz="4" w:space="0" w:color="auto"/>
              <w:bottom w:val="single" w:sz="4" w:space="0" w:color="auto"/>
              <w:right w:val="single" w:sz="4" w:space="0" w:color="auto"/>
            </w:tcBorders>
            <w:shd w:val="clear" w:color="auto" w:fill="auto"/>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448.09</w:t>
            </w:r>
          </w:p>
        </w:tc>
        <w:tc>
          <w:tcPr>
            <w:tcW w:w="1920" w:type="dxa"/>
            <w:tcBorders>
              <w:top w:val="single" w:sz="4" w:space="0" w:color="auto"/>
              <w:left w:val="single" w:sz="4" w:space="0" w:color="auto"/>
              <w:bottom w:val="single" w:sz="4" w:space="0" w:color="auto"/>
              <w:right w:val="single" w:sz="4" w:space="0" w:color="auto"/>
            </w:tcBorders>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236.00</w:t>
            </w:r>
          </w:p>
        </w:tc>
        <w:tc>
          <w:tcPr>
            <w:tcW w:w="1920" w:type="dxa"/>
            <w:tcBorders>
              <w:top w:val="nil"/>
              <w:left w:val="single" w:sz="4" w:space="0" w:color="auto"/>
              <w:bottom w:val="single" w:sz="4" w:space="0" w:color="auto"/>
              <w:right w:val="single" w:sz="4" w:space="0" w:color="auto"/>
            </w:tcBorders>
            <w:shd w:val="clear" w:color="auto" w:fill="auto"/>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86.13</w:t>
            </w:r>
          </w:p>
        </w:tc>
      </w:tr>
      <w:tr w:rsidR="002B5A16" w:rsidRPr="005B630D" w:rsidTr="002B5A16">
        <w:tc>
          <w:tcPr>
            <w:tcW w:w="3256" w:type="dxa"/>
          </w:tcPr>
          <w:p w:rsidR="002B5A16" w:rsidRPr="008C332D" w:rsidRDefault="002B5A16" w:rsidP="002B5A16">
            <w:pPr>
              <w:rPr>
                <w:rFonts w:ascii="Arial" w:hAnsi="Arial" w:cs="Arial"/>
                <w:szCs w:val="22"/>
              </w:rPr>
            </w:pPr>
            <w:r w:rsidRPr="008C332D">
              <w:rPr>
                <w:rFonts w:ascii="Arial" w:hAnsi="Arial" w:cs="Arial"/>
                <w:szCs w:val="22"/>
              </w:rPr>
              <w:t>Benefit-cost ratio</w:t>
            </w:r>
          </w:p>
        </w:tc>
        <w:tc>
          <w:tcPr>
            <w:tcW w:w="1920" w:type="dxa"/>
            <w:tcBorders>
              <w:top w:val="nil"/>
              <w:left w:val="single" w:sz="4" w:space="0" w:color="auto"/>
              <w:bottom w:val="single" w:sz="4" w:space="0" w:color="auto"/>
              <w:right w:val="single" w:sz="4" w:space="0" w:color="auto"/>
            </w:tcBorders>
            <w:shd w:val="clear" w:color="auto" w:fill="auto"/>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73.41</w:t>
            </w:r>
          </w:p>
        </w:tc>
        <w:tc>
          <w:tcPr>
            <w:tcW w:w="1920" w:type="dxa"/>
            <w:tcBorders>
              <w:top w:val="single" w:sz="4" w:space="0" w:color="auto"/>
              <w:left w:val="single" w:sz="4" w:space="0" w:color="auto"/>
              <w:bottom w:val="single" w:sz="4" w:space="0" w:color="auto"/>
              <w:right w:val="single" w:sz="4" w:space="0" w:color="auto"/>
            </w:tcBorders>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12.97</w:t>
            </w:r>
          </w:p>
        </w:tc>
        <w:tc>
          <w:tcPr>
            <w:tcW w:w="1920" w:type="dxa"/>
            <w:tcBorders>
              <w:top w:val="nil"/>
              <w:left w:val="single" w:sz="4" w:space="0" w:color="auto"/>
              <w:bottom w:val="single" w:sz="4" w:space="0" w:color="auto"/>
              <w:right w:val="single" w:sz="4" w:space="0" w:color="auto"/>
            </w:tcBorders>
            <w:shd w:val="clear" w:color="auto" w:fill="auto"/>
          </w:tcPr>
          <w:p w:rsidR="002B5A16" w:rsidRPr="007E78BF" w:rsidRDefault="002B5A16" w:rsidP="000D5A34">
            <w:pPr>
              <w:jc w:val="center"/>
              <w:rPr>
                <w:rFonts w:ascii="Arial" w:hAnsi="Arial" w:cs="Arial"/>
                <w:color w:val="000000" w:themeColor="text1"/>
                <w:szCs w:val="22"/>
              </w:rPr>
            </w:pPr>
            <w:r w:rsidRPr="007E78BF">
              <w:rPr>
                <w:rFonts w:ascii="Arial" w:hAnsi="Arial" w:cs="Arial"/>
                <w:szCs w:val="22"/>
              </w:rPr>
              <w:t>2.32</w:t>
            </w:r>
          </w:p>
        </w:tc>
      </w:tr>
    </w:tbl>
    <w:p w:rsidR="002B5A16" w:rsidRPr="004B6F85" w:rsidRDefault="002B5A16" w:rsidP="003147F5">
      <w:pPr>
        <w:spacing w:before="240" w:after="240"/>
        <w:rPr>
          <w:rFonts w:ascii="Arial" w:hAnsi="Arial" w:cs="Arial"/>
          <w:color w:val="000000" w:themeColor="text1"/>
        </w:rPr>
      </w:pPr>
      <w:r w:rsidRPr="004B6F85">
        <w:rPr>
          <w:rFonts w:ascii="Arial" w:hAnsi="Arial" w:cs="Arial"/>
          <w:color w:val="000000" w:themeColor="text1"/>
        </w:rPr>
        <w:t>A sensitivity analysis was undertaken with assumptions associated with scenario</w:t>
      </w:r>
      <w:r>
        <w:rPr>
          <w:rFonts w:ascii="Arial" w:hAnsi="Arial" w:cs="Arial"/>
          <w:color w:val="000000" w:themeColor="text1"/>
        </w:rPr>
        <w:t>s</w:t>
      </w:r>
      <w:r w:rsidRPr="004B6F85">
        <w:rPr>
          <w:rFonts w:ascii="Arial" w:hAnsi="Arial" w:cs="Arial"/>
          <w:color w:val="000000" w:themeColor="text1"/>
        </w:rPr>
        <w:t xml:space="preserve"> where some trees are licensed and planted overseas with royalties returned to Australia. This </w:t>
      </w:r>
      <w:r>
        <w:rPr>
          <w:rFonts w:ascii="Arial" w:hAnsi="Arial" w:cs="Arial"/>
          <w:color w:val="000000" w:themeColor="text1"/>
        </w:rPr>
        <w:t xml:space="preserve">additional benefit </w:t>
      </w:r>
      <w:r w:rsidRPr="004B6F85">
        <w:rPr>
          <w:rFonts w:ascii="Arial" w:hAnsi="Arial" w:cs="Arial"/>
          <w:color w:val="000000" w:themeColor="text1"/>
        </w:rPr>
        <w:t xml:space="preserve">scenario was based on </w:t>
      </w:r>
      <w:r>
        <w:rPr>
          <w:rFonts w:ascii="Arial" w:hAnsi="Arial" w:cs="Arial"/>
          <w:color w:val="000000" w:themeColor="text1"/>
        </w:rPr>
        <w:t>1</w:t>
      </w:r>
      <w:r w:rsidRPr="004B6F85">
        <w:rPr>
          <w:rFonts w:ascii="Arial" w:hAnsi="Arial" w:cs="Arial"/>
          <w:color w:val="000000" w:themeColor="text1"/>
        </w:rPr>
        <w:t>00,000</w:t>
      </w:r>
      <w:r>
        <w:rPr>
          <w:rFonts w:ascii="Arial" w:hAnsi="Arial" w:cs="Arial"/>
          <w:color w:val="000000" w:themeColor="text1"/>
        </w:rPr>
        <w:t xml:space="preserve"> to 200,000 </w:t>
      </w:r>
      <w:r w:rsidRPr="004B6F85">
        <w:rPr>
          <w:rFonts w:ascii="Arial" w:hAnsi="Arial" w:cs="Arial"/>
          <w:color w:val="000000" w:themeColor="text1"/>
        </w:rPr>
        <w:t>trees planted per annum commencing 2018 and extending to 2021</w:t>
      </w:r>
      <w:r>
        <w:rPr>
          <w:rFonts w:ascii="Arial" w:hAnsi="Arial" w:cs="Arial"/>
          <w:color w:val="000000" w:themeColor="text1"/>
        </w:rPr>
        <w:t>.</w:t>
      </w:r>
      <w:r w:rsidRPr="004B6F85">
        <w:rPr>
          <w:rFonts w:ascii="Arial" w:hAnsi="Arial" w:cs="Arial"/>
          <w:color w:val="000000" w:themeColor="text1"/>
        </w:rPr>
        <w:t xml:space="preserve"> </w:t>
      </w:r>
    </w:p>
    <w:p w:rsidR="002B5A16" w:rsidRPr="004A1381" w:rsidRDefault="002B5A16" w:rsidP="00A66BB1">
      <w:pPr>
        <w:spacing w:after="240"/>
        <w:rPr>
          <w:rFonts w:ascii="Arial" w:hAnsi="Arial" w:cs="Arial"/>
          <w:color w:val="000000" w:themeColor="text1"/>
        </w:rPr>
      </w:pPr>
      <w:r w:rsidRPr="004A1381">
        <w:rPr>
          <w:rFonts w:ascii="Arial" w:hAnsi="Arial" w:cs="Arial"/>
          <w:color w:val="000000" w:themeColor="text1"/>
        </w:rPr>
        <w:t xml:space="preserve">The sensitivity of the investment criteria to a scenario that includes overseas plantings is provided in Table 16. Each 100,000 trees planted in each of these four years provided an increase in the PVB of $7.6 million in present value terms.   </w:t>
      </w:r>
    </w:p>
    <w:p w:rsidR="002B5A16" w:rsidRPr="00A66BB1" w:rsidRDefault="002B5A16" w:rsidP="00A66BB1">
      <w:pPr>
        <w:pStyle w:val="Caption"/>
        <w:jc w:val="center"/>
        <w:rPr>
          <w:rFonts w:ascii="Arial" w:hAnsi="Arial"/>
          <w:b w:val="0"/>
          <w:sz w:val="22"/>
          <w:szCs w:val="22"/>
        </w:rPr>
      </w:pPr>
      <w:bookmarkStart w:id="538" w:name="_Toc487018721"/>
      <w:bookmarkStart w:id="539" w:name="_Toc478397631"/>
      <w:bookmarkStart w:id="540" w:name="_Hlk480955283"/>
      <w:r w:rsidRPr="00A66BB1">
        <w:rPr>
          <w:rFonts w:ascii="Arial" w:hAnsi="Arial"/>
          <w:b w:val="0"/>
          <w:sz w:val="22"/>
          <w:szCs w:val="22"/>
        </w:rPr>
        <w:t xml:space="preserve">Table </w:t>
      </w:r>
      <w:r w:rsidR="00913E1D">
        <w:rPr>
          <w:rFonts w:ascii="Arial" w:hAnsi="Arial"/>
          <w:b w:val="0"/>
          <w:sz w:val="22"/>
          <w:szCs w:val="22"/>
        </w:rPr>
        <w:t>16</w:t>
      </w:r>
      <w:r w:rsidRPr="00A66BB1">
        <w:rPr>
          <w:rFonts w:ascii="Arial" w:hAnsi="Arial"/>
          <w:b w:val="0"/>
          <w:sz w:val="22"/>
          <w:szCs w:val="22"/>
        </w:rPr>
        <w:t>: Sensitivity to a Scenario that includes Overseas Plantings (post 2017)</w:t>
      </w:r>
      <w:bookmarkEnd w:id="538"/>
    </w:p>
    <w:p w:rsidR="002B5A16" w:rsidRPr="00A66BB1" w:rsidRDefault="002B5A16" w:rsidP="00A66BB1">
      <w:pPr>
        <w:pStyle w:val="Caption"/>
        <w:spacing w:after="240"/>
        <w:jc w:val="center"/>
        <w:rPr>
          <w:rFonts w:ascii="Arial" w:hAnsi="Arial"/>
          <w:b w:val="0"/>
          <w:sz w:val="22"/>
          <w:szCs w:val="22"/>
        </w:rPr>
      </w:pPr>
      <w:r w:rsidRPr="00A66BB1">
        <w:rPr>
          <w:rFonts w:ascii="Arial" w:hAnsi="Arial"/>
          <w:b w:val="0"/>
          <w:sz w:val="22"/>
          <w:szCs w:val="22"/>
        </w:rPr>
        <w:t>(Total investment, 30 years, 5% discount rate)</w:t>
      </w:r>
      <w:bookmarkEnd w:id="539"/>
    </w:p>
    <w:tbl>
      <w:tblPr>
        <w:tblStyle w:val="TableGrid"/>
        <w:tblW w:w="0" w:type="auto"/>
        <w:tblInd w:w="-289" w:type="dxa"/>
        <w:tblLook w:val="04A0" w:firstRow="1" w:lastRow="0" w:firstColumn="1" w:lastColumn="0" w:noHBand="0" w:noVBand="1"/>
      </w:tblPr>
      <w:tblGrid>
        <w:gridCol w:w="3261"/>
        <w:gridCol w:w="1948"/>
        <w:gridCol w:w="2050"/>
        <w:gridCol w:w="2046"/>
      </w:tblGrid>
      <w:tr w:rsidR="002B5A16" w:rsidRPr="000D5A34" w:rsidTr="002B5A16">
        <w:tc>
          <w:tcPr>
            <w:tcW w:w="3261" w:type="dxa"/>
            <w:vMerge w:val="restart"/>
          </w:tcPr>
          <w:p w:rsidR="002B5A16" w:rsidRPr="000D5A34" w:rsidRDefault="002B5A16" w:rsidP="002B5A16">
            <w:pPr>
              <w:rPr>
                <w:rFonts w:ascii="Arial" w:hAnsi="Arial" w:cs="Arial"/>
                <w:b/>
                <w:sz w:val="22"/>
                <w:szCs w:val="22"/>
              </w:rPr>
            </w:pPr>
            <w:r w:rsidRPr="000D5A34">
              <w:rPr>
                <w:rFonts w:ascii="Arial" w:hAnsi="Arial" w:cs="Arial"/>
                <w:b/>
                <w:sz w:val="22"/>
                <w:szCs w:val="22"/>
              </w:rPr>
              <w:t>Investment Criteria</w:t>
            </w:r>
          </w:p>
        </w:tc>
        <w:tc>
          <w:tcPr>
            <w:tcW w:w="6044" w:type="dxa"/>
            <w:gridSpan w:val="3"/>
          </w:tcPr>
          <w:p w:rsidR="002B5A16" w:rsidRPr="000D5A34" w:rsidRDefault="002B5A16" w:rsidP="002B5A16">
            <w:pPr>
              <w:jc w:val="center"/>
              <w:rPr>
                <w:rFonts w:ascii="Arial" w:hAnsi="Arial" w:cs="Arial"/>
                <w:b/>
                <w:sz w:val="22"/>
                <w:szCs w:val="22"/>
              </w:rPr>
            </w:pPr>
            <w:r w:rsidRPr="000D5A34">
              <w:rPr>
                <w:rFonts w:ascii="Arial" w:hAnsi="Arial" w:cs="Arial"/>
                <w:b/>
                <w:sz w:val="22"/>
                <w:szCs w:val="22"/>
              </w:rPr>
              <w:t xml:space="preserve"> Trees planted overseas per annum from 2018 to 2022</w:t>
            </w:r>
          </w:p>
        </w:tc>
      </w:tr>
      <w:tr w:rsidR="002B5A16" w:rsidRPr="000D5A34" w:rsidTr="002B5A16">
        <w:tc>
          <w:tcPr>
            <w:tcW w:w="3261" w:type="dxa"/>
            <w:vMerge/>
          </w:tcPr>
          <w:p w:rsidR="002B5A16" w:rsidRPr="000D5A34" w:rsidRDefault="002B5A16" w:rsidP="002B5A16">
            <w:pPr>
              <w:rPr>
                <w:rFonts w:ascii="Arial" w:hAnsi="Arial" w:cs="Arial"/>
                <w:b/>
                <w:sz w:val="22"/>
                <w:szCs w:val="22"/>
              </w:rPr>
            </w:pPr>
          </w:p>
        </w:tc>
        <w:tc>
          <w:tcPr>
            <w:tcW w:w="1948" w:type="dxa"/>
          </w:tcPr>
          <w:p w:rsidR="002B5A16" w:rsidRPr="000D5A34" w:rsidRDefault="002B5A16" w:rsidP="002B5A16">
            <w:pPr>
              <w:jc w:val="center"/>
              <w:rPr>
                <w:rFonts w:ascii="Arial" w:hAnsi="Arial" w:cs="Arial"/>
                <w:b/>
                <w:sz w:val="22"/>
                <w:szCs w:val="22"/>
              </w:rPr>
            </w:pPr>
            <w:r w:rsidRPr="000D5A34">
              <w:rPr>
                <w:rFonts w:ascii="Arial" w:hAnsi="Arial" w:cs="Arial"/>
                <w:b/>
                <w:sz w:val="22"/>
                <w:szCs w:val="22"/>
              </w:rPr>
              <w:t>0</w:t>
            </w:r>
          </w:p>
        </w:tc>
        <w:tc>
          <w:tcPr>
            <w:tcW w:w="2050" w:type="dxa"/>
          </w:tcPr>
          <w:p w:rsidR="002B5A16" w:rsidRPr="000D5A34" w:rsidRDefault="002B5A16" w:rsidP="002B5A16">
            <w:pPr>
              <w:jc w:val="center"/>
              <w:rPr>
                <w:rFonts w:ascii="Arial" w:hAnsi="Arial" w:cs="Arial"/>
                <w:b/>
                <w:sz w:val="22"/>
                <w:szCs w:val="22"/>
              </w:rPr>
            </w:pPr>
            <w:r w:rsidRPr="000D5A34">
              <w:rPr>
                <w:rFonts w:ascii="Arial" w:hAnsi="Arial" w:cs="Arial"/>
                <w:b/>
                <w:sz w:val="22"/>
                <w:szCs w:val="22"/>
              </w:rPr>
              <w:t>100,000</w:t>
            </w:r>
          </w:p>
        </w:tc>
        <w:tc>
          <w:tcPr>
            <w:tcW w:w="2046" w:type="dxa"/>
          </w:tcPr>
          <w:p w:rsidR="002B5A16" w:rsidRPr="000D5A34" w:rsidRDefault="002B5A16" w:rsidP="002B5A16">
            <w:pPr>
              <w:jc w:val="center"/>
              <w:rPr>
                <w:rFonts w:ascii="Arial" w:hAnsi="Arial" w:cs="Arial"/>
                <w:b/>
                <w:sz w:val="22"/>
                <w:szCs w:val="22"/>
              </w:rPr>
            </w:pPr>
            <w:r w:rsidRPr="000D5A34">
              <w:rPr>
                <w:rFonts w:ascii="Arial" w:hAnsi="Arial" w:cs="Arial"/>
                <w:b/>
                <w:sz w:val="22"/>
                <w:szCs w:val="22"/>
              </w:rPr>
              <w:t>200,000</w:t>
            </w:r>
          </w:p>
        </w:tc>
      </w:tr>
      <w:tr w:rsidR="002B5A16" w:rsidRPr="000D5A34" w:rsidTr="002B5A16">
        <w:tc>
          <w:tcPr>
            <w:tcW w:w="3261" w:type="dxa"/>
          </w:tcPr>
          <w:p w:rsidR="002B5A16" w:rsidRPr="000D5A34" w:rsidRDefault="002B5A16" w:rsidP="002B5A16">
            <w:pPr>
              <w:rPr>
                <w:rFonts w:ascii="Arial" w:hAnsi="Arial" w:cs="Arial"/>
                <w:sz w:val="22"/>
                <w:szCs w:val="22"/>
              </w:rPr>
            </w:pPr>
            <w:bookmarkStart w:id="541" w:name="_Hlk484772741"/>
            <w:r w:rsidRPr="000D5A34">
              <w:rPr>
                <w:rFonts w:ascii="Arial" w:hAnsi="Arial" w:cs="Arial"/>
                <w:sz w:val="22"/>
                <w:szCs w:val="22"/>
              </w:rPr>
              <w:t>Present value of benefits ($m)</w:t>
            </w:r>
          </w:p>
        </w:tc>
        <w:tc>
          <w:tcPr>
            <w:tcW w:w="1948"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sz w:val="22"/>
                <w:szCs w:val="22"/>
              </w:rPr>
            </w:pPr>
            <w:r w:rsidRPr="000D5A34">
              <w:rPr>
                <w:rFonts w:ascii="Arial" w:hAnsi="Arial" w:cs="Arial"/>
                <w:sz w:val="22"/>
                <w:szCs w:val="22"/>
              </w:rPr>
              <w:t>255.71</w:t>
            </w:r>
          </w:p>
        </w:tc>
        <w:tc>
          <w:tcPr>
            <w:tcW w:w="2050"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color w:val="FF0000"/>
                <w:sz w:val="22"/>
                <w:szCs w:val="22"/>
              </w:rPr>
            </w:pPr>
            <w:r w:rsidRPr="000D5A34">
              <w:rPr>
                <w:rFonts w:ascii="Arial" w:hAnsi="Arial" w:cs="Arial"/>
                <w:sz w:val="22"/>
                <w:szCs w:val="22"/>
              </w:rPr>
              <w:t>263.29</w:t>
            </w:r>
          </w:p>
        </w:tc>
        <w:tc>
          <w:tcPr>
            <w:tcW w:w="2046"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sz w:val="22"/>
                <w:szCs w:val="22"/>
              </w:rPr>
            </w:pPr>
            <w:r w:rsidRPr="000D5A34">
              <w:rPr>
                <w:rFonts w:ascii="Arial" w:hAnsi="Arial" w:cs="Arial"/>
                <w:sz w:val="22"/>
                <w:szCs w:val="22"/>
              </w:rPr>
              <w:t>270.87</w:t>
            </w:r>
          </w:p>
        </w:tc>
      </w:tr>
      <w:tr w:rsidR="002B5A16" w:rsidRPr="000D5A34" w:rsidTr="002B5A16">
        <w:tc>
          <w:tcPr>
            <w:tcW w:w="3261" w:type="dxa"/>
          </w:tcPr>
          <w:p w:rsidR="002B5A16" w:rsidRPr="000D5A34" w:rsidRDefault="002B5A16" w:rsidP="002B5A16">
            <w:pPr>
              <w:rPr>
                <w:rFonts w:ascii="Arial" w:hAnsi="Arial" w:cs="Arial"/>
                <w:sz w:val="22"/>
                <w:szCs w:val="22"/>
              </w:rPr>
            </w:pPr>
            <w:r w:rsidRPr="000D5A34">
              <w:rPr>
                <w:rFonts w:ascii="Arial" w:hAnsi="Arial" w:cs="Arial"/>
                <w:sz w:val="22"/>
                <w:szCs w:val="22"/>
              </w:rPr>
              <w:t>Present value of costs ($m)</w:t>
            </w:r>
          </w:p>
        </w:tc>
        <w:tc>
          <w:tcPr>
            <w:tcW w:w="1948"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sz w:val="22"/>
                <w:szCs w:val="22"/>
              </w:rPr>
            </w:pPr>
            <w:r w:rsidRPr="000D5A34">
              <w:rPr>
                <w:rFonts w:ascii="Arial" w:hAnsi="Arial" w:cs="Arial"/>
                <w:sz w:val="22"/>
                <w:szCs w:val="22"/>
              </w:rPr>
              <w:t>19.71</w:t>
            </w:r>
          </w:p>
        </w:tc>
        <w:tc>
          <w:tcPr>
            <w:tcW w:w="2050"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color w:val="FF0000"/>
                <w:sz w:val="22"/>
                <w:szCs w:val="22"/>
              </w:rPr>
            </w:pPr>
            <w:r w:rsidRPr="000D5A34">
              <w:rPr>
                <w:rFonts w:ascii="Arial" w:hAnsi="Arial" w:cs="Arial"/>
                <w:sz w:val="22"/>
                <w:szCs w:val="22"/>
              </w:rPr>
              <w:t>19.71</w:t>
            </w:r>
          </w:p>
        </w:tc>
        <w:tc>
          <w:tcPr>
            <w:tcW w:w="2046"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sz w:val="22"/>
                <w:szCs w:val="22"/>
              </w:rPr>
            </w:pPr>
            <w:r w:rsidRPr="000D5A34">
              <w:rPr>
                <w:rFonts w:ascii="Arial" w:hAnsi="Arial" w:cs="Arial"/>
                <w:sz w:val="22"/>
                <w:szCs w:val="22"/>
              </w:rPr>
              <w:t>19.71</w:t>
            </w:r>
          </w:p>
        </w:tc>
      </w:tr>
      <w:tr w:rsidR="002B5A16" w:rsidRPr="000D5A34" w:rsidTr="002B5A16">
        <w:tc>
          <w:tcPr>
            <w:tcW w:w="3261" w:type="dxa"/>
          </w:tcPr>
          <w:p w:rsidR="002B5A16" w:rsidRPr="000D5A34" w:rsidRDefault="002B5A16" w:rsidP="002B5A16">
            <w:pPr>
              <w:rPr>
                <w:rFonts w:ascii="Arial" w:hAnsi="Arial" w:cs="Arial"/>
                <w:sz w:val="22"/>
                <w:szCs w:val="22"/>
              </w:rPr>
            </w:pPr>
            <w:r w:rsidRPr="000D5A34">
              <w:rPr>
                <w:rFonts w:ascii="Arial" w:hAnsi="Arial" w:cs="Arial"/>
                <w:sz w:val="22"/>
                <w:szCs w:val="22"/>
              </w:rPr>
              <w:t>Net present value ($m)</w:t>
            </w:r>
          </w:p>
        </w:tc>
        <w:tc>
          <w:tcPr>
            <w:tcW w:w="1948"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sz w:val="22"/>
                <w:szCs w:val="22"/>
              </w:rPr>
            </w:pPr>
            <w:r w:rsidRPr="000D5A34">
              <w:rPr>
                <w:rFonts w:ascii="Arial" w:hAnsi="Arial" w:cs="Arial"/>
                <w:sz w:val="22"/>
                <w:szCs w:val="22"/>
              </w:rPr>
              <w:t>236.00</w:t>
            </w:r>
          </w:p>
        </w:tc>
        <w:tc>
          <w:tcPr>
            <w:tcW w:w="2050"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color w:val="FF0000"/>
                <w:sz w:val="22"/>
                <w:szCs w:val="22"/>
              </w:rPr>
            </w:pPr>
            <w:r w:rsidRPr="000D5A34">
              <w:rPr>
                <w:rFonts w:ascii="Arial" w:hAnsi="Arial" w:cs="Arial"/>
                <w:sz w:val="22"/>
                <w:szCs w:val="22"/>
              </w:rPr>
              <w:t>243.58</w:t>
            </w:r>
          </w:p>
        </w:tc>
        <w:tc>
          <w:tcPr>
            <w:tcW w:w="2046"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sz w:val="22"/>
                <w:szCs w:val="22"/>
              </w:rPr>
            </w:pPr>
            <w:r w:rsidRPr="000D5A34">
              <w:rPr>
                <w:rFonts w:ascii="Arial" w:hAnsi="Arial" w:cs="Arial"/>
                <w:sz w:val="22"/>
                <w:szCs w:val="22"/>
              </w:rPr>
              <w:t>251.16</w:t>
            </w:r>
          </w:p>
        </w:tc>
      </w:tr>
      <w:tr w:rsidR="002B5A16" w:rsidRPr="000D5A34" w:rsidTr="002B5A16">
        <w:tc>
          <w:tcPr>
            <w:tcW w:w="3261" w:type="dxa"/>
          </w:tcPr>
          <w:p w:rsidR="002B5A16" w:rsidRPr="000D5A34" w:rsidRDefault="002B5A16" w:rsidP="002B5A16">
            <w:pPr>
              <w:rPr>
                <w:rFonts w:ascii="Arial" w:hAnsi="Arial" w:cs="Arial"/>
                <w:sz w:val="22"/>
                <w:szCs w:val="22"/>
              </w:rPr>
            </w:pPr>
            <w:r w:rsidRPr="000D5A34">
              <w:rPr>
                <w:rFonts w:ascii="Arial" w:hAnsi="Arial" w:cs="Arial"/>
                <w:sz w:val="22"/>
                <w:szCs w:val="22"/>
              </w:rPr>
              <w:t>Benefit-cost ratio</w:t>
            </w:r>
          </w:p>
        </w:tc>
        <w:tc>
          <w:tcPr>
            <w:tcW w:w="1948"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sz w:val="22"/>
                <w:szCs w:val="22"/>
              </w:rPr>
            </w:pPr>
            <w:r w:rsidRPr="000D5A34">
              <w:rPr>
                <w:rFonts w:ascii="Arial" w:hAnsi="Arial" w:cs="Arial"/>
                <w:sz w:val="22"/>
                <w:szCs w:val="22"/>
              </w:rPr>
              <w:t>12.97</w:t>
            </w:r>
          </w:p>
        </w:tc>
        <w:tc>
          <w:tcPr>
            <w:tcW w:w="2050"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color w:val="FF0000"/>
                <w:sz w:val="22"/>
                <w:szCs w:val="22"/>
              </w:rPr>
            </w:pPr>
            <w:r w:rsidRPr="000D5A34">
              <w:rPr>
                <w:rFonts w:ascii="Arial" w:hAnsi="Arial" w:cs="Arial"/>
                <w:sz w:val="22"/>
                <w:szCs w:val="22"/>
              </w:rPr>
              <w:t>13.36</w:t>
            </w:r>
          </w:p>
        </w:tc>
        <w:tc>
          <w:tcPr>
            <w:tcW w:w="2046" w:type="dxa"/>
            <w:tcBorders>
              <w:top w:val="single" w:sz="4" w:space="0" w:color="auto"/>
              <w:left w:val="single" w:sz="4" w:space="0" w:color="auto"/>
              <w:bottom w:val="single" w:sz="4" w:space="0" w:color="auto"/>
              <w:right w:val="single" w:sz="4" w:space="0" w:color="auto"/>
            </w:tcBorders>
          </w:tcPr>
          <w:p w:rsidR="002B5A16" w:rsidRPr="000D5A34" w:rsidRDefault="002B5A16" w:rsidP="000D5A34">
            <w:pPr>
              <w:jc w:val="center"/>
              <w:rPr>
                <w:rFonts w:ascii="Arial" w:hAnsi="Arial" w:cs="Arial"/>
                <w:sz w:val="22"/>
                <w:szCs w:val="22"/>
              </w:rPr>
            </w:pPr>
            <w:r w:rsidRPr="000D5A34">
              <w:rPr>
                <w:rFonts w:ascii="Arial" w:hAnsi="Arial" w:cs="Arial"/>
                <w:sz w:val="22"/>
                <w:szCs w:val="22"/>
              </w:rPr>
              <w:t>13.74</w:t>
            </w:r>
          </w:p>
        </w:tc>
      </w:tr>
    </w:tbl>
    <w:bookmarkEnd w:id="540"/>
    <w:bookmarkEnd w:id="541"/>
    <w:p w:rsidR="002B5A16" w:rsidRDefault="002B5A16" w:rsidP="003147F5">
      <w:pPr>
        <w:spacing w:before="240" w:after="240"/>
        <w:rPr>
          <w:rFonts w:ascii="Arial" w:hAnsi="Arial" w:cs="Arial"/>
        </w:rPr>
      </w:pPr>
      <w:r>
        <w:rPr>
          <w:rFonts w:ascii="Arial" w:hAnsi="Arial" w:cs="Arial"/>
        </w:rPr>
        <w:t xml:space="preserve">Table 17 shows the sensitivity of the investment criteria to the assumed QG plum price. The investment criteria reported in Table 19 demonstrate the critical importance of the QG plum price. The breakeven price ratio for the investment is about 1.75 x. However, it should be noted that Benefits 1A and 1B still contribute positive benefits even at 1.75 times the average plum price. The negative net present value in Table 17 at this reduced price is driven by the higher capital costs that are incurred by the new areas of fully planted QG trees (Benefit 1C) and the associated potential losses that could have been incurred. </w:t>
      </w:r>
    </w:p>
    <w:p w:rsidR="002B5A16" w:rsidRPr="00A66BB1" w:rsidRDefault="002B5A16" w:rsidP="002B5A16">
      <w:pPr>
        <w:pStyle w:val="Caption"/>
        <w:jc w:val="center"/>
        <w:rPr>
          <w:rFonts w:ascii="Arial" w:hAnsi="Arial"/>
          <w:b w:val="0"/>
          <w:i/>
          <w:color w:val="000000" w:themeColor="text1"/>
          <w:sz w:val="22"/>
          <w:szCs w:val="22"/>
        </w:rPr>
      </w:pPr>
      <w:bookmarkStart w:id="542" w:name="_Toc487018722"/>
      <w:bookmarkStart w:id="543" w:name="_Toc478397632"/>
      <w:r w:rsidRPr="00A66BB1">
        <w:rPr>
          <w:rFonts w:ascii="Arial" w:hAnsi="Arial"/>
          <w:b w:val="0"/>
          <w:color w:val="000000" w:themeColor="text1"/>
          <w:sz w:val="22"/>
          <w:szCs w:val="22"/>
        </w:rPr>
        <w:t xml:space="preserve">Table </w:t>
      </w:r>
      <w:r w:rsidR="00913E1D" w:rsidRPr="000D5A34">
        <w:rPr>
          <w:rFonts w:ascii="Arial" w:hAnsi="Arial"/>
          <w:b w:val="0"/>
          <w:color w:val="000000" w:themeColor="text1"/>
          <w:sz w:val="22"/>
          <w:szCs w:val="22"/>
        </w:rPr>
        <w:t>17</w:t>
      </w:r>
      <w:r w:rsidRPr="00A66BB1">
        <w:rPr>
          <w:rFonts w:ascii="Arial" w:hAnsi="Arial"/>
          <w:b w:val="0"/>
          <w:color w:val="000000" w:themeColor="text1"/>
          <w:sz w:val="22"/>
          <w:szCs w:val="22"/>
        </w:rPr>
        <w:t>: Sensitivity to Australian QG Plum Price</w:t>
      </w:r>
      <w:bookmarkEnd w:id="542"/>
    </w:p>
    <w:p w:rsidR="002B5A16" w:rsidRDefault="002B5A16" w:rsidP="00A66BB1">
      <w:pPr>
        <w:spacing w:after="240"/>
        <w:jc w:val="center"/>
        <w:rPr>
          <w:rFonts w:ascii="Arial" w:hAnsi="Arial" w:cs="Arial"/>
        </w:rPr>
      </w:pPr>
      <w:r w:rsidRPr="007C0E36">
        <w:rPr>
          <w:rFonts w:ascii="Arial" w:hAnsi="Arial" w:cs="Arial"/>
        </w:rPr>
        <w:t xml:space="preserve">(Total investment, </w:t>
      </w:r>
      <w:r>
        <w:rPr>
          <w:rFonts w:ascii="Arial" w:hAnsi="Arial" w:cs="Arial"/>
        </w:rPr>
        <w:t>30</w:t>
      </w:r>
      <w:r w:rsidRPr="007C0E36">
        <w:rPr>
          <w:rFonts w:ascii="Arial" w:hAnsi="Arial" w:cs="Arial"/>
        </w:rPr>
        <w:t xml:space="preserve"> years, 5% discount rate)</w:t>
      </w:r>
    </w:p>
    <w:tbl>
      <w:tblPr>
        <w:tblStyle w:val="TableGrid"/>
        <w:tblW w:w="0" w:type="auto"/>
        <w:tblInd w:w="-289" w:type="dxa"/>
        <w:tblLook w:val="04A0" w:firstRow="1" w:lastRow="0" w:firstColumn="1" w:lastColumn="0" w:noHBand="0" w:noVBand="1"/>
      </w:tblPr>
      <w:tblGrid>
        <w:gridCol w:w="3261"/>
        <w:gridCol w:w="1453"/>
        <w:gridCol w:w="1453"/>
        <w:gridCol w:w="1453"/>
        <w:gridCol w:w="1453"/>
      </w:tblGrid>
      <w:tr w:rsidR="002B5A16" w:rsidRPr="005B630D" w:rsidTr="002B5A16">
        <w:tc>
          <w:tcPr>
            <w:tcW w:w="3261" w:type="dxa"/>
            <w:vMerge w:val="restart"/>
          </w:tcPr>
          <w:p w:rsidR="002B5A16" w:rsidRPr="003D2E04" w:rsidRDefault="002B5A16" w:rsidP="002B5A16">
            <w:pPr>
              <w:rPr>
                <w:rFonts w:ascii="Arial" w:hAnsi="Arial" w:cs="Arial"/>
                <w:b/>
                <w:sz w:val="22"/>
                <w:szCs w:val="22"/>
              </w:rPr>
            </w:pPr>
            <w:r w:rsidRPr="00F76E2A">
              <w:rPr>
                <w:rFonts w:ascii="Arial" w:hAnsi="Arial" w:cs="Arial"/>
                <w:b/>
              </w:rPr>
              <w:t>Investment Criteria</w:t>
            </w:r>
          </w:p>
        </w:tc>
        <w:tc>
          <w:tcPr>
            <w:tcW w:w="5812" w:type="dxa"/>
            <w:gridSpan w:val="4"/>
          </w:tcPr>
          <w:p w:rsidR="002B5A16" w:rsidRPr="003D2E04" w:rsidRDefault="002B5A16" w:rsidP="002B5A16">
            <w:pPr>
              <w:jc w:val="center"/>
              <w:rPr>
                <w:rFonts w:ascii="Arial" w:hAnsi="Arial" w:cs="Arial"/>
                <w:b/>
              </w:rPr>
            </w:pPr>
            <w:r w:rsidRPr="00F76E2A">
              <w:rPr>
                <w:rFonts w:ascii="Arial" w:hAnsi="Arial" w:cs="Arial"/>
                <w:b/>
              </w:rPr>
              <w:t>Price Relativity to Existing Plum</w:t>
            </w:r>
            <w:r>
              <w:rPr>
                <w:rFonts w:ascii="Arial" w:hAnsi="Arial" w:cs="Arial"/>
                <w:b/>
              </w:rPr>
              <w:t xml:space="preserve"> Varietie</w:t>
            </w:r>
            <w:r w:rsidRPr="00F76E2A">
              <w:rPr>
                <w:rFonts w:ascii="Arial" w:hAnsi="Arial" w:cs="Arial"/>
                <w:b/>
              </w:rPr>
              <w:t xml:space="preserve">s </w:t>
            </w:r>
          </w:p>
        </w:tc>
      </w:tr>
      <w:tr w:rsidR="002B5A16" w:rsidRPr="005B630D" w:rsidTr="002B5A16">
        <w:tc>
          <w:tcPr>
            <w:tcW w:w="3261" w:type="dxa"/>
            <w:vMerge/>
          </w:tcPr>
          <w:p w:rsidR="002B5A16" w:rsidRPr="003D2E04" w:rsidRDefault="002B5A16" w:rsidP="002B5A16">
            <w:pPr>
              <w:rPr>
                <w:rFonts w:ascii="Arial" w:hAnsi="Arial" w:cs="Arial"/>
                <w:b/>
                <w:sz w:val="22"/>
                <w:szCs w:val="22"/>
              </w:rPr>
            </w:pPr>
          </w:p>
        </w:tc>
        <w:tc>
          <w:tcPr>
            <w:tcW w:w="1453" w:type="dxa"/>
          </w:tcPr>
          <w:p w:rsidR="002B5A16" w:rsidRPr="003D2E04" w:rsidRDefault="002B5A16" w:rsidP="002B5A16">
            <w:pPr>
              <w:jc w:val="center"/>
              <w:rPr>
                <w:rFonts w:ascii="Arial" w:hAnsi="Arial" w:cs="Arial"/>
                <w:b/>
                <w:sz w:val="22"/>
                <w:szCs w:val="22"/>
              </w:rPr>
            </w:pPr>
            <w:r w:rsidRPr="00F76E2A">
              <w:rPr>
                <w:rFonts w:ascii="Arial" w:hAnsi="Arial" w:cs="Arial"/>
                <w:b/>
              </w:rPr>
              <w:t>1.</w:t>
            </w:r>
            <w:r>
              <w:rPr>
                <w:rFonts w:ascii="Arial" w:hAnsi="Arial" w:cs="Arial"/>
                <w:b/>
              </w:rPr>
              <w:t>7</w:t>
            </w:r>
            <w:r w:rsidRPr="00F76E2A">
              <w:rPr>
                <w:rFonts w:ascii="Arial" w:hAnsi="Arial" w:cs="Arial"/>
                <w:b/>
              </w:rPr>
              <w:t>5x</w:t>
            </w:r>
          </w:p>
        </w:tc>
        <w:tc>
          <w:tcPr>
            <w:tcW w:w="1453" w:type="dxa"/>
          </w:tcPr>
          <w:p w:rsidR="002B5A16" w:rsidRPr="003D2E04" w:rsidRDefault="002B5A16" w:rsidP="002B5A16">
            <w:pPr>
              <w:jc w:val="center"/>
              <w:rPr>
                <w:rFonts w:ascii="Arial" w:hAnsi="Arial" w:cs="Arial"/>
                <w:b/>
                <w:sz w:val="22"/>
                <w:szCs w:val="22"/>
              </w:rPr>
            </w:pPr>
            <w:r>
              <w:rPr>
                <w:rFonts w:ascii="Arial" w:hAnsi="Arial" w:cs="Arial"/>
                <w:b/>
                <w:sz w:val="22"/>
                <w:szCs w:val="22"/>
              </w:rPr>
              <w:t xml:space="preserve">2x </w:t>
            </w:r>
          </w:p>
        </w:tc>
        <w:tc>
          <w:tcPr>
            <w:tcW w:w="1453" w:type="dxa"/>
          </w:tcPr>
          <w:p w:rsidR="002B5A16" w:rsidRPr="003D2E04" w:rsidRDefault="002B5A16" w:rsidP="002B5A16">
            <w:pPr>
              <w:jc w:val="center"/>
              <w:rPr>
                <w:rFonts w:ascii="Arial" w:hAnsi="Arial" w:cs="Arial"/>
                <w:b/>
                <w:sz w:val="22"/>
                <w:szCs w:val="22"/>
              </w:rPr>
            </w:pPr>
            <w:r>
              <w:rPr>
                <w:rFonts w:ascii="Arial" w:hAnsi="Arial" w:cs="Arial"/>
                <w:b/>
              </w:rPr>
              <w:t>3x (Base)</w:t>
            </w:r>
          </w:p>
        </w:tc>
        <w:tc>
          <w:tcPr>
            <w:tcW w:w="1453" w:type="dxa"/>
          </w:tcPr>
          <w:p w:rsidR="002B5A16" w:rsidRDefault="002B5A16" w:rsidP="002B5A16">
            <w:pPr>
              <w:jc w:val="center"/>
              <w:rPr>
                <w:rFonts w:ascii="Arial" w:hAnsi="Arial" w:cs="Arial"/>
                <w:b/>
              </w:rPr>
            </w:pPr>
            <w:r>
              <w:rPr>
                <w:rFonts w:ascii="Arial" w:hAnsi="Arial" w:cs="Arial"/>
                <w:b/>
              </w:rPr>
              <w:t>4x</w:t>
            </w:r>
          </w:p>
        </w:tc>
      </w:tr>
      <w:tr w:rsidR="002B5A16" w:rsidRPr="005B630D" w:rsidTr="002B5A16">
        <w:tc>
          <w:tcPr>
            <w:tcW w:w="3261" w:type="dxa"/>
          </w:tcPr>
          <w:p w:rsidR="002B5A16" w:rsidRPr="004C1ED1" w:rsidRDefault="002B5A16" w:rsidP="002B5A16">
            <w:pPr>
              <w:rPr>
                <w:rFonts w:ascii="Arial" w:hAnsi="Arial" w:cs="Arial"/>
                <w:sz w:val="22"/>
                <w:szCs w:val="22"/>
              </w:rPr>
            </w:pPr>
            <w:r w:rsidRPr="004C1ED1">
              <w:rPr>
                <w:rFonts w:ascii="Arial" w:hAnsi="Arial" w:cs="Arial"/>
                <w:sz w:val="22"/>
                <w:szCs w:val="22"/>
              </w:rPr>
              <w:t>Present value of benefits ($m)</w:t>
            </w:r>
          </w:p>
        </w:tc>
        <w:tc>
          <w:tcPr>
            <w:tcW w:w="1453" w:type="dxa"/>
          </w:tcPr>
          <w:p w:rsidR="002B5A16" w:rsidRPr="00811DCA" w:rsidRDefault="002B5A16" w:rsidP="000D5A34">
            <w:pPr>
              <w:jc w:val="center"/>
              <w:rPr>
                <w:rFonts w:ascii="Arial" w:hAnsi="Arial" w:cs="Arial"/>
                <w:sz w:val="22"/>
                <w:szCs w:val="22"/>
              </w:rPr>
            </w:pPr>
            <w:r w:rsidRPr="00811DCA">
              <w:rPr>
                <w:rFonts w:ascii="Arial" w:hAnsi="Arial" w:cs="Arial"/>
                <w:sz w:val="22"/>
                <w:szCs w:val="22"/>
              </w:rPr>
              <w:t>19.62</w:t>
            </w:r>
          </w:p>
        </w:tc>
        <w:tc>
          <w:tcPr>
            <w:tcW w:w="1453" w:type="dxa"/>
            <w:tcBorders>
              <w:top w:val="single" w:sz="4" w:space="0" w:color="auto"/>
              <w:left w:val="single" w:sz="4" w:space="0" w:color="auto"/>
              <w:bottom w:val="single" w:sz="4" w:space="0" w:color="auto"/>
              <w:right w:val="single" w:sz="4" w:space="0" w:color="auto"/>
            </w:tcBorders>
          </w:tcPr>
          <w:p w:rsidR="002B5A16" w:rsidRPr="00811DCA" w:rsidRDefault="002B5A16" w:rsidP="000D5A34">
            <w:pPr>
              <w:jc w:val="center"/>
              <w:rPr>
                <w:rFonts w:ascii="Arial" w:hAnsi="Arial" w:cs="Arial"/>
                <w:sz w:val="22"/>
                <w:szCs w:val="22"/>
              </w:rPr>
            </w:pPr>
            <w:r w:rsidRPr="00811DCA">
              <w:rPr>
                <w:rFonts w:ascii="Arial" w:hAnsi="Arial" w:cs="Arial"/>
                <w:sz w:val="22"/>
                <w:szCs w:val="22"/>
              </w:rPr>
              <w:t>66.38</w:t>
            </w:r>
          </w:p>
        </w:tc>
        <w:tc>
          <w:tcPr>
            <w:tcW w:w="1453" w:type="dxa"/>
            <w:tcBorders>
              <w:top w:val="single" w:sz="4" w:space="0" w:color="auto"/>
              <w:left w:val="single" w:sz="4" w:space="0" w:color="auto"/>
              <w:bottom w:val="single" w:sz="4" w:space="0" w:color="auto"/>
              <w:right w:val="single" w:sz="4" w:space="0" w:color="auto"/>
            </w:tcBorders>
          </w:tcPr>
          <w:p w:rsidR="002B5A16" w:rsidRPr="00811DCA" w:rsidRDefault="002B5A16" w:rsidP="000D5A34">
            <w:pPr>
              <w:jc w:val="center"/>
              <w:rPr>
                <w:rFonts w:ascii="Arial" w:hAnsi="Arial" w:cs="Arial"/>
                <w:sz w:val="22"/>
                <w:szCs w:val="22"/>
              </w:rPr>
            </w:pPr>
            <w:r w:rsidRPr="00811DCA">
              <w:rPr>
                <w:rFonts w:ascii="Arial" w:hAnsi="Arial" w:cs="Arial"/>
                <w:sz w:val="22"/>
                <w:szCs w:val="22"/>
              </w:rPr>
              <w:t>255.71</w:t>
            </w:r>
          </w:p>
        </w:tc>
        <w:tc>
          <w:tcPr>
            <w:tcW w:w="1453" w:type="dxa"/>
          </w:tcPr>
          <w:p w:rsidR="002B5A16" w:rsidRPr="00811DCA" w:rsidRDefault="002B5A16" w:rsidP="000D5A34">
            <w:pPr>
              <w:jc w:val="center"/>
              <w:rPr>
                <w:rFonts w:ascii="Arial" w:hAnsi="Arial" w:cs="Arial"/>
                <w:sz w:val="22"/>
                <w:szCs w:val="22"/>
              </w:rPr>
            </w:pPr>
            <w:r w:rsidRPr="00811DCA">
              <w:rPr>
                <w:rFonts w:ascii="Arial" w:hAnsi="Arial" w:cs="Arial"/>
                <w:sz w:val="22"/>
                <w:szCs w:val="22"/>
              </w:rPr>
              <w:t>445.03</w:t>
            </w:r>
          </w:p>
        </w:tc>
      </w:tr>
      <w:tr w:rsidR="002B5A16" w:rsidRPr="005B630D" w:rsidTr="002B5A16">
        <w:tc>
          <w:tcPr>
            <w:tcW w:w="3261" w:type="dxa"/>
          </w:tcPr>
          <w:p w:rsidR="002B5A16" w:rsidRPr="004C1ED1" w:rsidRDefault="002B5A16" w:rsidP="002B5A16">
            <w:pPr>
              <w:rPr>
                <w:rFonts w:ascii="Arial" w:hAnsi="Arial" w:cs="Arial"/>
                <w:sz w:val="22"/>
                <w:szCs w:val="22"/>
              </w:rPr>
            </w:pPr>
            <w:r w:rsidRPr="004C1ED1">
              <w:rPr>
                <w:rFonts w:ascii="Arial" w:hAnsi="Arial" w:cs="Arial"/>
                <w:sz w:val="22"/>
                <w:szCs w:val="22"/>
              </w:rPr>
              <w:t>Present value of costs ($m)</w:t>
            </w:r>
          </w:p>
        </w:tc>
        <w:tc>
          <w:tcPr>
            <w:tcW w:w="1453" w:type="dxa"/>
          </w:tcPr>
          <w:p w:rsidR="002B5A16" w:rsidRPr="00811DCA" w:rsidRDefault="002B5A16" w:rsidP="000D5A34">
            <w:pPr>
              <w:jc w:val="center"/>
              <w:rPr>
                <w:rFonts w:ascii="Arial" w:hAnsi="Arial" w:cs="Arial"/>
                <w:sz w:val="22"/>
                <w:szCs w:val="22"/>
              </w:rPr>
            </w:pPr>
            <w:r w:rsidRPr="00811DCA">
              <w:rPr>
                <w:rFonts w:ascii="Arial" w:hAnsi="Arial" w:cs="Arial"/>
                <w:sz w:val="22"/>
                <w:szCs w:val="22"/>
              </w:rPr>
              <w:t>19.71</w:t>
            </w:r>
          </w:p>
        </w:tc>
        <w:tc>
          <w:tcPr>
            <w:tcW w:w="1453" w:type="dxa"/>
            <w:tcBorders>
              <w:top w:val="single" w:sz="4" w:space="0" w:color="auto"/>
              <w:left w:val="single" w:sz="4" w:space="0" w:color="auto"/>
              <w:bottom w:val="single" w:sz="4" w:space="0" w:color="auto"/>
              <w:right w:val="single" w:sz="4" w:space="0" w:color="auto"/>
            </w:tcBorders>
          </w:tcPr>
          <w:p w:rsidR="002B5A16" w:rsidRPr="00811DCA" w:rsidRDefault="002B5A16" w:rsidP="000D5A34">
            <w:pPr>
              <w:jc w:val="center"/>
              <w:rPr>
                <w:rFonts w:ascii="Arial" w:hAnsi="Arial" w:cs="Arial"/>
                <w:sz w:val="22"/>
                <w:szCs w:val="22"/>
              </w:rPr>
            </w:pPr>
            <w:r w:rsidRPr="00811DCA">
              <w:rPr>
                <w:rFonts w:ascii="Arial" w:hAnsi="Arial" w:cs="Arial"/>
                <w:sz w:val="22"/>
                <w:szCs w:val="22"/>
              </w:rPr>
              <w:t>19.71</w:t>
            </w:r>
          </w:p>
        </w:tc>
        <w:tc>
          <w:tcPr>
            <w:tcW w:w="1453" w:type="dxa"/>
            <w:tcBorders>
              <w:top w:val="single" w:sz="4" w:space="0" w:color="auto"/>
              <w:left w:val="single" w:sz="4" w:space="0" w:color="auto"/>
              <w:bottom w:val="single" w:sz="4" w:space="0" w:color="auto"/>
              <w:right w:val="single" w:sz="4" w:space="0" w:color="auto"/>
            </w:tcBorders>
          </w:tcPr>
          <w:p w:rsidR="002B5A16" w:rsidRPr="00811DCA" w:rsidRDefault="002B5A16" w:rsidP="000D5A34">
            <w:pPr>
              <w:jc w:val="center"/>
              <w:rPr>
                <w:rFonts w:ascii="Arial" w:hAnsi="Arial" w:cs="Arial"/>
                <w:sz w:val="22"/>
                <w:szCs w:val="22"/>
              </w:rPr>
            </w:pPr>
            <w:r w:rsidRPr="00811DCA">
              <w:rPr>
                <w:rFonts w:ascii="Arial" w:hAnsi="Arial" w:cs="Arial"/>
                <w:sz w:val="22"/>
                <w:szCs w:val="22"/>
              </w:rPr>
              <w:t>19.71</w:t>
            </w:r>
          </w:p>
        </w:tc>
        <w:tc>
          <w:tcPr>
            <w:tcW w:w="1453" w:type="dxa"/>
          </w:tcPr>
          <w:p w:rsidR="002B5A16" w:rsidRPr="00811DCA" w:rsidRDefault="002B5A16" w:rsidP="000D5A34">
            <w:pPr>
              <w:jc w:val="center"/>
              <w:rPr>
                <w:rFonts w:ascii="Arial" w:hAnsi="Arial" w:cs="Arial"/>
                <w:sz w:val="22"/>
                <w:szCs w:val="22"/>
              </w:rPr>
            </w:pPr>
            <w:r w:rsidRPr="00811DCA">
              <w:rPr>
                <w:rFonts w:ascii="Arial" w:hAnsi="Arial" w:cs="Arial"/>
                <w:sz w:val="22"/>
                <w:szCs w:val="22"/>
              </w:rPr>
              <w:t>19.71</w:t>
            </w:r>
          </w:p>
        </w:tc>
      </w:tr>
      <w:tr w:rsidR="002B5A16" w:rsidRPr="005B630D" w:rsidTr="002B5A16">
        <w:tc>
          <w:tcPr>
            <w:tcW w:w="3261" w:type="dxa"/>
          </w:tcPr>
          <w:p w:rsidR="002B5A16" w:rsidRPr="004C1ED1" w:rsidRDefault="002B5A16" w:rsidP="002B5A16">
            <w:pPr>
              <w:rPr>
                <w:rFonts w:ascii="Arial" w:hAnsi="Arial" w:cs="Arial"/>
                <w:sz w:val="22"/>
                <w:szCs w:val="22"/>
              </w:rPr>
            </w:pPr>
            <w:r w:rsidRPr="004C1ED1">
              <w:rPr>
                <w:rFonts w:ascii="Arial" w:hAnsi="Arial" w:cs="Arial"/>
                <w:sz w:val="22"/>
                <w:szCs w:val="22"/>
              </w:rPr>
              <w:t>Net present value ($m)</w:t>
            </w:r>
          </w:p>
        </w:tc>
        <w:tc>
          <w:tcPr>
            <w:tcW w:w="1453" w:type="dxa"/>
          </w:tcPr>
          <w:p w:rsidR="002B5A16" w:rsidRPr="00811DCA" w:rsidRDefault="002B5A16" w:rsidP="000D5A34">
            <w:pPr>
              <w:jc w:val="center"/>
              <w:rPr>
                <w:rFonts w:ascii="Arial" w:hAnsi="Arial" w:cs="Arial"/>
                <w:sz w:val="22"/>
                <w:szCs w:val="22"/>
              </w:rPr>
            </w:pPr>
            <w:r w:rsidRPr="00811DCA">
              <w:rPr>
                <w:rFonts w:ascii="Arial" w:hAnsi="Arial" w:cs="Arial"/>
                <w:sz w:val="22"/>
                <w:szCs w:val="22"/>
              </w:rPr>
              <w:t>-0.09</w:t>
            </w:r>
          </w:p>
        </w:tc>
        <w:tc>
          <w:tcPr>
            <w:tcW w:w="1453" w:type="dxa"/>
            <w:tcBorders>
              <w:top w:val="single" w:sz="4" w:space="0" w:color="auto"/>
              <w:left w:val="single" w:sz="4" w:space="0" w:color="auto"/>
              <w:bottom w:val="single" w:sz="4" w:space="0" w:color="auto"/>
              <w:right w:val="single" w:sz="4" w:space="0" w:color="auto"/>
            </w:tcBorders>
          </w:tcPr>
          <w:p w:rsidR="002B5A16" w:rsidRPr="00811DCA" w:rsidRDefault="002B5A16" w:rsidP="000D5A34">
            <w:pPr>
              <w:jc w:val="center"/>
              <w:rPr>
                <w:rFonts w:ascii="Arial" w:hAnsi="Arial" w:cs="Arial"/>
                <w:sz w:val="22"/>
                <w:szCs w:val="22"/>
              </w:rPr>
            </w:pPr>
            <w:r w:rsidRPr="00811DCA">
              <w:rPr>
                <w:rFonts w:ascii="Arial" w:hAnsi="Arial" w:cs="Arial"/>
                <w:sz w:val="22"/>
                <w:szCs w:val="22"/>
              </w:rPr>
              <w:t>46.68</w:t>
            </w:r>
          </w:p>
        </w:tc>
        <w:tc>
          <w:tcPr>
            <w:tcW w:w="1453" w:type="dxa"/>
            <w:tcBorders>
              <w:top w:val="single" w:sz="4" w:space="0" w:color="auto"/>
              <w:left w:val="single" w:sz="4" w:space="0" w:color="auto"/>
              <w:bottom w:val="single" w:sz="4" w:space="0" w:color="auto"/>
              <w:right w:val="single" w:sz="4" w:space="0" w:color="auto"/>
            </w:tcBorders>
          </w:tcPr>
          <w:p w:rsidR="002B5A16" w:rsidRPr="00811DCA" w:rsidRDefault="002B5A16" w:rsidP="000D5A34">
            <w:pPr>
              <w:jc w:val="center"/>
              <w:rPr>
                <w:rFonts w:ascii="Arial" w:hAnsi="Arial" w:cs="Arial"/>
                <w:sz w:val="22"/>
                <w:szCs w:val="22"/>
              </w:rPr>
            </w:pPr>
            <w:r w:rsidRPr="00811DCA">
              <w:rPr>
                <w:rFonts w:ascii="Arial" w:hAnsi="Arial" w:cs="Arial"/>
                <w:sz w:val="22"/>
                <w:szCs w:val="22"/>
              </w:rPr>
              <w:t>236.00</w:t>
            </w:r>
          </w:p>
        </w:tc>
        <w:tc>
          <w:tcPr>
            <w:tcW w:w="1453" w:type="dxa"/>
          </w:tcPr>
          <w:p w:rsidR="002B5A16" w:rsidRPr="00811DCA" w:rsidRDefault="002B5A16" w:rsidP="000D5A34">
            <w:pPr>
              <w:jc w:val="center"/>
              <w:rPr>
                <w:rFonts w:ascii="Arial" w:hAnsi="Arial" w:cs="Arial"/>
                <w:sz w:val="22"/>
                <w:szCs w:val="22"/>
              </w:rPr>
            </w:pPr>
            <w:r w:rsidRPr="00811DCA">
              <w:rPr>
                <w:rFonts w:ascii="Arial" w:hAnsi="Arial" w:cs="Arial"/>
                <w:sz w:val="22"/>
                <w:szCs w:val="22"/>
              </w:rPr>
              <w:t>425.33</w:t>
            </w:r>
          </w:p>
        </w:tc>
      </w:tr>
      <w:tr w:rsidR="002B5A16" w:rsidRPr="005B630D" w:rsidTr="002B5A16">
        <w:tc>
          <w:tcPr>
            <w:tcW w:w="3261" w:type="dxa"/>
          </w:tcPr>
          <w:p w:rsidR="002B5A16" w:rsidRPr="004C1ED1" w:rsidRDefault="002B5A16" w:rsidP="002B5A16">
            <w:pPr>
              <w:rPr>
                <w:rFonts w:ascii="Arial" w:hAnsi="Arial" w:cs="Arial"/>
                <w:sz w:val="22"/>
                <w:szCs w:val="22"/>
              </w:rPr>
            </w:pPr>
            <w:r w:rsidRPr="004C1ED1">
              <w:rPr>
                <w:rFonts w:ascii="Arial" w:hAnsi="Arial" w:cs="Arial"/>
                <w:sz w:val="22"/>
                <w:szCs w:val="22"/>
              </w:rPr>
              <w:t>Benefit-cost ratio</w:t>
            </w:r>
          </w:p>
        </w:tc>
        <w:tc>
          <w:tcPr>
            <w:tcW w:w="1453" w:type="dxa"/>
          </w:tcPr>
          <w:p w:rsidR="002B5A16" w:rsidRPr="00811DCA" w:rsidRDefault="002B5A16" w:rsidP="000D5A34">
            <w:pPr>
              <w:jc w:val="center"/>
              <w:rPr>
                <w:rFonts w:ascii="Arial" w:hAnsi="Arial" w:cs="Arial"/>
                <w:sz w:val="22"/>
                <w:szCs w:val="22"/>
              </w:rPr>
            </w:pPr>
            <w:r w:rsidRPr="00811DCA">
              <w:rPr>
                <w:rFonts w:ascii="Arial" w:hAnsi="Arial" w:cs="Arial"/>
                <w:sz w:val="22"/>
                <w:szCs w:val="22"/>
              </w:rPr>
              <w:t>1.00</w:t>
            </w:r>
          </w:p>
        </w:tc>
        <w:tc>
          <w:tcPr>
            <w:tcW w:w="1453" w:type="dxa"/>
            <w:tcBorders>
              <w:top w:val="single" w:sz="4" w:space="0" w:color="auto"/>
              <w:left w:val="single" w:sz="4" w:space="0" w:color="auto"/>
              <w:bottom w:val="single" w:sz="4" w:space="0" w:color="auto"/>
              <w:right w:val="single" w:sz="4" w:space="0" w:color="auto"/>
            </w:tcBorders>
          </w:tcPr>
          <w:p w:rsidR="002B5A16" w:rsidRPr="00811DCA" w:rsidRDefault="002B5A16" w:rsidP="000D5A34">
            <w:pPr>
              <w:jc w:val="center"/>
              <w:rPr>
                <w:rFonts w:ascii="Arial" w:hAnsi="Arial" w:cs="Arial"/>
                <w:sz w:val="22"/>
                <w:szCs w:val="22"/>
              </w:rPr>
            </w:pPr>
            <w:r w:rsidRPr="00811DCA">
              <w:rPr>
                <w:rFonts w:ascii="Arial" w:hAnsi="Arial" w:cs="Arial"/>
                <w:sz w:val="22"/>
                <w:szCs w:val="22"/>
              </w:rPr>
              <w:t>3.37</w:t>
            </w:r>
          </w:p>
        </w:tc>
        <w:tc>
          <w:tcPr>
            <w:tcW w:w="1453" w:type="dxa"/>
            <w:tcBorders>
              <w:top w:val="single" w:sz="4" w:space="0" w:color="auto"/>
              <w:left w:val="single" w:sz="4" w:space="0" w:color="auto"/>
              <w:bottom w:val="single" w:sz="4" w:space="0" w:color="auto"/>
              <w:right w:val="single" w:sz="4" w:space="0" w:color="auto"/>
            </w:tcBorders>
          </w:tcPr>
          <w:p w:rsidR="002B5A16" w:rsidRPr="00811DCA" w:rsidRDefault="002B5A16" w:rsidP="000D5A34">
            <w:pPr>
              <w:jc w:val="center"/>
              <w:rPr>
                <w:rFonts w:ascii="Arial" w:hAnsi="Arial" w:cs="Arial"/>
                <w:sz w:val="22"/>
                <w:szCs w:val="22"/>
              </w:rPr>
            </w:pPr>
            <w:r w:rsidRPr="00811DCA">
              <w:rPr>
                <w:rFonts w:ascii="Arial" w:hAnsi="Arial" w:cs="Arial"/>
                <w:sz w:val="22"/>
                <w:szCs w:val="22"/>
              </w:rPr>
              <w:t>12.97</w:t>
            </w:r>
          </w:p>
        </w:tc>
        <w:tc>
          <w:tcPr>
            <w:tcW w:w="1453" w:type="dxa"/>
          </w:tcPr>
          <w:p w:rsidR="002B5A16" w:rsidRPr="00811DCA" w:rsidRDefault="002B5A16" w:rsidP="000D5A34">
            <w:pPr>
              <w:jc w:val="center"/>
              <w:rPr>
                <w:rFonts w:ascii="Arial" w:hAnsi="Arial" w:cs="Arial"/>
                <w:sz w:val="22"/>
                <w:szCs w:val="22"/>
              </w:rPr>
            </w:pPr>
            <w:r w:rsidRPr="00811DCA">
              <w:rPr>
                <w:rFonts w:ascii="Arial" w:hAnsi="Arial" w:cs="Arial"/>
                <w:sz w:val="22"/>
                <w:szCs w:val="22"/>
              </w:rPr>
              <w:t>22.58</w:t>
            </w:r>
          </w:p>
        </w:tc>
      </w:tr>
    </w:tbl>
    <w:p w:rsidR="002B5A16" w:rsidRDefault="002B5A16" w:rsidP="003147F5">
      <w:pPr>
        <w:spacing w:after="240"/>
        <w:rPr>
          <w:rFonts w:ascii="Arial" w:hAnsi="Arial" w:cs="Arial"/>
        </w:rPr>
      </w:pPr>
    </w:p>
    <w:p w:rsidR="000D5A34" w:rsidRDefault="000D5A34" w:rsidP="003147F5">
      <w:pPr>
        <w:spacing w:after="240"/>
        <w:rPr>
          <w:rFonts w:ascii="Arial" w:hAnsi="Arial" w:cs="Arial"/>
        </w:rPr>
      </w:pPr>
    </w:p>
    <w:p w:rsidR="000D5A34" w:rsidRDefault="000D5A34" w:rsidP="003147F5">
      <w:pPr>
        <w:spacing w:after="240"/>
        <w:rPr>
          <w:rFonts w:ascii="Arial" w:hAnsi="Arial" w:cs="Arial"/>
        </w:rPr>
      </w:pPr>
    </w:p>
    <w:p w:rsidR="000D5A34" w:rsidRDefault="000D5A34" w:rsidP="003147F5">
      <w:pPr>
        <w:spacing w:after="240"/>
        <w:rPr>
          <w:rFonts w:ascii="Arial" w:hAnsi="Arial" w:cs="Arial"/>
        </w:rPr>
      </w:pPr>
    </w:p>
    <w:bookmarkEnd w:id="543"/>
    <w:p w:rsidR="002B5A16" w:rsidRPr="003B1CB9" w:rsidRDefault="002B5A16" w:rsidP="00A66BB1">
      <w:pPr>
        <w:widowControl w:val="0"/>
        <w:spacing w:after="240"/>
        <w:mirrorIndents/>
        <w:rPr>
          <w:rFonts w:ascii="Arial" w:hAnsi="Arial" w:cs="Arial"/>
          <w:b/>
          <w:sz w:val="24"/>
        </w:rPr>
      </w:pPr>
      <w:r w:rsidRPr="003B1CB9">
        <w:rPr>
          <w:rFonts w:ascii="Arial" w:hAnsi="Arial" w:cs="Arial"/>
          <w:b/>
          <w:sz w:val="24"/>
        </w:rPr>
        <w:t xml:space="preserve">Confidence Ratings and other Findings </w:t>
      </w:r>
    </w:p>
    <w:p w:rsidR="002B5A16" w:rsidRPr="003B1CB9" w:rsidRDefault="002B5A16" w:rsidP="00A66BB1">
      <w:pPr>
        <w:widowControl w:val="0"/>
        <w:spacing w:after="240"/>
        <w:mirrorIndents/>
        <w:rPr>
          <w:rFonts w:ascii="Arial" w:hAnsi="Arial" w:cs="Arial"/>
        </w:rPr>
      </w:pPr>
      <w:r w:rsidRPr="003B1CB9">
        <w:rPr>
          <w:rFonts w:ascii="Arial" w:hAnsi="Arial" w:cs="Arial"/>
        </w:rPr>
        <w:t xml:space="preserve">The results produced are highly dependent on the assumptions made, </w:t>
      </w:r>
      <w:r>
        <w:rPr>
          <w:rFonts w:ascii="Arial" w:hAnsi="Arial" w:cs="Arial"/>
        </w:rPr>
        <w:t xml:space="preserve">some </w:t>
      </w:r>
      <w:r w:rsidRPr="003B1CB9">
        <w:rPr>
          <w:rFonts w:ascii="Arial" w:hAnsi="Arial" w:cs="Arial"/>
        </w:rPr>
        <w:t xml:space="preserve">of which are uncertain.  There are two factors that warrant recognition. The first factor is the coverage of benefits. Where there are multiple types of benefits it </w:t>
      </w:r>
      <w:r>
        <w:rPr>
          <w:rFonts w:ascii="Arial" w:hAnsi="Arial" w:cs="Arial"/>
        </w:rPr>
        <w:t xml:space="preserve">has not been possible to </w:t>
      </w:r>
      <w:r w:rsidRPr="003B1CB9">
        <w:rPr>
          <w:rFonts w:ascii="Arial" w:hAnsi="Arial" w:cs="Arial"/>
        </w:rPr>
        <w:t xml:space="preserve">quantify all the benefits that may be linked to the investment. The second factor involves uncertainty regarding the assumptions made, including the linkage between the research and the assumed outcomes. </w:t>
      </w:r>
    </w:p>
    <w:p w:rsidR="002B5A16" w:rsidRPr="003B1CB9" w:rsidRDefault="002B5A16" w:rsidP="00A66BB1">
      <w:pPr>
        <w:widowControl w:val="0"/>
        <w:spacing w:after="240"/>
        <w:mirrorIndents/>
        <w:rPr>
          <w:rFonts w:ascii="Arial" w:hAnsi="Arial" w:cs="Arial"/>
        </w:rPr>
      </w:pPr>
      <w:r w:rsidRPr="003B1CB9">
        <w:rPr>
          <w:rFonts w:ascii="Arial" w:hAnsi="Arial" w:cs="Arial"/>
        </w:rPr>
        <w:t xml:space="preserve">A confidence rating based on these two factors has been given to the results of the investment analysis (Table </w:t>
      </w:r>
      <w:r>
        <w:rPr>
          <w:rFonts w:ascii="Arial" w:hAnsi="Arial" w:cs="Arial"/>
        </w:rPr>
        <w:t>18</w:t>
      </w:r>
      <w:r w:rsidRPr="003B1CB9">
        <w:rPr>
          <w:rFonts w:ascii="Arial" w:hAnsi="Arial" w:cs="Arial"/>
        </w:rPr>
        <w:t>). The rating categories used are High, Medium and Low, where:</w:t>
      </w:r>
    </w:p>
    <w:p w:rsidR="002B5A16" w:rsidRPr="003B1CB9" w:rsidRDefault="002B5A16" w:rsidP="002B5A16">
      <w:pPr>
        <w:widowControl w:val="0"/>
        <w:ind w:left="1418" w:hanging="1323"/>
        <w:mirrorIndents/>
        <w:rPr>
          <w:rFonts w:ascii="Arial" w:hAnsi="Arial" w:cs="Arial"/>
        </w:rPr>
      </w:pPr>
      <w:r w:rsidRPr="003B1CB9">
        <w:rPr>
          <w:rFonts w:ascii="Arial" w:hAnsi="Arial" w:cs="Arial"/>
        </w:rPr>
        <w:t>High:</w:t>
      </w:r>
      <w:r w:rsidRPr="003B1CB9">
        <w:rPr>
          <w:rFonts w:ascii="Arial" w:hAnsi="Arial" w:cs="Arial"/>
        </w:rPr>
        <w:tab/>
        <w:t xml:space="preserve">denotes a good coverage of benefits or reasonable confidence in the assumptions made </w:t>
      </w:r>
    </w:p>
    <w:p w:rsidR="002B5A16" w:rsidRPr="003B1CB9" w:rsidRDefault="002B5A16" w:rsidP="002B5A16">
      <w:pPr>
        <w:widowControl w:val="0"/>
        <w:ind w:left="1418" w:hanging="1323"/>
        <w:mirrorIndents/>
        <w:rPr>
          <w:rFonts w:ascii="Arial" w:hAnsi="Arial" w:cs="Arial"/>
        </w:rPr>
      </w:pPr>
      <w:r w:rsidRPr="003B1CB9">
        <w:rPr>
          <w:rFonts w:ascii="Arial" w:hAnsi="Arial" w:cs="Arial"/>
        </w:rPr>
        <w:t>Medium:</w:t>
      </w:r>
      <w:r w:rsidRPr="003B1CB9">
        <w:rPr>
          <w:rFonts w:ascii="Arial" w:hAnsi="Arial" w:cs="Arial"/>
        </w:rPr>
        <w:tab/>
        <w:t xml:space="preserve">denotes only a reasonable coverage of benefits or some uncertainties in assumptions made </w:t>
      </w:r>
    </w:p>
    <w:p w:rsidR="002B5A16" w:rsidRPr="003B1CB9" w:rsidRDefault="002B5A16" w:rsidP="002B5A16">
      <w:pPr>
        <w:widowControl w:val="0"/>
        <w:ind w:left="1418" w:hanging="1323"/>
        <w:mirrorIndents/>
        <w:rPr>
          <w:rFonts w:ascii="Arial" w:hAnsi="Arial" w:cs="Arial"/>
        </w:rPr>
      </w:pPr>
      <w:r w:rsidRPr="003B1CB9">
        <w:rPr>
          <w:rFonts w:ascii="Arial" w:hAnsi="Arial" w:cs="Arial"/>
        </w:rPr>
        <w:t>Low:</w:t>
      </w:r>
      <w:r w:rsidRPr="003B1CB9">
        <w:rPr>
          <w:rFonts w:ascii="Arial" w:hAnsi="Arial" w:cs="Arial"/>
        </w:rPr>
        <w:tab/>
        <w:t xml:space="preserve">denotes a poor coverage of benefits or many uncertainties in assumptions made </w:t>
      </w:r>
    </w:p>
    <w:p w:rsidR="002B5A16" w:rsidRPr="00A66BB1" w:rsidRDefault="002B5A16" w:rsidP="00A66BB1">
      <w:pPr>
        <w:pStyle w:val="Caption"/>
        <w:keepNext/>
        <w:spacing w:before="240" w:after="240"/>
        <w:jc w:val="center"/>
        <w:rPr>
          <w:rFonts w:ascii="Arial" w:hAnsi="Arial"/>
          <w:b w:val="0"/>
          <w:i/>
          <w:sz w:val="22"/>
          <w:szCs w:val="22"/>
        </w:rPr>
      </w:pPr>
      <w:bookmarkStart w:id="544" w:name="_Toc478397633"/>
      <w:bookmarkStart w:id="545" w:name="_Toc487018723"/>
      <w:r w:rsidRPr="00A66BB1">
        <w:rPr>
          <w:rFonts w:ascii="Arial" w:hAnsi="Arial"/>
          <w:b w:val="0"/>
          <w:sz w:val="22"/>
          <w:szCs w:val="22"/>
        </w:rPr>
        <w:t xml:space="preserve">Table </w:t>
      </w:r>
      <w:r w:rsidR="00913E1D" w:rsidRPr="000D5A34">
        <w:rPr>
          <w:rFonts w:ascii="Arial" w:hAnsi="Arial"/>
          <w:b w:val="0"/>
          <w:sz w:val="22"/>
          <w:szCs w:val="22"/>
        </w:rPr>
        <w:t>18</w:t>
      </w:r>
      <w:r w:rsidRPr="00A66BB1">
        <w:rPr>
          <w:rFonts w:ascii="Arial" w:hAnsi="Arial"/>
          <w:b w:val="0"/>
          <w:sz w:val="22"/>
          <w:szCs w:val="22"/>
        </w:rPr>
        <w:t>: Confidence in Analysis of Cluster</w:t>
      </w:r>
      <w:bookmarkEnd w:id="544"/>
      <w:bookmarkEnd w:id="545"/>
    </w:p>
    <w:tbl>
      <w:tblPr>
        <w:tblStyle w:val="TableGrid"/>
        <w:tblW w:w="0" w:type="auto"/>
        <w:tblInd w:w="1951" w:type="dxa"/>
        <w:tblLook w:val="04A0" w:firstRow="1" w:lastRow="0" w:firstColumn="1" w:lastColumn="0" w:noHBand="0" w:noVBand="1"/>
      </w:tblPr>
      <w:tblGrid>
        <w:gridCol w:w="2551"/>
        <w:gridCol w:w="2552"/>
      </w:tblGrid>
      <w:tr w:rsidR="002B5A16" w:rsidRPr="005B630D" w:rsidTr="002B5A16">
        <w:tc>
          <w:tcPr>
            <w:tcW w:w="2551" w:type="dxa"/>
            <w:vAlign w:val="center"/>
          </w:tcPr>
          <w:p w:rsidR="002B5A16" w:rsidRPr="003D2E04" w:rsidRDefault="002B5A16" w:rsidP="002B5A16">
            <w:pPr>
              <w:widowControl w:val="0"/>
              <w:mirrorIndents/>
              <w:jc w:val="center"/>
              <w:rPr>
                <w:rFonts w:ascii="Arial" w:hAnsi="Arial" w:cs="Arial"/>
                <w:b/>
                <w:sz w:val="22"/>
                <w:szCs w:val="22"/>
              </w:rPr>
            </w:pPr>
            <w:r w:rsidRPr="00F76E2A">
              <w:rPr>
                <w:rFonts w:ascii="Arial" w:hAnsi="Arial" w:cs="Arial"/>
                <w:b/>
              </w:rPr>
              <w:t>Coverage of Benefits</w:t>
            </w:r>
          </w:p>
        </w:tc>
        <w:tc>
          <w:tcPr>
            <w:tcW w:w="2552" w:type="dxa"/>
            <w:vAlign w:val="center"/>
          </w:tcPr>
          <w:p w:rsidR="002B5A16" w:rsidRPr="003D2E04" w:rsidRDefault="002B5A16" w:rsidP="002B5A16">
            <w:pPr>
              <w:widowControl w:val="0"/>
              <w:mirrorIndents/>
              <w:jc w:val="center"/>
              <w:rPr>
                <w:rFonts w:ascii="Arial" w:hAnsi="Arial" w:cs="Arial"/>
                <w:b/>
                <w:sz w:val="22"/>
                <w:szCs w:val="22"/>
              </w:rPr>
            </w:pPr>
            <w:r w:rsidRPr="00F76E2A">
              <w:rPr>
                <w:rFonts w:ascii="Arial" w:hAnsi="Arial" w:cs="Arial"/>
                <w:b/>
              </w:rPr>
              <w:t>Confidence in Assumptions</w:t>
            </w:r>
          </w:p>
        </w:tc>
      </w:tr>
      <w:tr w:rsidR="002B5A16" w:rsidRPr="005B630D" w:rsidTr="002B5A16">
        <w:trPr>
          <w:trHeight w:val="432"/>
        </w:trPr>
        <w:tc>
          <w:tcPr>
            <w:tcW w:w="2551" w:type="dxa"/>
            <w:vAlign w:val="center"/>
          </w:tcPr>
          <w:p w:rsidR="002B5A16" w:rsidRPr="00AE25D1" w:rsidRDefault="002B5A16" w:rsidP="002B5A16">
            <w:pPr>
              <w:widowControl w:val="0"/>
              <w:mirrorIndents/>
              <w:jc w:val="center"/>
              <w:rPr>
                <w:rFonts w:ascii="Arial" w:hAnsi="Arial" w:cs="Arial"/>
                <w:sz w:val="22"/>
                <w:szCs w:val="22"/>
              </w:rPr>
            </w:pPr>
            <w:r w:rsidRPr="00AE25D1">
              <w:rPr>
                <w:rFonts w:ascii="Arial" w:hAnsi="Arial" w:cs="Arial"/>
                <w:sz w:val="22"/>
                <w:szCs w:val="22"/>
              </w:rPr>
              <w:t>Medium</w:t>
            </w:r>
          </w:p>
        </w:tc>
        <w:tc>
          <w:tcPr>
            <w:tcW w:w="2552" w:type="dxa"/>
            <w:vAlign w:val="center"/>
          </w:tcPr>
          <w:p w:rsidR="002B5A16" w:rsidRPr="00AE25D1" w:rsidRDefault="002B5A16" w:rsidP="002B5A16">
            <w:pPr>
              <w:widowControl w:val="0"/>
              <w:mirrorIndents/>
              <w:jc w:val="center"/>
              <w:rPr>
                <w:rFonts w:ascii="Arial" w:hAnsi="Arial" w:cs="Arial"/>
                <w:sz w:val="22"/>
                <w:szCs w:val="22"/>
              </w:rPr>
            </w:pPr>
            <w:r w:rsidRPr="00AE25D1">
              <w:rPr>
                <w:rFonts w:ascii="Arial" w:hAnsi="Arial" w:cs="Arial"/>
                <w:sz w:val="22"/>
                <w:szCs w:val="22"/>
              </w:rPr>
              <w:t>Medium</w:t>
            </w:r>
          </w:p>
        </w:tc>
      </w:tr>
    </w:tbl>
    <w:p w:rsidR="002B5A16" w:rsidRPr="003B1CB9" w:rsidRDefault="002B5A16" w:rsidP="00B46842">
      <w:pPr>
        <w:spacing w:after="240"/>
        <w:rPr>
          <w:rFonts w:ascii="Arial" w:hAnsi="Arial" w:cs="Arial"/>
          <w:sz w:val="18"/>
          <w:szCs w:val="18"/>
        </w:rPr>
      </w:pPr>
    </w:p>
    <w:p w:rsidR="002B5A16" w:rsidRDefault="002B5A16" w:rsidP="000D5A34">
      <w:pPr>
        <w:rPr>
          <w:rFonts w:ascii="Arial" w:hAnsi="Arial" w:cs="Arial"/>
        </w:rPr>
      </w:pPr>
      <w:r w:rsidRPr="003B1CB9">
        <w:rPr>
          <w:rFonts w:ascii="Arial" w:hAnsi="Arial" w:cs="Arial"/>
        </w:rPr>
        <w:t xml:space="preserve">Coverage of benefits was assessed as </w:t>
      </w:r>
      <w:r>
        <w:rPr>
          <w:rFonts w:ascii="Arial" w:hAnsi="Arial" w:cs="Arial"/>
        </w:rPr>
        <w:t>Medium a</w:t>
      </w:r>
      <w:r w:rsidRPr="003B1CB9">
        <w:rPr>
          <w:rFonts w:ascii="Arial" w:hAnsi="Arial" w:cs="Arial"/>
        </w:rPr>
        <w:t xml:space="preserve">s </w:t>
      </w:r>
      <w:r>
        <w:rPr>
          <w:rFonts w:ascii="Arial" w:hAnsi="Arial" w:cs="Arial"/>
        </w:rPr>
        <w:t xml:space="preserve">the overseas licensing of trees was not included. Also, any future benefits from confirmation of health benefits, adding value opportunities and potential exports of fresh plums have not been included. </w:t>
      </w:r>
      <w:r w:rsidRPr="003B1CB9">
        <w:rPr>
          <w:rFonts w:ascii="Arial" w:hAnsi="Arial" w:cs="Arial"/>
        </w:rPr>
        <w:t xml:space="preserve">Confidence in assumptions </w:t>
      </w:r>
      <w:r>
        <w:rPr>
          <w:rFonts w:ascii="Arial" w:hAnsi="Arial" w:cs="Arial"/>
        </w:rPr>
        <w:t>that were used in the valuation were considered medium, largely due to uncertainty regarding future prices.</w:t>
      </w:r>
    </w:p>
    <w:p w:rsidR="000D5A34" w:rsidRDefault="000D5A34" w:rsidP="000D5A34"/>
    <w:p w:rsidR="000D5A34" w:rsidRDefault="000D5A34" w:rsidP="000D5A34"/>
    <w:p w:rsidR="002B5A16" w:rsidRPr="00B46842" w:rsidRDefault="002B5A16" w:rsidP="00B46842">
      <w:pPr>
        <w:spacing w:after="240"/>
        <w:rPr>
          <w:rFonts w:ascii="Arial" w:hAnsi="Arial" w:cs="Arial"/>
          <w:b/>
          <w:sz w:val="40"/>
          <w:szCs w:val="40"/>
        </w:rPr>
      </w:pPr>
      <w:bookmarkStart w:id="546" w:name="_Toc487018703"/>
      <w:r w:rsidRPr="00B46842">
        <w:rPr>
          <w:rFonts w:ascii="Arial" w:hAnsi="Arial" w:cs="Arial"/>
          <w:b/>
          <w:sz w:val="40"/>
          <w:szCs w:val="40"/>
        </w:rPr>
        <w:t>8. Conclusions</w:t>
      </w:r>
      <w:bookmarkEnd w:id="546"/>
      <w:r w:rsidRPr="00B46842">
        <w:rPr>
          <w:rFonts w:ascii="Arial" w:hAnsi="Arial" w:cs="Arial"/>
          <w:b/>
          <w:sz w:val="40"/>
          <w:szCs w:val="40"/>
        </w:rPr>
        <w:t xml:space="preserve"> </w:t>
      </w:r>
    </w:p>
    <w:p w:rsidR="002B5A16" w:rsidRDefault="002B5A16" w:rsidP="00B46842">
      <w:pPr>
        <w:spacing w:after="240"/>
        <w:rPr>
          <w:rFonts w:ascii="Arial" w:hAnsi="Arial" w:cs="Arial"/>
          <w:color w:val="000000" w:themeColor="text1"/>
        </w:rPr>
      </w:pPr>
      <w:r>
        <w:rPr>
          <w:rFonts w:ascii="Arial" w:hAnsi="Arial" w:cs="Arial"/>
          <w:color w:val="000000" w:themeColor="text1"/>
        </w:rPr>
        <w:t xml:space="preserve">The plum breeding investment can be regarded as a most rewarding R&amp;D investment by DAF and others. The market success of the QG plum to date has demonstrated that persevering with a targeted objective over a long period of time can result in outcomes that are successful and surprising.     </w:t>
      </w:r>
    </w:p>
    <w:p w:rsidR="002B5A16" w:rsidRPr="00BB0F9D" w:rsidRDefault="002B5A16" w:rsidP="00B46842">
      <w:pPr>
        <w:spacing w:after="240"/>
        <w:rPr>
          <w:rFonts w:ascii="Arial" w:hAnsi="Arial" w:cs="Arial"/>
          <w:color w:val="000000" w:themeColor="text1"/>
        </w:rPr>
      </w:pPr>
      <w:r w:rsidRPr="00BB0F9D">
        <w:rPr>
          <w:rFonts w:ascii="Arial" w:hAnsi="Arial" w:cs="Arial"/>
          <w:color w:val="000000" w:themeColor="text1"/>
        </w:rPr>
        <w:t xml:space="preserve">Funding for the investment in </w:t>
      </w:r>
      <w:r>
        <w:rPr>
          <w:rFonts w:ascii="Arial" w:hAnsi="Arial" w:cs="Arial"/>
          <w:color w:val="000000" w:themeColor="text1"/>
        </w:rPr>
        <w:t>DAF’s plum breeding program o</w:t>
      </w:r>
      <w:r w:rsidRPr="00BB0F9D">
        <w:rPr>
          <w:rFonts w:ascii="Arial" w:hAnsi="Arial" w:cs="Arial"/>
          <w:color w:val="000000" w:themeColor="text1"/>
        </w:rPr>
        <w:t>ver the period 198</w:t>
      </w:r>
      <w:r>
        <w:rPr>
          <w:rFonts w:ascii="Arial" w:hAnsi="Arial" w:cs="Arial"/>
          <w:color w:val="000000" w:themeColor="text1"/>
        </w:rPr>
        <w:t>1</w:t>
      </w:r>
      <w:r w:rsidRPr="00BB0F9D">
        <w:rPr>
          <w:rFonts w:ascii="Arial" w:hAnsi="Arial" w:cs="Arial"/>
          <w:color w:val="000000" w:themeColor="text1"/>
        </w:rPr>
        <w:t xml:space="preserve"> to 200</w:t>
      </w:r>
      <w:r>
        <w:rPr>
          <w:rFonts w:ascii="Arial" w:hAnsi="Arial" w:cs="Arial"/>
          <w:color w:val="000000" w:themeColor="text1"/>
        </w:rPr>
        <w:t>7</w:t>
      </w:r>
      <w:r w:rsidRPr="00BB0F9D">
        <w:rPr>
          <w:rFonts w:ascii="Arial" w:hAnsi="Arial" w:cs="Arial"/>
          <w:color w:val="000000" w:themeColor="text1"/>
        </w:rPr>
        <w:t xml:space="preserve"> totalled $</w:t>
      </w:r>
      <w:r>
        <w:rPr>
          <w:rFonts w:ascii="Arial" w:hAnsi="Arial" w:cs="Arial"/>
          <w:color w:val="000000" w:themeColor="text1"/>
        </w:rPr>
        <w:t>19.7</w:t>
      </w:r>
      <w:r w:rsidRPr="00BB0F9D">
        <w:rPr>
          <w:rFonts w:ascii="Arial" w:hAnsi="Arial" w:cs="Arial"/>
          <w:color w:val="000000" w:themeColor="text1"/>
        </w:rPr>
        <w:t xml:space="preserve"> million (present value terms) and produced aggregate total expected benefits of $</w:t>
      </w:r>
      <w:r>
        <w:rPr>
          <w:rFonts w:ascii="Arial" w:hAnsi="Arial" w:cs="Arial"/>
          <w:color w:val="000000" w:themeColor="text1"/>
        </w:rPr>
        <w:t xml:space="preserve">255.71 </w:t>
      </w:r>
      <w:r w:rsidRPr="00BB0F9D">
        <w:rPr>
          <w:rFonts w:ascii="Arial" w:hAnsi="Arial" w:cs="Arial"/>
          <w:color w:val="000000" w:themeColor="text1"/>
        </w:rPr>
        <w:t>million (present value terms). This gave a net present value of $</w:t>
      </w:r>
      <w:r>
        <w:rPr>
          <w:rFonts w:ascii="Arial" w:hAnsi="Arial" w:cs="Arial"/>
          <w:color w:val="000000" w:themeColor="text1"/>
        </w:rPr>
        <w:t>236</w:t>
      </w:r>
      <w:r w:rsidRPr="00BB0F9D">
        <w:rPr>
          <w:rFonts w:ascii="Arial" w:hAnsi="Arial" w:cs="Arial"/>
          <w:color w:val="000000" w:themeColor="text1"/>
        </w:rPr>
        <w:t xml:space="preserve"> million, a benefit-cost ratio of </w:t>
      </w:r>
      <w:r>
        <w:rPr>
          <w:rFonts w:ascii="Arial" w:hAnsi="Arial" w:cs="Arial"/>
          <w:color w:val="000000" w:themeColor="text1"/>
        </w:rPr>
        <w:t>approximately 13 to 1</w:t>
      </w:r>
      <w:r w:rsidRPr="00BB0F9D">
        <w:rPr>
          <w:rFonts w:ascii="Arial" w:hAnsi="Arial" w:cs="Arial"/>
          <w:color w:val="000000" w:themeColor="text1"/>
        </w:rPr>
        <w:t xml:space="preserve">, an internal rate of return of </w:t>
      </w:r>
      <w:r>
        <w:rPr>
          <w:rFonts w:ascii="Arial" w:hAnsi="Arial" w:cs="Arial"/>
          <w:color w:val="000000" w:themeColor="text1"/>
        </w:rPr>
        <w:t>12.4</w:t>
      </w:r>
      <w:r w:rsidRPr="00BB0F9D">
        <w:rPr>
          <w:rFonts w:ascii="Arial" w:hAnsi="Arial" w:cs="Arial"/>
          <w:color w:val="000000" w:themeColor="text1"/>
        </w:rPr>
        <w:t xml:space="preserve">% and a modified internal rate of return of </w:t>
      </w:r>
      <w:r>
        <w:rPr>
          <w:rFonts w:ascii="Arial" w:hAnsi="Arial" w:cs="Arial"/>
          <w:color w:val="000000" w:themeColor="text1"/>
        </w:rPr>
        <w:t xml:space="preserve">14.7 </w:t>
      </w:r>
      <w:r w:rsidRPr="00BB0F9D">
        <w:rPr>
          <w:rFonts w:ascii="Arial" w:hAnsi="Arial" w:cs="Arial"/>
          <w:color w:val="000000" w:themeColor="text1"/>
        </w:rPr>
        <w:t>%.</w:t>
      </w:r>
    </w:p>
    <w:p w:rsidR="002B5A16" w:rsidRDefault="002B5A16" w:rsidP="00B46842">
      <w:pPr>
        <w:rPr>
          <w:rFonts w:ascii="Arial" w:hAnsi="Arial" w:cs="Arial"/>
        </w:rPr>
      </w:pPr>
      <w:r>
        <w:rPr>
          <w:rFonts w:ascii="Arial" w:hAnsi="Arial" w:cs="Arial"/>
        </w:rPr>
        <w:t xml:space="preserve">The longevity of the price premium for the QG plum is a key assumption and may erode over time due to increased planting if imbalances in demand and supply occur. However, such imbalances can be minimised due to Nutrafruit’s licensing arrangements whereby they can manage the supply side for the QG. Also, the scenario of additional Australian plantings post-2019, could increase the performance of the investment to a high extent if supply is managed to meet the perceived demand. If significant numbers of trees are planted overseas, the resulting royalty stream also could significantly increase investment performance. </w:t>
      </w:r>
    </w:p>
    <w:p w:rsidR="002B5A16" w:rsidRDefault="002B5A16" w:rsidP="00B46842">
      <w:pPr>
        <w:spacing w:after="240"/>
        <w:rPr>
          <w:rFonts w:ascii="Arial" w:hAnsi="Arial" w:cs="Arial"/>
        </w:rPr>
      </w:pPr>
      <w:r w:rsidRPr="00C96400">
        <w:rPr>
          <w:rFonts w:ascii="Arial" w:hAnsi="Arial" w:cs="Arial"/>
        </w:rPr>
        <w:t xml:space="preserve">The investment criteria are likely to represent a conservative estimate of the value of the plum breeding investment </w:t>
      </w:r>
      <w:r>
        <w:rPr>
          <w:rFonts w:ascii="Arial" w:hAnsi="Arial" w:cs="Arial"/>
        </w:rPr>
        <w:t xml:space="preserve">as the explicit potential </w:t>
      </w:r>
      <w:r w:rsidRPr="00C96400">
        <w:rPr>
          <w:rFonts w:ascii="Arial" w:hAnsi="Arial" w:cs="Arial"/>
        </w:rPr>
        <w:t xml:space="preserve">health benefit </w:t>
      </w:r>
      <w:r>
        <w:rPr>
          <w:rFonts w:ascii="Arial" w:hAnsi="Arial" w:cs="Arial"/>
        </w:rPr>
        <w:t xml:space="preserve">from the consumption of the QG plum </w:t>
      </w:r>
      <w:r w:rsidRPr="00C96400">
        <w:rPr>
          <w:rFonts w:ascii="Arial" w:hAnsi="Arial" w:cs="Arial"/>
        </w:rPr>
        <w:t>ha</w:t>
      </w:r>
      <w:r>
        <w:rPr>
          <w:rFonts w:ascii="Arial" w:hAnsi="Arial" w:cs="Arial"/>
        </w:rPr>
        <w:t xml:space="preserve">s not been </w:t>
      </w:r>
      <w:r w:rsidRPr="00C96400">
        <w:rPr>
          <w:rFonts w:ascii="Arial" w:hAnsi="Arial" w:cs="Arial"/>
        </w:rPr>
        <w:t>included</w:t>
      </w:r>
      <w:r>
        <w:rPr>
          <w:rFonts w:ascii="Arial" w:hAnsi="Arial" w:cs="Arial"/>
        </w:rPr>
        <w:t xml:space="preserve"> explicitly in the evaluation</w:t>
      </w:r>
      <w:r w:rsidRPr="00C96400">
        <w:rPr>
          <w:rFonts w:ascii="Arial" w:hAnsi="Arial" w:cs="Arial"/>
        </w:rPr>
        <w:t xml:space="preserve">. </w:t>
      </w:r>
      <w:r>
        <w:rPr>
          <w:rFonts w:ascii="Arial" w:hAnsi="Arial" w:cs="Arial"/>
        </w:rPr>
        <w:t xml:space="preserve">Health benefits based on the development of processed products also could utilise QG plums not suitable to the fresh market, so further increasing returns to growers. </w:t>
      </w:r>
    </w:p>
    <w:p w:rsidR="002B5A16" w:rsidRPr="00B46842" w:rsidRDefault="002B5A16" w:rsidP="00B46842">
      <w:pPr>
        <w:spacing w:after="240"/>
        <w:rPr>
          <w:rFonts w:ascii="Arial" w:hAnsi="Arial" w:cs="Arial"/>
          <w:b/>
          <w:sz w:val="40"/>
          <w:szCs w:val="40"/>
        </w:rPr>
      </w:pPr>
      <w:bookmarkStart w:id="547" w:name="_Toc476634724"/>
      <w:bookmarkStart w:id="548" w:name="_Toc487018704"/>
      <w:r w:rsidRPr="00B46842">
        <w:rPr>
          <w:rFonts w:ascii="Arial" w:hAnsi="Arial" w:cs="Arial"/>
          <w:b/>
          <w:sz w:val="40"/>
          <w:szCs w:val="40"/>
        </w:rPr>
        <w:t>References</w:t>
      </w:r>
      <w:bookmarkEnd w:id="547"/>
      <w:bookmarkEnd w:id="548"/>
    </w:p>
    <w:p w:rsidR="002B5A16" w:rsidRPr="000C1968" w:rsidRDefault="002B5A16" w:rsidP="002B5A16">
      <w:pPr>
        <w:rPr>
          <w:rFonts w:ascii="Arial" w:hAnsi="Arial" w:cs="Arial"/>
        </w:rPr>
      </w:pPr>
      <w:r w:rsidRPr="000C1968">
        <w:rPr>
          <w:rFonts w:ascii="Arial" w:hAnsi="Arial" w:cs="Arial"/>
        </w:rPr>
        <w:t>CRRDC (2014) Impact Assessment Guidelines – Version 1, May 2014, CRRDC, Canberra</w:t>
      </w:r>
    </w:p>
    <w:p w:rsidR="002B5A16" w:rsidRPr="000C1968" w:rsidRDefault="00402DE3" w:rsidP="000D5A34">
      <w:pPr>
        <w:ind w:left="720"/>
        <w:rPr>
          <w:rFonts w:ascii="Arial" w:hAnsi="Arial" w:cs="Arial"/>
        </w:rPr>
      </w:pPr>
      <w:hyperlink r:id="rId48" w:history="1">
        <w:r w:rsidR="000D5A34" w:rsidRPr="00545B8D">
          <w:rPr>
            <w:rStyle w:val="Hyperlink"/>
            <w:rFonts w:ascii="Arial" w:hAnsi="Arial" w:cs="Arial"/>
          </w:rPr>
          <w:t>http://www.ruralrdc.com.au/wp-content/uploads/2016/04/CRRDC-Impact-Assessment-Guidelines-V.1-070514.pdf</w:t>
        </w:r>
      </w:hyperlink>
    </w:p>
    <w:p w:rsidR="002B5A16" w:rsidRPr="000C1968" w:rsidRDefault="002B5A16" w:rsidP="002B5A16">
      <w:pPr>
        <w:rPr>
          <w:rFonts w:ascii="Arial" w:hAnsi="Arial" w:cs="Arial"/>
          <w:color w:val="FF0000"/>
        </w:rPr>
      </w:pPr>
    </w:p>
    <w:p w:rsidR="000D5A34" w:rsidRDefault="002B5A16" w:rsidP="002B5A16">
      <w:pPr>
        <w:rPr>
          <w:rFonts w:ascii="Arial" w:hAnsi="Arial" w:cs="Arial"/>
        </w:rPr>
      </w:pPr>
      <w:r w:rsidRPr="00FF2648">
        <w:rPr>
          <w:rFonts w:ascii="Arial" w:hAnsi="Arial" w:cs="Arial"/>
        </w:rPr>
        <w:t xml:space="preserve">DAF (2012) Harvesting and Yields of Stonefruit, Accessed April 2017 at </w:t>
      </w:r>
    </w:p>
    <w:p w:rsidR="002B5A16" w:rsidRDefault="00402DE3" w:rsidP="000D5A34">
      <w:pPr>
        <w:ind w:left="720"/>
        <w:rPr>
          <w:rFonts w:ascii="Arial" w:hAnsi="Arial" w:cs="Arial"/>
        </w:rPr>
      </w:pPr>
      <w:hyperlink r:id="rId49" w:history="1">
        <w:r w:rsidR="000D5A34" w:rsidRPr="00545B8D">
          <w:rPr>
            <w:rStyle w:val="Hyperlink"/>
            <w:rFonts w:ascii="Arial" w:hAnsi="Arial" w:cs="Arial"/>
          </w:rPr>
          <w:t>https://www.daf.qld.gov.au/plants/fruit-and-vegetables/fruit-and-nuts/stonefruit/harvesting-and-yields</w:t>
        </w:r>
      </w:hyperlink>
    </w:p>
    <w:p w:rsidR="002B5A16" w:rsidRDefault="002B5A16" w:rsidP="002B5A16">
      <w:pPr>
        <w:rPr>
          <w:rFonts w:ascii="Arial" w:hAnsi="Arial" w:cs="Arial"/>
        </w:rPr>
      </w:pPr>
    </w:p>
    <w:p w:rsidR="000D5A34" w:rsidRDefault="002B5A16" w:rsidP="002B5A16">
      <w:pPr>
        <w:rPr>
          <w:rFonts w:ascii="Arial" w:hAnsi="Arial" w:cs="Arial"/>
        </w:rPr>
      </w:pPr>
      <w:r w:rsidRPr="001419D7">
        <w:rPr>
          <w:rFonts w:ascii="Arial" w:hAnsi="Arial" w:cs="Arial"/>
        </w:rPr>
        <w:t xml:space="preserve">DAWR (2015) Rural Research and Development Priorities, Department of Agriculture and </w:t>
      </w:r>
    </w:p>
    <w:p w:rsidR="002B5A16" w:rsidRPr="001419D7" w:rsidRDefault="002B5A16" w:rsidP="000D5A34">
      <w:pPr>
        <w:ind w:left="720"/>
        <w:rPr>
          <w:rStyle w:val="Hyperlink"/>
          <w:rFonts w:ascii="Arial" w:hAnsi="Arial" w:cs="Arial"/>
        </w:rPr>
      </w:pPr>
      <w:r w:rsidRPr="001419D7">
        <w:rPr>
          <w:rFonts w:ascii="Arial" w:hAnsi="Arial" w:cs="Arial"/>
        </w:rPr>
        <w:t xml:space="preserve">Water Resources, Canberra, ACT, accessed January 2016 at: </w:t>
      </w:r>
      <w:hyperlink r:id="rId50" w:history="1">
        <w:r w:rsidRPr="001419D7">
          <w:rPr>
            <w:rStyle w:val="Hyperlink"/>
            <w:rFonts w:ascii="Arial" w:hAnsi="Arial" w:cs="Arial"/>
          </w:rPr>
          <w:t>http://www.agriculture.gov.au/ag-farm-food/innovation/priorities</w:t>
        </w:r>
      </w:hyperlink>
    </w:p>
    <w:p w:rsidR="002B5A16" w:rsidRDefault="002B5A16" w:rsidP="002B5A16">
      <w:pPr>
        <w:rPr>
          <w:rFonts w:ascii="Arial" w:hAnsi="Arial" w:cs="Arial"/>
          <w:color w:val="FF0000"/>
        </w:rPr>
      </w:pPr>
    </w:p>
    <w:p w:rsidR="002B5A16" w:rsidRPr="00DF6B5E" w:rsidRDefault="002B5A16" w:rsidP="002B5A16">
      <w:pPr>
        <w:rPr>
          <w:rFonts w:ascii="Arial" w:hAnsi="Arial" w:cs="Arial"/>
        </w:rPr>
      </w:pPr>
      <w:r w:rsidRPr="00DF6B5E">
        <w:rPr>
          <w:rFonts w:ascii="Arial" w:hAnsi="Arial" w:cs="Arial"/>
        </w:rPr>
        <w:t>H</w:t>
      </w:r>
      <w:r>
        <w:rPr>
          <w:rFonts w:ascii="Arial" w:hAnsi="Arial" w:cs="Arial"/>
        </w:rPr>
        <w:t>IAL</w:t>
      </w:r>
      <w:r w:rsidRPr="00DF6B5E">
        <w:rPr>
          <w:rFonts w:ascii="Arial" w:hAnsi="Arial" w:cs="Arial"/>
        </w:rPr>
        <w:t xml:space="preserve"> (2015) 2014/15 Australian Horticulture Statistics Handbook, Sydney.</w:t>
      </w:r>
    </w:p>
    <w:p w:rsidR="002B5A16" w:rsidRPr="00DF6B5E" w:rsidRDefault="002B5A16" w:rsidP="002B5A16">
      <w:pPr>
        <w:rPr>
          <w:rFonts w:ascii="Arial" w:hAnsi="Arial" w:cs="Arial"/>
        </w:rPr>
      </w:pPr>
    </w:p>
    <w:p w:rsidR="000D5A34" w:rsidRDefault="002B5A16" w:rsidP="002B5A16">
      <w:pPr>
        <w:rPr>
          <w:rFonts w:ascii="Arial" w:hAnsi="Arial" w:cs="Arial"/>
        </w:rPr>
      </w:pPr>
      <w:r w:rsidRPr="00DA2877">
        <w:rPr>
          <w:rFonts w:ascii="Arial" w:hAnsi="Arial" w:cs="Arial"/>
        </w:rPr>
        <w:t>H</w:t>
      </w:r>
      <w:r>
        <w:rPr>
          <w:rFonts w:ascii="Arial" w:hAnsi="Arial" w:cs="Arial"/>
        </w:rPr>
        <w:t xml:space="preserve">IAL </w:t>
      </w:r>
      <w:r w:rsidRPr="00DA2877">
        <w:rPr>
          <w:rFonts w:ascii="Arial" w:hAnsi="Arial" w:cs="Arial"/>
        </w:rPr>
        <w:t xml:space="preserve">(2016) Horticulture Innovation Australia Annual Report 2015-16 </w:t>
      </w:r>
    </w:p>
    <w:p w:rsidR="002B5A16" w:rsidRPr="00DA2877" w:rsidRDefault="00402DE3" w:rsidP="000D5A34">
      <w:pPr>
        <w:ind w:left="720"/>
        <w:rPr>
          <w:rFonts w:ascii="Arial" w:hAnsi="Arial" w:cs="Arial"/>
        </w:rPr>
      </w:pPr>
      <w:hyperlink r:id="rId51" w:history="1">
        <w:r w:rsidR="000D5A34" w:rsidRPr="00545B8D">
          <w:rPr>
            <w:rStyle w:val="Hyperlink"/>
            <w:rFonts w:ascii="Arial" w:hAnsi="Arial" w:cs="Arial"/>
          </w:rPr>
          <w:t>http://horticulture.com.au/wp-content/uploads/2016/10/Hort-Innovation-Annual-</w:t>
        </w:r>
      </w:hyperlink>
      <w:r w:rsidR="002B5A16" w:rsidRPr="00DA2877">
        <w:rPr>
          <w:rFonts w:ascii="Arial" w:hAnsi="Arial" w:cs="Arial"/>
        </w:rPr>
        <w:t>Report-2015-16-Web.pdf</w:t>
      </w:r>
    </w:p>
    <w:p w:rsidR="002B5A16" w:rsidRPr="005058E0" w:rsidRDefault="002B5A16" w:rsidP="002B5A16">
      <w:pPr>
        <w:rPr>
          <w:rFonts w:ascii="Arial" w:hAnsi="Arial" w:cs="Arial"/>
          <w:color w:val="000000" w:themeColor="text1"/>
        </w:rPr>
      </w:pPr>
    </w:p>
    <w:p w:rsidR="000D5A34" w:rsidRDefault="002B5A16" w:rsidP="002B5A16">
      <w:pPr>
        <w:rPr>
          <w:rFonts w:ascii="Arial" w:hAnsi="Arial" w:cs="Arial"/>
          <w:color w:val="000000" w:themeColor="text1"/>
        </w:rPr>
      </w:pPr>
      <w:r w:rsidRPr="005058E0">
        <w:rPr>
          <w:rFonts w:ascii="Arial" w:hAnsi="Arial" w:cs="Arial"/>
          <w:color w:val="000000" w:themeColor="text1"/>
        </w:rPr>
        <w:t xml:space="preserve">Marshall D., Greenhalgh W., and Heighway, C. (1996) Review of Fresh Stonefruit Breeding </w:t>
      </w:r>
    </w:p>
    <w:p w:rsidR="002B5A16" w:rsidRPr="00AE25D1" w:rsidRDefault="002B5A16" w:rsidP="000D5A34">
      <w:pPr>
        <w:ind w:left="720"/>
        <w:rPr>
          <w:rFonts w:ascii="Arial" w:hAnsi="Arial" w:cs="Arial"/>
        </w:rPr>
      </w:pPr>
      <w:r w:rsidRPr="005058E0">
        <w:rPr>
          <w:rFonts w:ascii="Arial" w:hAnsi="Arial" w:cs="Arial"/>
          <w:color w:val="000000" w:themeColor="text1"/>
        </w:rPr>
        <w:t>and Varietal Evaluation. HRDC Final Report SF616. Horticu</w:t>
      </w:r>
      <w:r>
        <w:rPr>
          <w:rFonts w:ascii="Arial" w:hAnsi="Arial" w:cs="Arial"/>
          <w:color w:val="000000" w:themeColor="text1"/>
        </w:rPr>
        <w:t>l</w:t>
      </w:r>
      <w:r w:rsidRPr="005058E0">
        <w:rPr>
          <w:rFonts w:ascii="Arial" w:hAnsi="Arial" w:cs="Arial"/>
          <w:color w:val="000000" w:themeColor="text1"/>
        </w:rPr>
        <w:t xml:space="preserve">tural Research and </w:t>
      </w:r>
      <w:r w:rsidRPr="00AE25D1">
        <w:rPr>
          <w:rFonts w:ascii="Arial" w:hAnsi="Arial" w:cs="Arial"/>
        </w:rPr>
        <w:t>Development Corporation (HRDC), Gordon, NSW, HRDC ISBN 1 86423 505 5.</w:t>
      </w:r>
    </w:p>
    <w:p w:rsidR="002B5A16" w:rsidRPr="00AE25D1" w:rsidRDefault="002B5A16" w:rsidP="002B5A16">
      <w:pPr>
        <w:rPr>
          <w:rFonts w:ascii="Arial" w:hAnsi="Arial" w:cs="Arial"/>
        </w:rPr>
      </w:pPr>
    </w:p>
    <w:p w:rsidR="000D5A34" w:rsidRDefault="002B5A16" w:rsidP="002B5A16">
      <w:pPr>
        <w:rPr>
          <w:rFonts w:ascii="Arial" w:hAnsi="Arial" w:cs="Arial"/>
        </w:rPr>
      </w:pPr>
      <w:r w:rsidRPr="00AE25D1">
        <w:rPr>
          <w:rFonts w:ascii="Arial" w:hAnsi="Arial" w:cs="Arial"/>
        </w:rPr>
        <w:t xml:space="preserve">Nutrafruit (2017) </w:t>
      </w:r>
      <w:r>
        <w:rPr>
          <w:rFonts w:ascii="Arial" w:hAnsi="Arial" w:cs="Arial"/>
        </w:rPr>
        <w:t xml:space="preserve">Queen Garnet Commercialisation: Progress Report Prepared for </w:t>
      </w:r>
    </w:p>
    <w:p w:rsidR="002B5A16" w:rsidRDefault="002B5A16" w:rsidP="000D5A34">
      <w:pPr>
        <w:ind w:firstLine="720"/>
        <w:rPr>
          <w:rFonts w:ascii="Arial" w:hAnsi="Arial" w:cs="Arial"/>
        </w:rPr>
      </w:pPr>
      <w:r>
        <w:rPr>
          <w:rFonts w:ascii="Arial" w:hAnsi="Arial" w:cs="Arial"/>
        </w:rPr>
        <w:t xml:space="preserve">Department of Agriculture and Fisheries, Queensland (Commercial in Confidence).   </w:t>
      </w:r>
    </w:p>
    <w:p w:rsidR="002B5A16" w:rsidRDefault="002B5A16" w:rsidP="002B5A16">
      <w:pPr>
        <w:rPr>
          <w:rFonts w:ascii="Arial" w:hAnsi="Arial" w:cs="Arial"/>
        </w:rPr>
      </w:pPr>
    </w:p>
    <w:p w:rsidR="000D5A34" w:rsidRDefault="002B5A16" w:rsidP="002B5A16">
      <w:pPr>
        <w:rPr>
          <w:rFonts w:ascii="Arial" w:hAnsi="Arial" w:cs="Arial"/>
        </w:rPr>
      </w:pPr>
      <w:r w:rsidRPr="001419D7">
        <w:rPr>
          <w:rFonts w:ascii="Arial" w:hAnsi="Arial" w:cs="Arial"/>
        </w:rPr>
        <w:t>OCS (2016) Science and Research Priorities</w:t>
      </w:r>
      <w:r w:rsidRPr="001419D7">
        <w:rPr>
          <w:rFonts w:ascii="Arial" w:hAnsi="Arial" w:cs="Arial"/>
          <w:i/>
        </w:rPr>
        <w:t xml:space="preserve">, </w:t>
      </w:r>
      <w:r w:rsidRPr="001419D7">
        <w:rPr>
          <w:rFonts w:ascii="Arial" w:hAnsi="Arial" w:cs="Arial"/>
        </w:rPr>
        <w:t xml:space="preserve">Office of the Chief Scientist, Department of </w:t>
      </w:r>
    </w:p>
    <w:p w:rsidR="002B5A16" w:rsidRPr="001419D7" w:rsidRDefault="002B5A16" w:rsidP="000D5A34">
      <w:pPr>
        <w:ind w:left="720"/>
        <w:rPr>
          <w:rStyle w:val="Hyperlink"/>
          <w:rFonts w:ascii="Arial" w:hAnsi="Arial" w:cs="Arial"/>
        </w:rPr>
      </w:pPr>
      <w:r w:rsidRPr="001419D7">
        <w:rPr>
          <w:rFonts w:ascii="Arial" w:hAnsi="Arial" w:cs="Arial"/>
        </w:rPr>
        <w:t xml:space="preserve">Industry, Innovation and Science, Canberra, accessed 02 November 16 at: </w:t>
      </w:r>
      <w:hyperlink r:id="rId52" w:history="1">
        <w:r w:rsidRPr="001419D7">
          <w:rPr>
            <w:rStyle w:val="Hyperlink"/>
            <w:rFonts w:ascii="Arial" w:hAnsi="Arial" w:cs="Arial"/>
          </w:rPr>
          <w:t>http://science.gov.au/scienceGov/ScienceAndResearchPriorities/Pages/default.aspx</w:t>
        </w:r>
      </w:hyperlink>
    </w:p>
    <w:p w:rsidR="002B5A16" w:rsidRDefault="002B5A16" w:rsidP="002B5A16">
      <w:pPr>
        <w:autoSpaceDE w:val="0"/>
        <w:autoSpaceDN w:val="0"/>
        <w:adjustRightInd w:val="0"/>
        <w:rPr>
          <w:rFonts w:ascii="Arial" w:hAnsi="Arial" w:cs="Arial"/>
        </w:rPr>
      </w:pPr>
    </w:p>
    <w:p w:rsidR="000D5A34" w:rsidRDefault="002B5A16" w:rsidP="002B5A16">
      <w:pPr>
        <w:autoSpaceDE w:val="0"/>
        <w:autoSpaceDN w:val="0"/>
        <w:adjustRightInd w:val="0"/>
        <w:rPr>
          <w:rFonts w:ascii="Arial" w:hAnsi="Arial" w:cs="Arial"/>
        </w:rPr>
      </w:pPr>
      <w:r w:rsidRPr="001419D7">
        <w:rPr>
          <w:rFonts w:ascii="Arial" w:hAnsi="Arial" w:cs="Arial"/>
        </w:rPr>
        <w:t xml:space="preserve">Office of the Chief Scientist, Queensland Government (2015) Revised Queensland Science </w:t>
      </w:r>
    </w:p>
    <w:p w:rsidR="002B5A16" w:rsidRDefault="002B5A16" w:rsidP="000D5A34">
      <w:pPr>
        <w:autoSpaceDE w:val="0"/>
        <w:autoSpaceDN w:val="0"/>
        <w:adjustRightInd w:val="0"/>
        <w:ind w:left="720"/>
        <w:rPr>
          <w:rFonts w:ascii="Arial" w:hAnsi="Arial" w:cs="Arial"/>
        </w:rPr>
      </w:pPr>
      <w:r w:rsidRPr="001419D7">
        <w:rPr>
          <w:rFonts w:ascii="Arial" w:hAnsi="Arial" w:cs="Arial"/>
        </w:rPr>
        <w:t>and Research Priorities, accessed 17 February 2017 at: http://www.chiefscientist.qld.gov.au/images/documents/chiefscientist/pubs/reports-other/qld-science-n-research-priorities-2015-2016.pdf</w:t>
      </w:r>
    </w:p>
    <w:p w:rsidR="002B5A16" w:rsidRDefault="002B5A16" w:rsidP="002B5A16">
      <w:pPr>
        <w:autoSpaceDE w:val="0"/>
        <w:autoSpaceDN w:val="0"/>
        <w:adjustRightInd w:val="0"/>
        <w:rPr>
          <w:rFonts w:ascii="Arial" w:hAnsi="Arial" w:cs="Arial"/>
        </w:rPr>
      </w:pPr>
    </w:p>
    <w:p w:rsidR="000D5A34" w:rsidRPr="000D5A34" w:rsidRDefault="002B5A16" w:rsidP="002B5A16">
      <w:pPr>
        <w:rPr>
          <w:rStyle w:val="Hyperlink"/>
          <w:rFonts w:ascii="Arial" w:hAnsi="Arial" w:cs="Arial"/>
          <w:color w:val="000000" w:themeColor="text1"/>
          <w:u w:val="none"/>
        </w:rPr>
      </w:pPr>
      <w:r w:rsidRPr="000D5A34">
        <w:rPr>
          <w:rStyle w:val="Hyperlink"/>
          <w:rFonts w:ascii="Arial" w:hAnsi="Arial" w:cs="Arial"/>
          <w:color w:val="000000" w:themeColor="text1"/>
          <w:u w:val="none"/>
        </w:rPr>
        <w:t xml:space="preserve">Topp B.L., Russell D.M., Banks A.G., and Stephens P.M. (2001) National Plum Breeding </w:t>
      </w:r>
    </w:p>
    <w:p w:rsidR="002B5A16" w:rsidRPr="000D5A34" w:rsidRDefault="002B5A16" w:rsidP="000D5A34">
      <w:pPr>
        <w:ind w:left="720"/>
        <w:rPr>
          <w:rStyle w:val="Hyperlink"/>
          <w:rFonts w:ascii="Arial" w:hAnsi="Arial" w:cs="Arial"/>
          <w:color w:val="000000" w:themeColor="text1"/>
          <w:u w:val="none"/>
        </w:rPr>
      </w:pPr>
      <w:r w:rsidRPr="000D5A34">
        <w:rPr>
          <w:rStyle w:val="Hyperlink"/>
          <w:rFonts w:ascii="Arial" w:hAnsi="Arial" w:cs="Arial"/>
          <w:color w:val="000000" w:themeColor="text1"/>
          <w:u w:val="none"/>
        </w:rPr>
        <w:t xml:space="preserve">Program, Final Report, Project SF97005, Queensland Horticulture Institute, Applethorpe Research Station, Stanthorpe, Q 4380. </w:t>
      </w:r>
    </w:p>
    <w:p w:rsidR="002B5A16" w:rsidRPr="000D5A34" w:rsidRDefault="002B5A16" w:rsidP="002B5A16">
      <w:pPr>
        <w:rPr>
          <w:rStyle w:val="Hyperlink"/>
          <w:rFonts w:ascii="Arial" w:hAnsi="Arial" w:cs="Arial"/>
          <w:color w:val="000000" w:themeColor="text1"/>
          <w:u w:val="none"/>
        </w:rPr>
      </w:pPr>
    </w:p>
    <w:p w:rsidR="002B5A16" w:rsidRPr="00B57B13" w:rsidRDefault="002B5A16">
      <w:pPr>
        <w:spacing w:line="276" w:lineRule="auto"/>
        <w:rPr>
          <w:rFonts w:ascii="Arial" w:hAnsi="Arial" w:cs="Arial"/>
        </w:rPr>
      </w:pPr>
    </w:p>
    <w:sectPr w:rsidR="002B5A16" w:rsidRPr="00B57B13" w:rsidSect="00021F4B">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DE3" w:rsidRDefault="00402DE3" w:rsidP="003455CD">
      <w:r>
        <w:separator/>
      </w:r>
    </w:p>
  </w:endnote>
  <w:endnote w:type="continuationSeparator" w:id="0">
    <w:p w:rsidR="00402DE3" w:rsidRDefault="00402DE3" w:rsidP="0034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Light">
    <w:altName w:val="D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etaOT-Normal">
    <w:altName w:val="MetaOT-Norm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illSans">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1C2" w:rsidRDefault="00E421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421C2" w:rsidRDefault="00E421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1C2" w:rsidRDefault="00E421C2">
    <w:pPr>
      <w:pStyle w:val="Footer"/>
      <w:jc w:val="right"/>
    </w:pPr>
  </w:p>
  <w:p w:rsidR="00E421C2" w:rsidRDefault="00E421C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089090"/>
      <w:docPartObj>
        <w:docPartGallery w:val="Page Numbers (Bottom of Page)"/>
        <w:docPartUnique/>
      </w:docPartObj>
    </w:sdtPr>
    <w:sdtEndPr/>
    <w:sdtContent>
      <w:p w:rsidR="00E421C2" w:rsidRDefault="00E421C2">
        <w:pPr>
          <w:pStyle w:val="Footer"/>
          <w:jc w:val="center"/>
        </w:pPr>
        <w:r>
          <w:fldChar w:fldCharType="begin"/>
        </w:r>
        <w:r>
          <w:instrText xml:space="preserve"> PAGE   \* MERGEFORMAT </w:instrText>
        </w:r>
        <w:r>
          <w:fldChar w:fldCharType="separate"/>
        </w:r>
        <w:r w:rsidR="00C457B8">
          <w:rPr>
            <w:noProof/>
          </w:rPr>
          <w:t>2</w:t>
        </w:r>
        <w:r>
          <w:rPr>
            <w:noProof/>
          </w:rPr>
          <w:fldChar w:fldCharType="end"/>
        </w:r>
      </w:p>
    </w:sdtContent>
  </w:sdt>
  <w:p w:rsidR="00E421C2" w:rsidRDefault="00E421C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435927"/>
      <w:docPartObj>
        <w:docPartGallery w:val="Page Numbers (Bottom of Page)"/>
        <w:docPartUnique/>
      </w:docPartObj>
    </w:sdtPr>
    <w:sdtEndPr>
      <w:rPr>
        <w:noProof/>
      </w:rPr>
    </w:sdtEndPr>
    <w:sdtContent>
      <w:p w:rsidR="00E421C2" w:rsidRDefault="00E421C2">
        <w:pPr>
          <w:pStyle w:val="Footer"/>
          <w:jc w:val="center"/>
        </w:pPr>
        <w:r>
          <w:fldChar w:fldCharType="begin"/>
        </w:r>
        <w:r>
          <w:instrText xml:space="preserve"> PAGE   \* MERGEFORMAT </w:instrText>
        </w:r>
        <w:r>
          <w:fldChar w:fldCharType="separate"/>
        </w:r>
        <w:r w:rsidR="00495A35">
          <w:rPr>
            <w:noProof/>
          </w:rPr>
          <w:t>112</w:t>
        </w:r>
        <w:r>
          <w:rPr>
            <w:noProof/>
          </w:rPr>
          <w:fldChar w:fldCharType="end"/>
        </w:r>
      </w:p>
    </w:sdtContent>
  </w:sdt>
  <w:p w:rsidR="00E421C2" w:rsidRDefault="00E421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1C2" w:rsidRPr="00492C09" w:rsidRDefault="00E421C2" w:rsidP="002D23D0">
    <w:pPr>
      <w:pStyle w:val="Footer"/>
      <w:ind w:right="360"/>
      <w:rPr>
        <w:rStyle w:val="PageNumber"/>
      </w:rPr>
    </w:pPr>
    <w:r>
      <w:t>____________________________________________________________________________</w:t>
    </w:r>
  </w:p>
  <w:p w:rsidR="00E421C2" w:rsidRDefault="00E421C2" w:rsidP="00594106">
    <w:pPr>
      <w:pStyle w:val="Footer"/>
      <w:ind w:right="360"/>
      <w:jc w:val="center"/>
    </w:pPr>
    <w:r>
      <w:fldChar w:fldCharType="begin"/>
    </w:r>
    <w:r>
      <w:instrText xml:space="preserve"> PAGE   \* MERGEFORMAT </w:instrText>
    </w:r>
    <w:r>
      <w:fldChar w:fldCharType="separate"/>
    </w:r>
    <w:r w:rsidR="00495A35">
      <w:rPr>
        <w:noProof/>
      </w:rPr>
      <w:t>143</w:t>
    </w:r>
    <w:r>
      <w:rPr>
        <w:noProof/>
      </w:rPr>
      <w:fldChar w:fldCharType="end"/>
    </w:r>
  </w:p>
  <w:p w:rsidR="00E421C2" w:rsidRDefault="00E421C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DE3" w:rsidRDefault="00402DE3" w:rsidP="003455CD">
      <w:r>
        <w:separator/>
      </w:r>
    </w:p>
  </w:footnote>
  <w:footnote w:type="continuationSeparator" w:id="0">
    <w:p w:rsidR="00402DE3" w:rsidRDefault="00402DE3" w:rsidP="003455CD">
      <w:r>
        <w:continuationSeparator/>
      </w:r>
    </w:p>
  </w:footnote>
  <w:footnote w:id="1">
    <w:p w:rsidR="00E421C2" w:rsidRPr="00C66231" w:rsidRDefault="00E421C2">
      <w:pPr>
        <w:pStyle w:val="FootnoteText"/>
        <w:rPr>
          <w:rFonts w:ascii="Arial" w:hAnsi="Arial"/>
        </w:rPr>
      </w:pPr>
      <w:r w:rsidRPr="00C66231">
        <w:rPr>
          <w:rStyle w:val="FootnoteReference"/>
          <w:rFonts w:ascii="Arial" w:hAnsi="Arial"/>
        </w:rPr>
        <w:footnoteRef/>
      </w:r>
      <w:r w:rsidRPr="00C66231">
        <w:rPr>
          <w:rFonts w:ascii="Arial" w:hAnsi="Arial"/>
        </w:rPr>
        <w:t xml:space="preserve"> Protocol countries have specific phytosanitary and market access requirements which have been negotiated between the importing country and DAWR. Non-protocol countries have fewer import conditions.</w:t>
      </w:r>
    </w:p>
  </w:footnote>
  <w:footnote w:id="2">
    <w:p w:rsidR="00E421C2" w:rsidRPr="008C2A93" w:rsidRDefault="00E421C2">
      <w:pPr>
        <w:pStyle w:val="FootnoteText"/>
        <w:rPr>
          <w:rFonts w:ascii="Arial" w:hAnsi="Arial"/>
        </w:rPr>
      </w:pPr>
      <w:r w:rsidRPr="008C2A93">
        <w:rPr>
          <w:rStyle w:val="FootnoteReference"/>
          <w:rFonts w:ascii="Arial" w:hAnsi="Arial"/>
        </w:rPr>
        <w:footnoteRef/>
      </w:r>
      <w:r w:rsidRPr="008C2A93">
        <w:rPr>
          <w:rFonts w:ascii="Arial" w:hAnsi="Arial"/>
        </w:rPr>
        <w:t xml:space="preserve"> Cut-out is the point at which the production of new fruiting sites on the cotton plant ceases.</w:t>
      </w:r>
    </w:p>
  </w:footnote>
  <w:footnote w:id="3">
    <w:p w:rsidR="00E421C2" w:rsidRPr="00C7408A" w:rsidRDefault="00E421C2">
      <w:pPr>
        <w:pStyle w:val="FootnoteText"/>
        <w:rPr>
          <w:rFonts w:ascii="Arial" w:hAnsi="Arial"/>
        </w:rPr>
      </w:pPr>
      <w:r w:rsidRPr="00C7408A">
        <w:rPr>
          <w:rStyle w:val="FootnoteReference"/>
          <w:rFonts w:ascii="Arial" w:hAnsi="Arial"/>
        </w:rPr>
        <w:footnoteRef/>
      </w:r>
      <w:r w:rsidRPr="00C7408A">
        <w:rPr>
          <w:rFonts w:ascii="Arial" w:hAnsi="Arial"/>
        </w:rPr>
        <w:t xml:space="preserve"> Margin over feed costs: The milk price per litre minus feed costs per litre of milk produced.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02B1"/>
    <w:multiLevelType w:val="hybridMultilevel"/>
    <w:tmpl w:val="1C88F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75AB3"/>
    <w:multiLevelType w:val="hybridMultilevel"/>
    <w:tmpl w:val="0D34D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AD2236"/>
    <w:multiLevelType w:val="hybridMultilevel"/>
    <w:tmpl w:val="45E00F7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22443"/>
    <w:multiLevelType w:val="hybridMultilevel"/>
    <w:tmpl w:val="ADD66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330D3"/>
    <w:multiLevelType w:val="hybridMultilevel"/>
    <w:tmpl w:val="1C88F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B223D3"/>
    <w:multiLevelType w:val="hybridMultilevel"/>
    <w:tmpl w:val="D78E01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F2244D"/>
    <w:multiLevelType w:val="hybridMultilevel"/>
    <w:tmpl w:val="C60C5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4E0ACB"/>
    <w:multiLevelType w:val="hybridMultilevel"/>
    <w:tmpl w:val="E8FCCF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0E754D58"/>
    <w:multiLevelType w:val="hybridMultilevel"/>
    <w:tmpl w:val="ED6E2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200458"/>
    <w:multiLevelType w:val="hybridMultilevel"/>
    <w:tmpl w:val="B464167C"/>
    <w:lvl w:ilvl="0" w:tplc="F688630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FA451A"/>
    <w:multiLevelType w:val="hybridMultilevel"/>
    <w:tmpl w:val="0DC6E3E6"/>
    <w:lvl w:ilvl="0" w:tplc="73B2ED54">
      <w:start w:val="1"/>
      <w:numFmt w:val="bullet"/>
      <w:lvlText w:val=""/>
      <w:lvlJc w:val="left"/>
      <w:pPr>
        <w:ind w:left="388" w:hanging="360"/>
      </w:pPr>
      <w:rPr>
        <w:rFonts w:ascii="Symbol" w:hAnsi="Symbol" w:hint="default"/>
        <w:color w:val="auto"/>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11" w15:restartNumberingAfterBreak="0">
    <w:nsid w:val="12FD2DDF"/>
    <w:multiLevelType w:val="hybridMultilevel"/>
    <w:tmpl w:val="6E8A32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927D26"/>
    <w:multiLevelType w:val="hybridMultilevel"/>
    <w:tmpl w:val="1C56577E"/>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BA036B"/>
    <w:multiLevelType w:val="hybridMultilevel"/>
    <w:tmpl w:val="9B0E04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4163C6D"/>
    <w:multiLevelType w:val="hybridMultilevel"/>
    <w:tmpl w:val="DC203768"/>
    <w:lvl w:ilvl="0" w:tplc="0C09000F">
      <w:start w:val="1"/>
      <w:numFmt w:val="decimal"/>
      <w:lvlText w:val="%1."/>
      <w:lvlJc w:val="left"/>
      <w:pPr>
        <w:ind w:left="725" w:hanging="360"/>
      </w:pPr>
    </w:lvl>
    <w:lvl w:ilvl="1" w:tplc="0C090019" w:tentative="1">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15" w15:restartNumberingAfterBreak="0">
    <w:nsid w:val="151A3AF7"/>
    <w:multiLevelType w:val="hybridMultilevel"/>
    <w:tmpl w:val="B26EB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0101B7"/>
    <w:multiLevelType w:val="hybridMultilevel"/>
    <w:tmpl w:val="3E409E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A7543B"/>
    <w:multiLevelType w:val="hybridMultilevel"/>
    <w:tmpl w:val="781C4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237333"/>
    <w:multiLevelType w:val="hybridMultilevel"/>
    <w:tmpl w:val="B9B87BC6"/>
    <w:lvl w:ilvl="0" w:tplc="9168EB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4A25FB"/>
    <w:multiLevelType w:val="hybridMultilevel"/>
    <w:tmpl w:val="AD16B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584E4A"/>
    <w:multiLevelType w:val="hybridMultilevel"/>
    <w:tmpl w:val="E850C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6A69FF"/>
    <w:multiLevelType w:val="hybridMultilevel"/>
    <w:tmpl w:val="401A8FA2"/>
    <w:lvl w:ilvl="0" w:tplc="E6A024F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2B11482"/>
    <w:multiLevelType w:val="hybridMultilevel"/>
    <w:tmpl w:val="1C88F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2C04F6F"/>
    <w:multiLevelType w:val="hybridMultilevel"/>
    <w:tmpl w:val="781C4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35E78D5"/>
    <w:multiLevelType w:val="hybridMultilevel"/>
    <w:tmpl w:val="D9CE4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704C00"/>
    <w:multiLevelType w:val="hybridMultilevel"/>
    <w:tmpl w:val="DB4A3E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7BB750D"/>
    <w:multiLevelType w:val="hybridMultilevel"/>
    <w:tmpl w:val="69F8ABEE"/>
    <w:lvl w:ilvl="0" w:tplc="0C09000F">
      <w:start w:val="1"/>
      <w:numFmt w:val="decimal"/>
      <w:lvlText w:val="%1."/>
      <w:lvlJc w:val="left"/>
      <w:pPr>
        <w:ind w:left="725" w:hanging="360"/>
      </w:pPr>
    </w:lvl>
    <w:lvl w:ilvl="1" w:tplc="0C090019" w:tentative="1">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27" w15:restartNumberingAfterBreak="0">
    <w:nsid w:val="2AAD69F5"/>
    <w:multiLevelType w:val="hybridMultilevel"/>
    <w:tmpl w:val="44FCC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2BCA27C3"/>
    <w:multiLevelType w:val="hybridMultilevel"/>
    <w:tmpl w:val="229E928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9" w15:restartNumberingAfterBreak="0">
    <w:nsid w:val="2E453608"/>
    <w:multiLevelType w:val="hybridMultilevel"/>
    <w:tmpl w:val="19B0F8BC"/>
    <w:lvl w:ilvl="0" w:tplc="7FD206B2">
      <w:start w:val="1"/>
      <w:numFmt w:val="decimal"/>
      <w:lvlText w:val="%1."/>
      <w:lvlJc w:val="left"/>
      <w:pPr>
        <w:ind w:left="370" w:hanging="360"/>
      </w:pPr>
      <w:rPr>
        <w:rFonts w:hint="default"/>
      </w:rPr>
    </w:lvl>
    <w:lvl w:ilvl="1" w:tplc="0C090019" w:tentative="1">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30" w15:restartNumberingAfterBreak="0">
    <w:nsid w:val="2E6F1BE8"/>
    <w:multiLevelType w:val="hybridMultilevel"/>
    <w:tmpl w:val="9D30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5F763B"/>
    <w:multiLevelType w:val="hybridMultilevel"/>
    <w:tmpl w:val="F664050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706D79"/>
    <w:multiLevelType w:val="hybridMultilevel"/>
    <w:tmpl w:val="05002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3E27B5"/>
    <w:multiLevelType w:val="hybridMultilevel"/>
    <w:tmpl w:val="1C88F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55114F2"/>
    <w:multiLevelType w:val="hybridMultilevel"/>
    <w:tmpl w:val="78B4F96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68E3075"/>
    <w:multiLevelType w:val="hybridMultilevel"/>
    <w:tmpl w:val="677EB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8D3303D"/>
    <w:multiLevelType w:val="hybridMultilevel"/>
    <w:tmpl w:val="96AA7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A0568B"/>
    <w:multiLevelType w:val="hybridMultilevel"/>
    <w:tmpl w:val="2CFAF004"/>
    <w:lvl w:ilvl="0" w:tplc="7B0C137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196158"/>
    <w:multiLevelType w:val="hybridMultilevel"/>
    <w:tmpl w:val="961E6C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40EE3AE0"/>
    <w:multiLevelType w:val="hybridMultilevel"/>
    <w:tmpl w:val="294243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B113B3"/>
    <w:multiLevelType w:val="hybridMultilevel"/>
    <w:tmpl w:val="BE069FB2"/>
    <w:lvl w:ilvl="0" w:tplc="FFFFFFFF">
      <w:start w:val="1"/>
      <w:numFmt w:val="bullet"/>
      <w:pStyle w:val="SPBullet1"/>
      <w:lvlText w:val=""/>
      <w:lvlJc w:val="left"/>
      <w:pPr>
        <w:tabs>
          <w:tab w:val="num" w:pos="720"/>
        </w:tabs>
        <w:ind w:left="720" w:hanging="360"/>
      </w:pPr>
      <w:rPr>
        <w:rFonts w:ascii="Wingdings" w:hAnsi="Wingdings" w:hint="default"/>
        <w:color w:val="auto"/>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C93FE6"/>
    <w:multiLevelType w:val="hybridMultilevel"/>
    <w:tmpl w:val="1C88F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A7127C0"/>
    <w:multiLevelType w:val="hybridMultilevel"/>
    <w:tmpl w:val="6B923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AF60036"/>
    <w:multiLevelType w:val="hybridMultilevel"/>
    <w:tmpl w:val="9A8EDBEC"/>
    <w:lvl w:ilvl="0" w:tplc="AF282040">
      <w:start w:val="1"/>
      <w:numFmt w:val="decimal"/>
      <w:lvlText w:val="%1."/>
      <w:lvlJc w:val="left"/>
      <w:pPr>
        <w:ind w:left="36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D601DD7"/>
    <w:multiLevelType w:val="hybridMultilevel"/>
    <w:tmpl w:val="781C4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F0B188C"/>
    <w:multiLevelType w:val="hybridMultilevel"/>
    <w:tmpl w:val="BC0EEF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4FB474C1"/>
    <w:multiLevelType w:val="hybridMultilevel"/>
    <w:tmpl w:val="C8BA2A4C"/>
    <w:lvl w:ilvl="0" w:tplc="F1F4D7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4B7E96"/>
    <w:multiLevelType w:val="hybridMultilevel"/>
    <w:tmpl w:val="74961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160297F"/>
    <w:multiLevelType w:val="hybridMultilevel"/>
    <w:tmpl w:val="781C4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1E51683"/>
    <w:multiLevelType w:val="hybridMultilevel"/>
    <w:tmpl w:val="37B81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2083EAD"/>
    <w:multiLevelType w:val="hybridMultilevel"/>
    <w:tmpl w:val="0762932E"/>
    <w:lvl w:ilvl="0" w:tplc="7FD206B2">
      <w:start w:val="1"/>
      <w:numFmt w:val="decimal"/>
      <w:lvlText w:val="%1."/>
      <w:lvlJc w:val="left"/>
      <w:pPr>
        <w:ind w:left="365" w:hanging="360"/>
      </w:pPr>
      <w:rPr>
        <w:rFonts w:hint="default"/>
      </w:rPr>
    </w:lvl>
    <w:lvl w:ilvl="1" w:tplc="0C090019" w:tentative="1">
      <w:start w:val="1"/>
      <w:numFmt w:val="lowerLetter"/>
      <w:lvlText w:val="%2."/>
      <w:lvlJc w:val="left"/>
      <w:pPr>
        <w:ind w:left="1085" w:hanging="360"/>
      </w:pPr>
    </w:lvl>
    <w:lvl w:ilvl="2" w:tplc="0C09001B" w:tentative="1">
      <w:start w:val="1"/>
      <w:numFmt w:val="lowerRoman"/>
      <w:lvlText w:val="%3."/>
      <w:lvlJc w:val="right"/>
      <w:pPr>
        <w:ind w:left="1805" w:hanging="180"/>
      </w:pPr>
    </w:lvl>
    <w:lvl w:ilvl="3" w:tplc="0C09000F" w:tentative="1">
      <w:start w:val="1"/>
      <w:numFmt w:val="decimal"/>
      <w:lvlText w:val="%4."/>
      <w:lvlJc w:val="left"/>
      <w:pPr>
        <w:ind w:left="2525" w:hanging="360"/>
      </w:pPr>
    </w:lvl>
    <w:lvl w:ilvl="4" w:tplc="0C090019" w:tentative="1">
      <w:start w:val="1"/>
      <w:numFmt w:val="lowerLetter"/>
      <w:lvlText w:val="%5."/>
      <w:lvlJc w:val="left"/>
      <w:pPr>
        <w:ind w:left="3245" w:hanging="360"/>
      </w:pPr>
    </w:lvl>
    <w:lvl w:ilvl="5" w:tplc="0C09001B" w:tentative="1">
      <w:start w:val="1"/>
      <w:numFmt w:val="lowerRoman"/>
      <w:lvlText w:val="%6."/>
      <w:lvlJc w:val="right"/>
      <w:pPr>
        <w:ind w:left="3965" w:hanging="180"/>
      </w:pPr>
    </w:lvl>
    <w:lvl w:ilvl="6" w:tplc="0C09000F" w:tentative="1">
      <w:start w:val="1"/>
      <w:numFmt w:val="decimal"/>
      <w:lvlText w:val="%7."/>
      <w:lvlJc w:val="left"/>
      <w:pPr>
        <w:ind w:left="4685" w:hanging="360"/>
      </w:pPr>
    </w:lvl>
    <w:lvl w:ilvl="7" w:tplc="0C090019" w:tentative="1">
      <w:start w:val="1"/>
      <w:numFmt w:val="lowerLetter"/>
      <w:lvlText w:val="%8."/>
      <w:lvlJc w:val="left"/>
      <w:pPr>
        <w:ind w:left="5405" w:hanging="360"/>
      </w:pPr>
    </w:lvl>
    <w:lvl w:ilvl="8" w:tplc="0C09001B" w:tentative="1">
      <w:start w:val="1"/>
      <w:numFmt w:val="lowerRoman"/>
      <w:lvlText w:val="%9."/>
      <w:lvlJc w:val="right"/>
      <w:pPr>
        <w:ind w:left="6125" w:hanging="180"/>
      </w:pPr>
    </w:lvl>
  </w:abstractNum>
  <w:abstractNum w:abstractNumId="51" w15:restartNumberingAfterBreak="0">
    <w:nsid w:val="52D32353"/>
    <w:multiLevelType w:val="hybridMultilevel"/>
    <w:tmpl w:val="BA782A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CA026A"/>
    <w:multiLevelType w:val="hybridMultilevel"/>
    <w:tmpl w:val="841C8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C2C532E"/>
    <w:multiLevelType w:val="hybridMultilevel"/>
    <w:tmpl w:val="97D69644"/>
    <w:lvl w:ilvl="0" w:tplc="DA78AE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C5906AD"/>
    <w:multiLevelType w:val="hybridMultilevel"/>
    <w:tmpl w:val="2566F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6C3CA6"/>
    <w:multiLevelType w:val="hybridMultilevel"/>
    <w:tmpl w:val="E398BC66"/>
    <w:lvl w:ilvl="0" w:tplc="F17A9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A37192"/>
    <w:multiLevelType w:val="hybridMultilevel"/>
    <w:tmpl w:val="781C4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EB335FF"/>
    <w:multiLevelType w:val="hybridMultilevel"/>
    <w:tmpl w:val="7BA4E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DB52F5"/>
    <w:multiLevelType w:val="hybridMultilevel"/>
    <w:tmpl w:val="A6F20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EDD1EB1"/>
    <w:multiLevelType w:val="hybridMultilevel"/>
    <w:tmpl w:val="32CC491E"/>
    <w:lvl w:ilvl="0" w:tplc="0C09000F">
      <w:start w:val="1"/>
      <w:numFmt w:val="decimal"/>
      <w:lvlText w:val="%1."/>
      <w:lvlJc w:val="left"/>
      <w:pPr>
        <w:ind w:left="725" w:hanging="360"/>
      </w:pPr>
    </w:lvl>
    <w:lvl w:ilvl="1" w:tplc="0C090019" w:tentative="1">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60" w15:restartNumberingAfterBreak="0">
    <w:nsid w:val="61F54E70"/>
    <w:multiLevelType w:val="hybridMultilevel"/>
    <w:tmpl w:val="4F665B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2C73705"/>
    <w:multiLevelType w:val="hybridMultilevel"/>
    <w:tmpl w:val="94C86508"/>
    <w:lvl w:ilvl="0" w:tplc="3656D8D2">
      <w:start w:val="1"/>
      <w:numFmt w:val="decimal"/>
      <w:lvlText w:val="%1."/>
      <w:lvlJc w:val="left"/>
      <w:pPr>
        <w:ind w:left="365" w:hanging="360"/>
      </w:pPr>
      <w:rPr>
        <w:rFonts w:hint="default"/>
      </w:rPr>
    </w:lvl>
    <w:lvl w:ilvl="1" w:tplc="0C090019" w:tentative="1">
      <w:start w:val="1"/>
      <w:numFmt w:val="lowerLetter"/>
      <w:lvlText w:val="%2."/>
      <w:lvlJc w:val="left"/>
      <w:pPr>
        <w:ind w:left="1085" w:hanging="360"/>
      </w:pPr>
    </w:lvl>
    <w:lvl w:ilvl="2" w:tplc="0C09001B" w:tentative="1">
      <w:start w:val="1"/>
      <w:numFmt w:val="lowerRoman"/>
      <w:lvlText w:val="%3."/>
      <w:lvlJc w:val="right"/>
      <w:pPr>
        <w:ind w:left="1805" w:hanging="180"/>
      </w:pPr>
    </w:lvl>
    <w:lvl w:ilvl="3" w:tplc="0C09000F" w:tentative="1">
      <w:start w:val="1"/>
      <w:numFmt w:val="decimal"/>
      <w:lvlText w:val="%4."/>
      <w:lvlJc w:val="left"/>
      <w:pPr>
        <w:ind w:left="2525" w:hanging="360"/>
      </w:pPr>
    </w:lvl>
    <w:lvl w:ilvl="4" w:tplc="0C090019" w:tentative="1">
      <w:start w:val="1"/>
      <w:numFmt w:val="lowerLetter"/>
      <w:lvlText w:val="%5."/>
      <w:lvlJc w:val="left"/>
      <w:pPr>
        <w:ind w:left="3245" w:hanging="360"/>
      </w:pPr>
    </w:lvl>
    <w:lvl w:ilvl="5" w:tplc="0C09001B" w:tentative="1">
      <w:start w:val="1"/>
      <w:numFmt w:val="lowerRoman"/>
      <w:lvlText w:val="%6."/>
      <w:lvlJc w:val="right"/>
      <w:pPr>
        <w:ind w:left="3965" w:hanging="180"/>
      </w:pPr>
    </w:lvl>
    <w:lvl w:ilvl="6" w:tplc="0C09000F" w:tentative="1">
      <w:start w:val="1"/>
      <w:numFmt w:val="decimal"/>
      <w:lvlText w:val="%7."/>
      <w:lvlJc w:val="left"/>
      <w:pPr>
        <w:ind w:left="4685" w:hanging="360"/>
      </w:pPr>
    </w:lvl>
    <w:lvl w:ilvl="7" w:tplc="0C090019" w:tentative="1">
      <w:start w:val="1"/>
      <w:numFmt w:val="lowerLetter"/>
      <w:lvlText w:val="%8."/>
      <w:lvlJc w:val="left"/>
      <w:pPr>
        <w:ind w:left="5405" w:hanging="360"/>
      </w:pPr>
    </w:lvl>
    <w:lvl w:ilvl="8" w:tplc="0C09001B" w:tentative="1">
      <w:start w:val="1"/>
      <w:numFmt w:val="lowerRoman"/>
      <w:lvlText w:val="%9."/>
      <w:lvlJc w:val="right"/>
      <w:pPr>
        <w:ind w:left="6125" w:hanging="180"/>
      </w:pPr>
    </w:lvl>
  </w:abstractNum>
  <w:abstractNum w:abstractNumId="62" w15:restartNumberingAfterBreak="0">
    <w:nsid w:val="63894D47"/>
    <w:multiLevelType w:val="hybridMultilevel"/>
    <w:tmpl w:val="52AE3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4334215"/>
    <w:multiLevelType w:val="hybridMultilevel"/>
    <w:tmpl w:val="B09258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65D86359"/>
    <w:multiLevelType w:val="hybridMultilevel"/>
    <w:tmpl w:val="D30CF0EA"/>
    <w:lvl w:ilvl="0" w:tplc="93CEAA4E">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EC09BD"/>
    <w:multiLevelType w:val="hybridMultilevel"/>
    <w:tmpl w:val="827C4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4A94E87"/>
    <w:multiLevelType w:val="hybridMultilevel"/>
    <w:tmpl w:val="B9B87BC6"/>
    <w:lvl w:ilvl="0" w:tplc="9168EB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5470855"/>
    <w:multiLevelType w:val="hybridMultilevel"/>
    <w:tmpl w:val="781C4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5AF0639"/>
    <w:multiLevelType w:val="hybridMultilevel"/>
    <w:tmpl w:val="56FED332"/>
    <w:lvl w:ilvl="0" w:tplc="BD7CDE8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77B70038"/>
    <w:multiLevelType w:val="hybridMultilevel"/>
    <w:tmpl w:val="E398BC66"/>
    <w:lvl w:ilvl="0" w:tplc="F17A9D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9807BC1"/>
    <w:multiLevelType w:val="hybridMultilevel"/>
    <w:tmpl w:val="F28EB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A2776C3"/>
    <w:multiLevelType w:val="hybridMultilevel"/>
    <w:tmpl w:val="5656A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BA95AE0"/>
    <w:multiLevelType w:val="hybridMultilevel"/>
    <w:tmpl w:val="8D00D6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BE26F81"/>
    <w:multiLevelType w:val="hybridMultilevel"/>
    <w:tmpl w:val="F2984808"/>
    <w:lvl w:ilvl="0" w:tplc="0C09000F">
      <w:start w:val="1"/>
      <w:numFmt w:val="decimal"/>
      <w:lvlText w:val="%1."/>
      <w:lvlJc w:val="left"/>
      <w:pPr>
        <w:ind w:left="725" w:hanging="360"/>
      </w:pPr>
    </w:lvl>
    <w:lvl w:ilvl="1" w:tplc="0C090019" w:tentative="1">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74" w15:restartNumberingAfterBreak="0">
    <w:nsid w:val="7C077319"/>
    <w:multiLevelType w:val="hybridMultilevel"/>
    <w:tmpl w:val="1C88F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D8640FC"/>
    <w:multiLevelType w:val="hybridMultilevel"/>
    <w:tmpl w:val="E39EA5FA"/>
    <w:lvl w:ilvl="0" w:tplc="9168EB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DCF375E"/>
    <w:multiLevelType w:val="hybridMultilevel"/>
    <w:tmpl w:val="5BA42B80"/>
    <w:lvl w:ilvl="0" w:tplc="13645B1E">
      <w:start w:val="1"/>
      <w:numFmt w:val="bullet"/>
      <w:pStyle w:val="Policy4"/>
      <w:lvlText w:val=""/>
      <w:lvlJc w:val="left"/>
      <w:pPr>
        <w:ind w:left="1728" w:hanging="360"/>
      </w:pPr>
      <w:rPr>
        <w:rFonts w:ascii="Symbol" w:hAnsi="Symbol" w:hint="default"/>
      </w:rPr>
    </w:lvl>
    <w:lvl w:ilvl="1" w:tplc="0C090003" w:tentative="1">
      <w:start w:val="1"/>
      <w:numFmt w:val="bullet"/>
      <w:lvlText w:val="o"/>
      <w:lvlJc w:val="left"/>
      <w:pPr>
        <w:ind w:left="2448" w:hanging="360"/>
      </w:pPr>
      <w:rPr>
        <w:rFonts w:ascii="Courier New" w:hAnsi="Courier New" w:cs="Courier New" w:hint="default"/>
      </w:rPr>
    </w:lvl>
    <w:lvl w:ilvl="2" w:tplc="0C090005" w:tentative="1">
      <w:start w:val="1"/>
      <w:numFmt w:val="bullet"/>
      <w:lvlText w:val=""/>
      <w:lvlJc w:val="left"/>
      <w:pPr>
        <w:ind w:left="3168" w:hanging="360"/>
      </w:pPr>
      <w:rPr>
        <w:rFonts w:ascii="Wingdings" w:hAnsi="Wingdings" w:hint="default"/>
      </w:rPr>
    </w:lvl>
    <w:lvl w:ilvl="3" w:tplc="0C090001" w:tentative="1">
      <w:start w:val="1"/>
      <w:numFmt w:val="bullet"/>
      <w:lvlText w:val=""/>
      <w:lvlJc w:val="left"/>
      <w:pPr>
        <w:ind w:left="3888" w:hanging="360"/>
      </w:pPr>
      <w:rPr>
        <w:rFonts w:ascii="Symbol" w:hAnsi="Symbol" w:hint="default"/>
      </w:rPr>
    </w:lvl>
    <w:lvl w:ilvl="4" w:tplc="0C090003" w:tentative="1">
      <w:start w:val="1"/>
      <w:numFmt w:val="bullet"/>
      <w:lvlText w:val="o"/>
      <w:lvlJc w:val="left"/>
      <w:pPr>
        <w:ind w:left="4608" w:hanging="360"/>
      </w:pPr>
      <w:rPr>
        <w:rFonts w:ascii="Courier New" w:hAnsi="Courier New" w:cs="Courier New" w:hint="default"/>
      </w:rPr>
    </w:lvl>
    <w:lvl w:ilvl="5" w:tplc="0C090005" w:tentative="1">
      <w:start w:val="1"/>
      <w:numFmt w:val="bullet"/>
      <w:lvlText w:val=""/>
      <w:lvlJc w:val="left"/>
      <w:pPr>
        <w:ind w:left="5328" w:hanging="360"/>
      </w:pPr>
      <w:rPr>
        <w:rFonts w:ascii="Wingdings" w:hAnsi="Wingdings" w:hint="default"/>
      </w:rPr>
    </w:lvl>
    <w:lvl w:ilvl="6" w:tplc="0C090001" w:tentative="1">
      <w:start w:val="1"/>
      <w:numFmt w:val="bullet"/>
      <w:lvlText w:val=""/>
      <w:lvlJc w:val="left"/>
      <w:pPr>
        <w:ind w:left="6048" w:hanging="360"/>
      </w:pPr>
      <w:rPr>
        <w:rFonts w:ascii="Symbol" w:hAnsi="Symbol" w:hint="default"/>
      </w:rPr>
    </w:lvl>
    <w:lvl w:ilvl="7" w:tplc="0C090003" w:tentative="1">
      <w:start w:val="1"/>
      <w:numFmt w:val="bullet"/>
      <w:lvlText w:val="o"/>
      <w:lvlJc w:val="left"/>
      <w:pPr>
        <w:ind w:left="6768" w:hanging="360"/>
      </w:pPr>
      <w:rPr>
        <w:rFonts w:ascii="Courier New" w:hAnsi="Courier New" w:cs="Courier New" w:hint="default"/>
      </w:rPr>
    </w:lvl>
    <w:lvl w:ilvl="8" w:tplc="0C090005" w:tentative="1">
      <w:start w:val="1"/>
      <w:numFmt w:val="bullet"/>
      <w:lvlText w:val=""/>
      <w:lvlJc w:val="left"/>
      <w:pPr>
        <w:ind w:left="7488" w:hanging="360"/>
      </w:pPr>
      <w:rPr>
        <w:rFonts w:ascii="Wingdings" w:hAnsi="Wingdings" w:hint="default"/>
      </w:rPr>
    </w:lvl>
  </w:abstractNum>
  <w:abstractNum w:abstractNumId="77" w15:restartNumberingAfterBreak="0">
    <w:nsid w:val="7F720866"/>
    <w:multiLevelType w:val="hybridMultilevel"/>
    <w:tmpl w:val="53BCC3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42"/>
  </w:num>
  <w:num w:numId="3">
    <w:abstractNumId w:val="64"/>
  </w:num>
  <w:num w:numId="4">
    <w:abstractNumId w:val="31"/>
  </w:num>
  <w:num w:numId="5">
    <w:abstractNumId w:val="76"/>
  </w:num>
  <w:num w:numId="6">
    <w:abstractNumId w:val="40"/>
  </w:num>
  <w:num w:numId="7">
    <w:abstractNumId w:val="8"/>
  </w:num>
  <w:num w:numId="8">
    <w:abstractNumId w:val="13"/>
  </w:num>
  <w:num w:numId="9">
    <w:abstractNumId w:val="24"/>
  </w:num>
  <w:num w:numId="10">
    <w:abstractNumId w:val="1"/>
  </w:num>
  <w:num w:numId="11">
    <w:abstractNumId w:val="49"/>
  </w:num>
  <w:num w:numId="12">
    <w:abstractNumId w:val="12"/>
  </w:num>
  <w:num w:numId="13">
    <w:abstractNumId w:val="48"/>
  </w:num>
  <w:num w:numId="14">
    <w:abstractNumId w:val="41"/>
  </w:num>
  <w:num w:numId="15">
    <w:abstractNumId w:val="10"/>
  </w:num>
  <w:num w:numId="16">
    <w:abstractNumId w:val="58"/>
  </w:num>
  <w:num w:numId="17">
    <w:abstractNumId w:val="3"/>
  </w:num>
  <w:num w:numId="18">
    <w:abstractNumId w:val="47"/>
  </w:num>
  <w:num w:numId="19">
    <w:abstractNumId w:val="25"/>
  </w:num>
  <w:num w:numId="20">
    <w:abstractNumId w:val="71"/>
  </w:num>
  <w:num w:numId="21">
    <w:abstractNumId w:val="63"/>
  </w:num>
  <w:num w:numId="22">
    <w:abstractNumId w:val="30"/>
  </w:num>
  <w:num w:numId="23">
    <w:abstractNumId w:val="45"/>
  </w:num>
  <w:num w:numId="24">
    <w:abstractNumId w:val="21"/>
  </w:num>
  <w:num w:numId="25">
    <w:abstractNumId w:val="77"/>
  </w:num>
  <w:num w:numId="26">
    <w:abstractNumId w:val="65"/>
  </w:num>
  <w:num w:numId="27">
    <w:abstractNumId w:val="46"/>
  </w:num>
  <w:num w:numId="28">
    <w:abstractNumId w:val="60"/>
  </w:num>
  <w:num w:numId="29">
    <w:abstractNumId w:val="16"/>
  </w:num>
  <w:num w:numId="30">
    <w:abstractNumId w:val="18"/>
  </w:num>
  <w:num w:numId="31">
    <w:abstractNumId w:val="75"/>
  </w:num>
  <w:num w:numId="32">
    <w:abstractNumId w:val="62"/>
  </w:num>
  <w:num w:numId="33">
    <w:abstractNumId w:val="57"/>
  </w:num>
  <w:num w:numId="34">
    <w:abstractNumId w:val="37"/>
  </w:num>
  <w:num w:numId="35">
    <w:abstractNumId w:val="9"/>
  </w:num>
  <w:num w:numId="36">
    <w:abstractNumId w:val="70"/>
  </w:num>
  <w:num w:numId="37">
    <w:abstractNumId w:val="6"/>
  </w:num>
  <w:num w:numId="38">
    <w:abstractNumId w:val="19"/>
  </w:num>
  <w:num w:numId="39">
    <w:abstractNumId w:val="54"/>
  </w:num>
  <w:num w:numId="40">
    <w:abstractNumId w:val="36"/>
  </w:num>
  <w:num w:numId="41">
    <w:abstractNumId w:val="73"/>
  </w:num>
  <w:num w:numId="42">
    <w:abstractNumId w:val="50"/>
  </w:num>
  <w:num w:numId="43">
    <w:abstractNumId w:val="29"/>
  </w:num>
  <w:num w:numId="44">
    <w:abstractNumId w:val="26"/>
  </w:num>
  <w:num w:numId="45">
    <w:abstractNumId w:val="59"/>
  </w:num>
  <w:num w:numId="46">
    <w:abstractNumId w:val="55"/>
  </w:num>
  <w:num w:numId="47">
    <w:abstractNumId w:val="43"/>
  </w:num>
  <w:num w:numId="48">
    <w:abstractNumId w:val="61"/>
  </w:num>
  <w:num w:numId="49">
    <w:abstractNumId w:val="51"/>
  </w:num>
  <w:num w:numId="50">
    <w:abstractNumId w:val="32"/>
  </w:num>
  <w:num w:numId="51">
    <w:abstractNumId w:val="14"/>
  </w:num>
  <w:num w:numId="52">
    <w:abstractNumId w:val="39"/>
  </w:num>
  <w:num w:numId="53">
    <w:abstractNumId w:val="53"/>
  </w:num>
  <w:num w:numId="54">
    <w:abstractNumId w:val="35"/>
  </w:num>
  <w:num w:numId="55">
    <w:abstractNumId w:val="28"/>
  </w:num>
  <w:num w:numId="56">
    <w:abstractNumId w:val="52"/>
  </w:num>
  <w:num w:numId="57">
    <w:abstractNumId w:val="2"/>
  </w:num>
  <w:num w:numId="58">
    <w:abstractNumId w:val="69"/>
  </w:num>
  <w:num w:numId="59">
    <w:abstractNumId w:val="7"/>
  </w:num>
  <w:num w:numId="60">
    <w:abstractNumId w:val="27"/>
  </w:num>
  <w:num w:numId="61">
    <w:abstractNumId w:val="38"/>
  </w:num>
  <w:num w:numId="62">
    <w:abstractNumId w:val="15"/>
  </w:num>
  <w:num w:numId="63">
    <w:abstractNumId w:val="68"/>
  </w:num>
  <w:num w:numId="64">
    <w:abstractNumId w:val="5"/>
  </w:num>
  <w:num w:numId="65">
    <w:abstractNumId w:val="34"/>
  </w:num>
  <w:num w:numId="66">
    <w:abstractNumId w:val="72"/>
  </w:num>
  <w:num w:numId="67">
    <w:abstractNumId w:val="11"/>
  </w:num>
  <w:num w:numId="68">
    <w:abstractNumId w:val="66"/>
  </w:num>
  <w:num w:numId="69">
    <w:abstractNumId w:val="33"/>
  </w:num>
  <w:num w:numId="70">
    <w:abstractNumId w:val="17"/>
  </w:num>
  <w:num w:numId="71">
    <w:abstractNumId w:val="74"/>
  </w:num>
  <w:num w:numId="72">
    <w:abstractNumId w:val="67"/>
  </w:num>
  <w:num w:numId="73">
    <w:abstractNumId w:val="0"/>
  </w:num>
  <w:num w:numId="74">
    <w:abstractNumId w:val="44"/>
  </w:num>
  <w:num w:numId="75">
    <w:abstractNumId w:val="22"/>
  </w:num>
  <w:num w:numId="76">
    <w:abstractNumId w:val="23"/>
  </w:num>
  <w:num w:numId="77">
    <w:abstractNumId w:val="4"/>
  </w:num>
  <w:num w:numId="78">
    <w:abstractNumId w:val="5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CFE"/>
    <w:rsid w:val="000007D6"/>
    <w:rsid w:val="00001FB1"/>
    <w:rsid w:val="000029F1"/>
    <w:rsid w:val="000029F2"/>
    <w:rsid w:val="00003958"/>
    <w:rsid w:val="0000478C"/>
    <w:rsid w:val="0000493A"/>
    <w:rsid w:val="00005AA0"/>
    <w:rsid w:val="00005C31"/>
    <w:rsid w:val="0000638A"/>
    <w:rsid w:val="000070F4"/>
    <w:rsid w:val="00010106"/>
    <w:rsid w:val="00010E58"/>
    <w:rsid w:val="000115F4"/>
    <w:rsid w:val="00012048"/>
    <w:rsid w:val="0001397F"/>
    <w:rsid w:val="00014CAF"/>
    <w:rsid w:val="00021F4B"/>
    <w:rsid w:val="00022FA0"/>
    <w:rsid w:val="00024FD2"/>
    <w:rsid w:val="00025E0C"/>
    <w:rsid w:val="000265CB"/>
    <w:rsid w:val="00026A00"/>
    <w:rsid w:val="0003028F"/>
    <w:rsid w:val="000315D1"/>
    <w:rsid w:val="00034D7A"/>
    <w:rsid w:val="00035959"/>
    <w:rsid w:val="00035994"/>
    <w:rsid w:val="00036099"/>
    <w:rsid w:val="00044275"/>
    <w:rsid w:val="00045B82"/>
    <w:rsid w:val="0004778A"/>
    <w:rsid w:val="000503DF"/>
    <w:rsid w:val="00050CA4"/>
    <w:rsid w:val="00051490"/>
    <w:rsid w:val="0005333A"/>
    <w:rsid w:val="00053F02"/>
    <w:rsid w:val="00054FA6"/>
    <w:rsid w:val="00056931"/>
    <w:rsid w:val="00057C22"/>
    <w:rsid w:val="00061F27"/>
    <w:rsid w:val="000624F8"/>
    <w:rsid w:val="000625E7"/>
    <w:rsid w:val="00062EBF"/>
    <w:rsid w:val="00063DF8"/>
    <w:rsid w:val="000669C2"/>
    <w:rsid w:val="00067C89"/>
    <w:rsid w:val="00070103"/>
    <w:rsid w:val="00070EEB"/>
    <w:rsid w:val="00073869"/>
    <w:rsid w:val="0007747E"/>
    <w:rsid w:val="0008006C"/>
    <w:rsid w:val="00081B3C"/>
    <w:rsid w:val="000829B0"/>
    <w:rsid w:val="00082BF4"/>
    <w:rsid w:val="00082CE0"/>
    <w:rsid w:val="00083616"/>
    <w:rsid w:val="00084F41"/>
    <w:rsid w:val="00085F96"/>
    <w:rsid w:val="00086B7A"/>
    <w:rsid w:val="00086F53"/>
    <w:rsid w:val="0008765D"/>
    <w:rsid w:val="000902E1"/>
    <w:rsid w:val="00090754"/>
    <w:rsid w:val="000922FD"/>
    <w:rsid w:val="00093209"/>
    <w:rsid w:val="000936F3"/>
    <w:rsid w:val="00093DBA"/>
    <w:rsid w:val="00096046"/>
    <w:rsid w:val="0009660C"/>
    <w:rsid w:val="00096D9E"/>
    <w:rsid w:val="0009746D"/>
    <w:rsid w:val="000A1CB1"/>
    <w:rsid w:val="000A3DCC"/>
    <w:rsid w:val="000B0F80"/>
    <w:rsid w:val="000B15C2"/>
    <w:rsid w:val="000B3C6D"/>
    <w:rsid w:val="000B3FF3"/>
    <w:rsid w:val="000B51FF"/>
    <w:rsid w:val="000B5EB8"/>
    <w:rsid w:val="000C0304"/>
    <w:rsid w:val="000C0755"/>
    <w:rsid w:val="000C0AAA"/>
    <w:rsid w:val="000C21F6"/>
    <w:rsid w:val="000C32EC"/>
    <w:rsid w:val="000C3D61"/>
    <w:rsid w:val="000C418A"/>
    <w:rsid w:val="000C432E"/>
    <w:rsid w:val="000C6BE7"/>
    <w:rsid w:val="000C73CB"/>
    <w:rsid w:val="000D029A"/>
    <w:rsid w:val="000D1152"/>
    <w:rsid w:val="000D17E6"/>
    <w:rsid w:val="000D1D4E"/>
    <w:rsid w:val="000D237B"/>
    <w:rsid w:val="000D28B8"/>
    <w:rsid w:val="000D4B81"/>
    <w:rsid w:val="000D4D71"/>
    <w:rsid w:val="000D58A9"/>
    <w:rsid w:val="000D5A34"/>
    <w:rsid w:val="000E135B"/>
    <w:rsid w:val="000E138B"/>
    <w:rsid w:val="000E21C1"/>
    <w:rsid w:val="000E2721"/>
    <w:rsid w:val="000E2CAE"/>
    <w:rsid w:val="000E3269"/>
    <w:rsid w:val="000E3FA5"/>
    <w:rsid w:val="000F22FE"/>
    <w:rsid w:val="000F3408"/>
    <w:rsid w:val="000F3667"/>
    <w:rsid w:val="000F3C6A"/>
    <w:rsid w:val="000F4B9B"/>
    <w:rsid w:val="000F65D5"/>
    <w:rsid w:val="000F6C77"/>
    <w:rsid w:val="000F79F2"/>
    <w:rsid w:val="00100D72"/>
    <w:rsid w:val="00101138"/>
    <w:rsid w:val="00101698"/>
    <w:rsid w:val="001024D9"/>
    <w:rsid w:val="00102770"/>
    <w:rsid w:val="00102A20"/>
    <w:rsid w:val="00103941"/>
    <w:rsid w:val="00104004"/>
    <w:rsid w:val="0010464C"/>
    <w:rsid w:val="00106B95"/>
    <w:rsid w:val="001070CA"/>
    <w:rsid w:val="00110CF0"/>
    <w:rsid w:val="00110DC9"/>
    <w:rsid w:val="00112F05"/>
    <w:rsid w:val="001135B0"/>
    <w:rsid w:val="00114196"/>
    <w:rsid w:val="00116B1A"/>
    <w:rsid w:val="001172CC"/>
    <w:rsid w:val="0012042A"/>
    <w:rsid w:val="0012141A"/>
    <w:rsid w:val="001228BE"/>
    <w:rsid w:val="00126B84"/>
    <w:rsid w:val="00130C71"/>
    <w:rsid w:val="00132352"/>
    <w:rsid w:val="0013238B"/>
    <w:rsid w:val="00132BBC"/>
    <w:rsid w:val="0013360E"/>
    <w:rsid w:val="00135F02"/>
    <w:rsid w:val="0013794A"/>
    <w:rsid w:val="00137DD6"/>
    <w:rsid w:val="00137F0C"/>
    <w:rsid w:val="0014128C"/>
    <w:rsid w:val="001412A5"/>
    <w:rsid w:val="0014176F"/>
    <w:rsid w:val="00143B74"/>
    <w:rsid w:val="00143E80"/>
    <w:rsid w:val="00144E6F"/>
    <w:rsid w:val="00145338"/>
    <w:rsid w:val="00147B9B"/>
    <w:rsid w:val="00150928"/>
    <w:rsid w:val="001516AF"/>
    <w:rsid w:val="0015198A"/>
    <w:rsid w:val="00152AD0"/>
    <w:rsid w:val="00154C1E"/>
    <w:rsid w:val="00160725"/>
    <w:rsid w:val="00162818"/>
    <w:rsid w:val="001632F4"/>
    <w:rsid w:val="00170FE4"/>
    <w:rsid w:val="001713E0"/>
    <w:rsid w:val="00173042"/>
    <w:rsid w:val="001734D9"/>
    <w:rsid w:val="00186741"/>
    <w:rsid w:val="00186D85"/>
    <w:rsid w:val="001874E0"/>
    <w:rsid w:val="001901E1"/>
    <w:rsid w:val="0019107B"/>
    <w:rsid w:val="00192632"/>
    <w:rsid w:val="00193181"/>
    <w:rsid w:val="001947B9"/>
    <w:rsid w:val="001A01C1"/>
    <w:rsid w:val="001A1D4F"/>
    <w:rsid w:val="001A31F5"/>
    <w:rsid w:val="001A3F5B"/>
    <w:rsid w:val="001A41EB"/>
    <w:rsid w:val="001A55C0"/>
    <w:rsid w:val="001A7FCE"/>
    <w:rsid w:val="001B0F97"/>
    <w:rsid w:val="001B5183"/>
    <w:rsid w:val="001B5CC1"/>
    <w:rsid w:val="001B6D0F"/>
    <w:rsid w:val="001C1CD1"/>
    <w:rsid w:val="001C2213"/>
    <w:rsid w:val="001C4868"/>
    <w:rsid w:val="001C5078"/>
    <w:rsid w:val="001C70C5"/>
    <w:rsid w:val="001C7469"/>
    <w:rsid w:val="001C7492"/>
    <w:rsid w:val="001D0035"/>
    <w:rsid w:val="001D16D4"/>
    <w:rsid w:val="001D24DB"/>
    <w:rsid w:val="001D2505"/>
    <w:rsid w:val="001D4D32"/>
    <w:rsid w:val="001D5056"/>
    <w:rsid w:val="001D59E8"/>
    <w:rsid w:val="001D6ACA"/>
    <w:rsid w:val="001D6D51"/>
    <w:rsid w:val="001D763C"/>
    <w:rsid w:val="001E0397"/>
    <w:rsid w:val="001E4035"/>
    <w:rsid w:val="001E57F7"/>
    <w:rsid w:val="001E6C95"/>
    <w:rsid w:val="001F2B2C"/>
    <w:rsid w:val="001F382D"/>
    <w:rsid w:val="001F47E8"/>
    <w:rsid w:val="001F6650"/>
    <w:rsid w:val="00200059"/>
    <w:rsid w:val="002029D9"/>
    <w:rsid w:val="00202F0B"/>
    <w:rsid w:val="0020436A"/>
    <w:rsid w:val="00206218"/>
    <w:rsid w:val="00206BBD"/>
    <w:rsid w:val="0020737D"/>
    <w:rsid w:val="00207CDE"/>
    <w:rsid w:val="00211E12"/>
    <w:rsid w:val="00213DF4"/>
    <w:rsid w:val="00213F52"/>
    <w:rsid w:val="0021663E"/>
    <w:rsid w:val="00216D9C"/>
    <w:rsid w:val="00216E09"/>
    <w:rsid w:val="002223D8"/>
    <w:rsid w:val="00224246"/>
    <w:rsid w:val="002258EE"/>
    <w:rsid w:val="00225BB8"/>
    <w:rsid w:val="00226666"/>
    <w:rsid w:val="0022685E"/>
    <w:rsid w:val="0023137D"/>
    <w:rsid w:val="002331B6"/>
    <w:rsid w:val="00233279"/>
    <w:rsid w:val="002333F5"/>
    <w:rsid w:val="0023477E"/>
    <w:rsid w:val="00235DDA"/>
    <w:rsid w:val="00240630"/>
    <w:rsid w:val="0024243D"/>
    <w:rsid w:val="00243A52"/>
    <w:rsid w:val="00243F33"/>
    <w:rsid w:val="0024625C"/>
    <w:rsid w:val="0024785C"/>
    <w:rsid w:val="00247DAC"/>
    <w:rsid w:val="002504B6"/>
    <w:rsid w:val="00250592"/>
    <w:rsid w:val="002512C0"/>
    <w:rsid w:val="00251DB6"/>
    <w:rsid w:val="00253707"/>
    <w:rsid w:val="00255F78"/>
    <w:rsid w:val="0025697E"/>
    <w:rsid w:val="002600A1"/>
    <w:rsid w:val="00266E8A"/>
    <w:rsid w:val="00267618"/>
    <w:rsid w:val="00267ADE"/>
    <w:rsid w:val="002701E1"/>
    <w:rsid w:val="002724A9"/>
    <w:rsid w:val="0027264D"/>
    <w:rsid w:val="00272F35"/>
    <w:rsid w:val="002766B4"/>
    <w:rsid w:val="002772CB"/>
    <w:rsid w:val="0027741D"/>
    <w:rsid w:val="002801AE"/>
    <w:rsid w:val="00280C09"/>
    <w:rsid w:val="0028105A"/>
    <w:rsid w:val="0028129E"/>
    <w:rsid w:val="00281981"/>
    <w:rsid w:val="00281B6C"/>
    <w:rsid w:val="0028275F"/>
    <w:rsid w:val="002838E7"/>
    <w:rsid w:val="00286723"/>
    <w:rsid w:val="002873A5"/>
    <w:rsid w:val="002876D3"/>
    <w:rsid w:val="00287947"/>
    <w:rsid w:val="00287C70"/>
    <w:rsid w:val="00293045"/>
    <w:rsid w:val="00294327"/>
    <w:rsid w:val="002944DE"/>
    <w:rsid w:val="00294A31"/>
    <w:rsid w:val="002957B8"/>
    <w:rsid w:val="00296D7F"/>
    <w:rsid w:val="002A315B"/>
    <w:rsid w:val="002A4369"/>
    <w:rsid w:val="002A4FA2"/>
    <w:rsid w:val="002A6769"/>
    <w:rsid w:val="002A6CD5"/>
    <w:rsid w:val="002B0C2C"/>
    <w:rsid w:val="002B1931"/>
    <w:rsid w:val="002B5A16"/>
    <w:rsid w:val="002B653F"/>
    <w:rsid w:val="002B692A"/>
    <w:rsid w:val="002B6AB7"/>
    <w:rsid w:val="002C2BDB"/>
    <w:rsid w:val="002C2F10"/>
    <w:rsid w:val="002C30CE"/>
    <w:rsid w:val="002C31E6"/>
    <w:rsid w:val="002C506C"/>
    <w:rsid w:val="002D0722"/>
    <w:rsid w:val="002D18E0"/>
    <w:rsid w:val="002D23D0"/>
    <w:rsid w:val="002D597B"/>
    <w:rsid w:val="002D6798"/>
    <w:rsid w:val="002D7E91"/>
    <w:rsid w:val="002E02F0"/>
    <w:rsid w:val="002E21CB"/>
    <w:rsid w:val="002E34D7"/>
    <w:rsid w:val="002E38A9"/>
    <w:rsid w:val="002E499C"/>
    <w:rsid w:val="002E67C6"/>
    <w:rsid w:val="002E6BF4"/>
    <w:rsid w:val="002E72F8"/>
    <w:rsid w:val="002E7BAE"/>
    <w:rsid w:val="002F274F"/>
    <w:rsid w:val="002F436A"/>
    <w:rsid w:val="002F5846"/>
    <w:rsid w:val="002F5F37"/>
    <w:rsid w:val="002F76AA"/>
    <w:rsid w:val="002F7A75"/>
    <w:rsid w:val="003022DC"/>
    <w:rsid w:val="003049DD"/>
    <w:rsid w:val="00304CD0"/>
    <w:rsid w:val="00304F3C"/>
    <w:rsid w:val="00304FE0"/>
    <w:rsid w:val="00306712"/>
    <w:rsid w:val="00307279"/>
    <w:rsid w:val="00307DC8"/>
    <w:rsid w:val="00310069"/>
    <w:rsid w:val="0031031E"/>
    <w:rsid w:val="003119D7"/>
    <w:rsid w:val="0031244E"/>
    <w:rsid w:val="003134CD"/>
    <w:rsid w:val="00313B04"/>
    <w:rsid w:val="003147F5"/>
    <w:rsid w:val="00314CDA"/>
    <w:rsid w:val="00317AF2"/>
    <w:rsid w:val="00320B17"/>
    <w:rsid w:val="003213C9"/>
    <w:rsid w:val="003227CE"/>
    <w:rsid w:val="00324B21"/>
    <w:rsid w:val="003265C5"/>
    <w:rsid w:val="00326F31"/>
    <w:rsid w:val="00327EFF"/>
    <w:rsid w:val="0033073A"/>
    <w:rsid w:val="003320DA"/>
    <w:rsid w:val="0033246E"/>
    <w:rsid w:val="003347C9"/>
    <w:rsid w:val="00334FC9"/>
    <w:rsid w:val="00337226"/>
    <w:rsid w:val="00337553"/>
    <w:rsid w:val="00337E3E"/>
    <w:rsid w:val="00343F2A"/>
    <w:rsid w:val="00345403"/>
    <w:rsid w:val="003455CD"/>
    <w:rsid w:val="00346D66"/>
    <w:rsid w:val="00350735"/>
    <w:rsid w:val="0035206F"/>
    <w:rsid w:val="003532A0"/>
    <w:rsid w:val="0035351E"/>
    <w:rsid w:val="003540A5"/>
    <w:rsid w:val="00354872"/>
    <w:rsid w:val="00355D59"/>
    <w:rsid w:val="0035750F"/>
    <w:rsid w:val="00360B1A"/>
    <w:rsid w:val="003612B7"/>
    <w:rsid w:val="00361410"/>
    <w:rsid w:val="003614EF"/>
    <w:rsid w:val="00364338"/>
    <w:rsid w:val="00365442"/>
    <w:rsid w:val="00370AE0"/>
    <w:rsid w:val="00373049"/>
    <w:rsid w:val="003738B1"/>
    <w:rsid w:val="00373B75"/>
    <w:rsid w:val="003849E7"/>
    <w:rsid w:val="00387E20"/>
    <w:rsid w:val="003901A0"/>
    <w:rsid w:val="00390E37"/>
    <w:rsid w:val="003914AF"/>
    <w:rsid w:val="003924B6"/>
    <w:rsid w:val="00392B3C"/>
    <w:rsid w:val="00392D61"/>
    <w:rsid w:val="00393740"/>
    <w:rsid w:val="00393938"/>
    <w:rsid w:val="00393B8B"/>
    <w:rsid w:val="00394D8B"/>
    <w:rsid w:val="00394FDF"/>
    <w:rsid w:val="0039642F"/>
    <w:rsid w:val="003A1960"/>
    <w:rsid w:val="003A29B3"/>
    <w:rsid w:val="003A2B5F"/>
    <w:rsid w:val="003A2C6D"/>
    <w:rsid w:val="003A2F0B"/>
    <w:rsid w:val="003A48D8"/>
    <w:rsid w:val="003A4BBD"/>
    <w:rsid w:val="003A5D3E"/>
    <w:rsid w:val="003A7224"/>
    <w:rsid w:val="003A7569"/>
    <w:rsid w:val="003B10EC"/>
    <w:rsid w:val="003B1F29"/>
    <w:rsid w:val="003B4077"/>
    <w:rsid w:val="003B455F"/>
    <w:rsid w:val="003B521E"/>
    <w:rsid w:val="003B5F87"/>
    <w:rsid w:val="003B65C3"/>
    <w:rsid w:val="003B6C94"/>
    <w:rsid w:val="003B77D8"/>
    <w:rsid w:val="003C0808"/>
    <w:rsid w:val="003C2D50"/>
    <w:rsid w:val="003C3B2B"/>
    <w:rsid w:val="003C5D84"/>
    <w:rsid w:val="003C5E8C"/>
    <w:rsid w:val="003C64C6"/>
    <w:rsid w:val="003C66F6"/>
    <w:rsid w:val="003C6D7C"/>
    <w:rsid w:val="003C73AF"/>
    <w:rsid w:val="003D0239"/>
    <w:rsid w:val="003D2157"/>
    <w:rsid w:val="003D538A"/>
    <w:rsid w:val="003D543C"/>
    <w:rsid w:val="003D61F1"/>
    <w:rsid w:val="003D667F"/>
    <w:rsid w:val="003E007F"/>
    <w:rsid w:val="003E15CA"/>
    <w:rsid w:val="003E1FD9"/>
    <w:rsid w:val="003E20E0"/>
    <w:rsid w:val="003E2413"/>
    <w:rsid w:val="003E4A2C"/>
    <w:rsid w:val="003E5E4A"/>
    <w:rsid w:val="003F0256"/>
    <w:rsid w:val="003F12DD"/>
    <w:rsid w:val="003F1DE2"/>
    <w:rsid w:val="003F25E8"/>
    <w:rsid w:val="003F288C"/>
    <w:rsid w:val="003F2928"/>
    <w:rsid w:val="003F34C0"/>
    <w:rsid w:val="003F4313"/>
    <w:rsid w:val="003F47CA"/>
    <w:rsid w:val="003F494C"/>
    <w:rsid w:val="003F50DE"/>
    <w:rsid w:val="003F55C1"/>
    <w:rsid w:val="003F5C09"/>
    <w:rsid w:val="003F626F"/>
    <w:rsid w:val="003F63CC"/>
    <w:rsid w:val="003F687A"/>
    <w:rsid w:val="004023A4"/>
    <w:rsid w:val="00402DE3"/>
    <w:rsid w:val="00403ABE"/>
    <w:rsid w:val="00403FF4"/>
    <w:rsid w:val="00404666"/>
    <w:rsid w:val="004047E2"/>
    <w:rsid w:val="004047F2"/>
    <w:rsid w:val="0040493C"/>
    <w:rsid w:val="00405C2A"/>
    <w:rsid w:val="00405D1F"/>
    <w:rsid w:val="00405E02"/>
    <w:rsid w:val="00411090"/>
    <w:rsid w:val="00412676"/>
    <w:rsid w:val="004157CA"/>
    <w:rsid w:val="0041717A"/>
    <w:rsid w:val="00417E5A"/>
    <w:rsid w:val="00421E08"/>
    <w:rsid w:val="00422D5D"/>
    <w:rsid w:val="0042513E"/>
    <w:rsid w:val="004259FE"/>
    <w:rsid w:val="0042736F"/>
    <w:rsid w:val="004277FF"/>
    <w:rsid w:val="004301A9"/>
    <w:rsid w:val="00433308"/>
    <w:rsid w:val="00433A63"/>
    <w:rsid w:val="00433C1D"/>
    <w:rsid w:val="004368BF"/>
    <w:rsid w:val="00437187"/>
    <w:rsid w:val="00440FF2"/>
    <w:rsid w:val="0044155E"/>
    <w:rsid w:val="00441DEB"/>
    <w:rsid w:val="00442A73"/>
    <w:rsid w:val="0044300E"/>
    <w:rsid w:val="00444DA6"/>
    <w:rsid w:val="00445879"/>
    <w:rsid w:val="00445D23"/>
    <w:rsid w:val="00451245"/>
    <w:rsid w:val="00451C07"/>
    <w:rsid w:val="004520A5"/>
    <w:rsid w:val="004521CE"/>
    <w:rsid w:val="004525A9"/>
    <w:rsid w:val="00453CE4"/>
    <w:rsid w:val="00455282"/>
    <w:rsid w:val="00455A37"/>
    <w:rsid w:val="0045613F"/>
    <w:rsid w:val="00456DDD"/>
    <w:rsid w:val="0045773B"/>
    <w:rsid w:val="004578C9"/>
    <w:rsid w:val="00457FCC"/>
    <w:rsid w:val="00460BB8"/>
    <w:rsid w:val="00460EB7"/>
    <w:rsid w:val="004619CE"/>
    <w:rsid w:val="00461B2E"/>
    <w:rsid w:val="00461C87"/>
    <w:rsid w:val="004622A9"/>
    <w:rsid w:val="004638FD"/>
    <w:rsid w:val="0046664D"/>
    <w:rsid w:val="0047022C"/>
    <w:rsid w:val="00470D95"/>
    <w:rsid w:val="00471FE9"/>
    <w:rsid w:val="0047269E"/>
    <w:rsid w:val="00472B9D"/>
    <w:rsid w:val="00474866"/>
    <w:rsid w:val="00474EAB"/>
    <w:rsid w:val="004805D2"/>
    <w:rsid w:val="004813B9"/>
    <w:rsid w:val="004846F7"/>
    <w:rsid w:val="0048470D"/>
    <w:rsid w:val="00485E0F"/>
    <w:rsid w:val="004864A3"/>
    <w:rsid w:val="0048784E"/>
    <w:rsid w:val="00487DD5"/>
    <w:rsid w:val="00490C41"/>
    <w:rsid w:val="00490F82"/>
    <w:rsid w:val="00492261"/>
    <w:rsid w:val="004922A2"/>
    <w:rsid w:val="00492C09"/>
    <w:rsid w:val="00493EA5"/>
    <w:rsid w:val="00494216"/>
    <w:rsid w:val="004946E8"/>
    <w:rsid w:val="00494BFC"/>
    <w:rsid w:val="00495A35"/>
    <w:rsid w:val="004969D1"/>
    <w:rsid w:val="00496ADA"/>
    <w:rsid w:val="004976DE"/>
    <w:rsid w:val="004A0007"/>
    <w:rsid w:val="004A0911"/>
    <w:rsid w:val="004A4476"/>
    <w:rsid w:val="004A5ED3"/>
    <w:rsid w:val="004A61BB"/>
    <w:rsid w:val="004A6D11"/>
    <w:rsid w:val="004A6F78"/>
    <w:rsid w:val="004A700B"/>
    <w:rsid w:val="004B0820"/>
    <w:rsid w:val="004B1086"/>
    <w:rsid w:val="004B2FB9"/>
    <w:rsid w:val="004B4702"/>
    <w:rsid w:val="004B6699"/>
    <w:rsid w:val="004B7123"/>
    <w:rsid w:val="004B7466"/>
    <w:rsid w:val="004B74E8"/>
    <w:rsid w:val="004C05C7"/>
    <w:rsid w:val="004C12B8"/>
    <w:rsid w:val="004C1807"/>
    <w:rsid w:val="004D02B7"/>
    <w:rsid w:val="004D02C6"/>
    <w:rsid w:val="004D14BB"/>
    <w:rsid w:val="004D49D8"/>
    <w:rsid w:val="004D529B"/>
    <w:rsid w:val="004D5C0E"/>
    <w:rsid w:val="004D5F28"/>
    <w:rsid w:val="004E3756"/>
    <w:rsid w:val="004F0A4D"/>
    <w:rsid w:val="004F1AEB"/>
    <w:rsid w:val="004F1F41"/>
    <w:rsid w:val="004F20B3"/>
    <w:rsid w:val="004F21ED"/>
    <w:rsid w:val="004F2AAC"/>
    <w:rsid w:val="004F2E5C"/>
    <w:rsid w:val="004F30ED"/>
    <w:rsid w:val="004F4278"/>
    <w:rsid w:val="004F576E"/>
    <w:rsid w:val="004F7DC6"/>
    <w:rsid w:val="004F7E36"/>
    <w:rsid w:val="00500494"/>
    <w:rsid w:val="00500A20"/>
    <w:rsid w:val="00500A2D"/>
    <w:rsid w:val="0050143B"/>
    <w:rsid w:val="00501FC4"/>
    <w:rsid w:val="00502A8C"/>
    <w:rsid w:val="005033E1"/>
    <w:rsid w:val="005039AB"/>
    <w:rsid w:val="005047AD"/>
    <w:rsid w:val="00505D4A"/>
    <w:rsid w:val="00506F66"/>
    <w:rsid w:val="0050756F"/>
    <w:rsid w:val="0051359D"/>
    <w:rsid w:val="0051437F"/>
    <w:rsid w:val="005144E7"/>
    <w:rsid w:val="005148EB"/>
    <w:rsid w:val="00514BF9"/>
    <w:rsid w:val="00515F91"/>
    <w:rsid w:val="005173A2"/>
    <w:rsid w:val="00520C1B"/>
    <w:rsid w:val="00521B79"/>
    <w:rsid w:val="00522FB5"/>
    <w:rsid w:val="005238D0"/>
    <w:rsid w:val="005241C3"/>
    <w:rsid w:val="00526435"/>
    <w:rsid w:val="00526A73"/>
    <w:rsid w:val="00527977"/>
    <w:rsid w:val="005304BA"/>
    <w:rsid w:val="005322C3"/>
    <w:rsid w:val="00532C51"/>
    <w:rsid w:val="005339B8"/>
    <w:rsid w:val="00534364"/>
    <w:rsid w:val="00534BDC"/>
    <w:rsid w:val="00537C75"/>
    <w:rsid w:val="00537E82"/>
    <w:rsid w:val="00541027"/>
    <w:rsid w:val="00542F37"/>
    <w:rsid w:val="00543BF9"/>
    <w:rsid w:val="00543D37"/>
    <w:rsid w:val="00544D95"/>
    <w:rsid w:val="00545198"/>
    <w:rsid w:val="00550F9C"/>
    <w:rsid w:val="0055209C"/>
    <w:rsid w:val="00552617"/>
    <w:rsid w:val="00552ABA"/>
    <w:rsid w:val="005539FC"/>
    <w:rsid w:val="00554105"/>
    <w:rsid w:val="0055519A"/>
    <w:rsid w:val="005552BE"/>
    <w:rsid w:val="00555722"/>
    <w:rsid w:val="005561DA"/>
    <w:rsid w:val="00556EAA"/>
    <w:rsid w:val="00557419"/>
    <w:rsid w:val="0056296F"/>
    <w:rsid w:val="00562BFD"/>
    <w:rsid w:val="00562DEE"/>
    <w:rsid w:val="00562E38"/>
    <w:rsid w:val="00565252"/>
    <w:rsid w:val="00565EF7"/>
    <w:rsid w:val="00566E27"/>
    <w:rsid w:val="00570129"/>
    <w:rsid w:val="00573300"/>
    <w:rsid w:val="00573F93"/>
    <w:rsid w:val="00574D57"/>
    <w:rsid w:val="005750D1"/>
    <w:rsid w:val="0057527E"/>
    <w:rsid w:val="00575982"/>
    <w:rsid w:val="00576619"/>
    <w:rsid w:val="00576D45"/>
    <w:rsid w:val="00577D82"/>
    <w:rsid w:val="005801E1"/>
    <w:rsid w:val="00580B1E"/>
    <w:rsid w:val="005814AA"/>
    <w:rsid w:val="00584328"/>
    <w:rsid w:val="00585F62"/>
    <w:rsid w:val="00592E8B"/>
    <w:rsid w:val="00594106"/>
    <w:rsid w:val="0059599A"/>
    <w:rsid w:val="00597BA7"/>
    <w:rsid w:val="005A1091"/>
    <w:rsid w:val="005A23B6"/>
    <w:rsid w:val="005A619C"/>
    <w:rsid w:val="005B0370"/>
    <w:rsid w:val="005B062F"/>
    <w:rsid w:val="005B0D34"/>
    <w:rsid w:val="005B13F2"/>
    <w:rsid w:val="005B2432"/>
    <w:rsid w:val="005B5F12"/>
    <w:rsid w:val="005B64B5"/>
    <w:rsid w:val="005C26C8"/>
    <w:rsid w:val="005C62A8"/>
    <w:rsid w:val="005C6422"/>
    <w:rsid w:val="005C6B1E"/>
    <w:rsid w:val="005D0B47"/>
    <w:rsid w:val="005D0EF9"/>
    <w:rsid w:val="005D45A3"/>
    <w:rsid w:val="005D4C9D"/>
    <w:rsid w:val="005D5895"/>
    <w:rsid w:val="005D6B78"/>
    <w:rsid w:val="005E1E6C"/>
    <w:rsid w:val="005E1FD0"/>
    <w:rsid w:val="005E3411"/>
    <w:rsid w:val="005E380D"/>
    <w:rsid w:val="005E3D6D"/>
    <w:rsid w:val="005E45E3"/>
    <w:rsid w:val="005F3CAA"/>
    <w:rsid w:val="005F7A87"/>
    <w:rsid w:val="006001D6"/>
    <w:rsid w:val="00600408"/>
    <w:rsid w:val="00600EAF"/>
    <w:rsid w:val="00600F48"/>
    <w:rsid w:val="00602EA8"/>
    <w:rsid w:val="00603F26"/>
    <w:rsid w:val="00604982"/>
    <w:rsid w:val="0060528C"/>
    <w:rsid w:val="00605C54"/>
    <w:rsid w:val="00606673"/>
    <w:rsid w:val="0060695F"/>
    <w:rsid w:val="006101C3"/>
    <w:rsid w:val="00610332"/>
    <w:rsid w:val="0061344B"/>
    <w:rsid w:val="00613DC2"/>
    <w:rsid w:val="00615C33"/>
    <w:rsid w:val="00621730"/>
    <w:rsid w:val="00622038"/>
    <w:rsid w:val="00623CD9"/>
    <w:rsid w:val="00624323"/>
    <w:rsid w:val="0062494D"/>
    <w:rsid w:val="0062495A"/>
    <w:rsid w:val="00624CE9"/>
    <w:rsid w:val="0063015A"/>
    <w:rsid w:val="00630819"/>
    <w:rsid w:val="00631615"/>
    <w:rsid w:val="00631918"/>
    <w:rsid w:val="00631D6E"/>
    <w:rsid w:val="00634ACD"/>
    <w:rsid w:val="00637D9E"/>
    <w:rsid w:val="00637DAF"/>
    <w:rsid w:val="006405E3"/>
    <w:rsid w:val="00640866"/>
    <w:rsid w:val="00640BB4"/>
    <w:rsid w:val="00641627"/>
    <w:rsid w:val="006437D6"/>
    <w:rsid w:val="006438AD"/>
    <w:rsid w:val="00643CF6"/>
    <w:rsid w:val="00644671"/>
    <w:rsid w:val="006449DF"/>
    <w:rsid w:val="00645092"/>
    <w:rsid w:val="00646C7D"/>
    <w:rsid w:val="00647A07"/>
    <w:rsid w:val="00651072"/>
    <w:rsid w:val="00652609"/>
    <w:rsid w:val="006531B4"/>
    <w:rsid w:val="00653FB5"/>
    <w:rsid w:val="00654744"/>
    <w:rsid w:val="00654EA5"/>
    <w:rsid w:val="00655491"/>
    <w:rsid w:val="006566B2"/>
    <w:rsid w:val="00656ADE"/>
    <w:rsid w:val="00657E40"/>
    <w:rsid w:val="0066067A"/>
    <w:rsid w:val="0066074C"/>
    <w:rsid w:val="00660E81"/>
    <w:rsid w:val="006634DD"/>
    <w:rsid w:val="00663BE8"/>
    <w:rsid w:val="00665302"/>
    <w:rsid w:val="0066554D"/>
    <w:rsid w:val="0066576E"/>
    <w:rsid w:val="006669E7"/>
    <w:rsid w:val="006672DB"/>
    <w:rsid w:val="00672B4E"/>
    <w:rsid w:val="006735E9"/>
    <w:rsid w:val="0067398B"/>
    <w:rsid w:val="006757C1"/>
    <w:rsid w:val="0068085D"/>
    <w:rsid w:val="00684107"/>
    <w:rsid w:val="00692F00"/>
    <w:rsid w:val="00693212"/>
    <w:rsid w:val="00693243"/>
    <w:rsid w:val="00694207"/>
    <w:rsid w:val="00694EA0"/>
    <w:rsid w:val="00696F32"/>
    <w:rsid w:val="00697916"/>
    <w:rsid w:val="006A0875"/>
    <w:rsid w:val="006A104F"/>
    <w:rsid w:val="006A1314"/>
    <w:rsid w:val="006A1A83"/>
    <w:rsid w:val="006A30B0"/>
    <w:rsid w:val="006A410E"/>
    <w:rsid w:val="006A5482"/>
    <w:rsid w:val="006A59C6"/>
    <w:rsid w:val="006A6308"/>
    <w:rsid w:val="006A68A9"/>
    <w:rsid w:val="006A6BC4"/>
    <w:rsid w:val="006A7714"/>
    <w:rsid w:val="006B10AF"/>
    <w:rsid w:val="006B1A5E"/>
    <w:rsid w:val="006B31BC"/>
    <w:rsid w:val="006B3307"/>
    <w:rsid w:val="006B365A"/>
    <w:rsid w:val="006B4F59"/>
    <w:rsid w:val="006B5056"/>
    <w:rsid w:val="006B5838"/>
    <w:rsid w:val="006B63A2"/>
    <w:rsid w:val="006B7230"/>
    <w:rsid w:val="006C2212"/>
    <w:rsid w:val="006C26AB"/>
    <w:rsid w:val="006C29FE"/>
    <w:rsid w:val="006C4F25"/>
    <w:rsid w:val="006C60E0"/>
    <w:rsid w:val="006C7C89"/>
    <w:rsid w:val="006C7F87"/>
    <w:rsid w:val="006D2CE0"/>
    <w:rsid w:val="006D511C"/>
    <w:rsid w:val="006D713A"/>
    <w:rsid w:val="006E0B72"/>
    <w:rsid w:val="006E1455"/>
    <w:rsid w:val="006E15DA"/>
    <w:rsid w:val="006E16C4"/>
    <w:rsid w:val="006E1CCA"/>
    <w:rsid w:val="006E4D0C"/>
    <w:rsid w:val="006E5485"/>
    <w:rsid w:val="006E5B42"/>
    <w:rsid w:val="006E6159"/>
    <w:rsid w:val="006E72F3"/>
    <w:rsid w:val="006F1765"/>
    <w:rsid w:val="006F2436"/>
    <w:rsid w:val="006F2F91"/>
    <w:rsid w:val="006F39C7"/>
    <w:rsid w:val="006F3BE7"/>
    <w:rsid w:val="006F4113"/>
    <w:rsid w:val="00700833"/>
    <w:rsid w:val="0070564D"/>
    <w:rsid w:val="0070736C"/>
    <w:rsid w:val="00710134"/>
    <w:rsid w:val="007125C7"/>
    <w:rsid w:val="00715555"/>
    <w:rsid w:val="00715864"/>
    <w:rsid w:val="00716A2D"/>
    <w:rsid w:val="00720C54"/>
    <w:rsid w:val="00720E08"/>
    <w:rsid w:val="00722AA4"/>
    <w:rsid w:val="0072327D"/>
    <w:rsid w:val="00723D43"/>
    <w:rsid w:val="00723EC3"/>
    <w:rsid w:val="00730357"/>
    <w:rsid w:val="00730E1A"/>
    <w:rsid w:val="00732D33"/>
    <w:rsid w:val="00733D9B"/>
    <w:rsid w:val="00733E8F"/>
    <w:rsid w:val="00735718"/>
    <w:rsid w:val="00736959"/>
    <w:rsid w:val="007410C5"/>
    <w:rsid w:val="00741D16"/>
    <w:rsid w:val="00746DA7"/>
    <w:rsid w:val="0074713A"/>
    <w:rsid w:val="00751B91"/>
    <w:rsid w:val="00752E9E"/>
    <w:rsid w:val="00753DA2"/>
    <w:rsid w:val="00755007"/>
    <w:rsid w:val="00755134"/>
    <w:rsid w:val="007564FC"/>
    <w:rsid w:val="00756C90"/>
    <w:rsid w:val="007620B3"/>
    <w:rsid w:val="00763629"/>
    <w:rsid w:val="007641DA"/>
    <w:rsid w:val="007646DB"/>
    <w:rsid w:val="00764D32"/>
    <w:rsid w:val="0076763E"/>
    <w:rsid w:val="00767BBD"/>
    <w:rsid w:val="00770292"/>
    <w:rsid w:val="007721D4"/>
    <w:rsid w:val="00772CFE"/>
    <w:rsid w:val="00773264"/>
    <w:rsid w:val="00774328"/>
    <w:rsid w:val="00774BE5"/>
    <w:rsid w:val="00776CFE"/>
    <w:rsid w:val="0078159D"/>
    <w:rsid w:val="00782AB1"/>
    <w:rsid w:val="00783D80"/>
    <w:rsid w:val="0078414A"/>
    <w:rsid w:val="00785AE6"/>
    <w:rsid w:val="007861A5"/>
    <w:rsid w:val="00786437"/>
    <w:rsid w:val="00790CDD"/>
    <w:rsid w:val="00791D2D"/>
    <w:rsid w:val="00792A77"/>
    <w:rsid w:val="0079421E"/>
    <w:rsid w:val="007A0671"/>
    <w:rsid w:val="007A1068"/>
    <w:rsid w:val="007A1261"/>
    <w:rsid w:val="007A43B2"/>
    <w:rsid w:val="007A44AA"/>
    <w:rsid w:val="007A450A"/>
    <w:rsid w:val="007A5252"/>
    <w:rsid w:val="007A672C"/>
    <w:rsid w:val="007A72E3"/>
    <w:rsid w:val="007B01BF"/>
    <w:rsid w:val="007B0B9E"/>
    <w:rsid w:val="007B1719"/>
    <w:rsid w:val="007B18B7"/>
    <w:rsid w:val="007B1B49"/>
    <w:rsid w:val="007B1E50"/>
    <w:rsid w:val="007B53DA"/>
    <w:rsid w:val="007B5899"/>
    <w:rsid w:val="007B7434"/>
    <w:rsid w:val="007B780F"/>
    <w:rsid w:val="007C0A11"/>
    <w:rsid w:val="007C3598"/>
    <w:rsid w:val="007C6854"/>
    <w:rsid w:val="007C728A"/>
    <w:rsid w:val="007D07BD"/>
    <w:rsid w:val="007D2A96"/>
    <w:rsid w:val="007D30FE"/>
    <w:rsid w:val="007D3A1A"/>
    <w:rsid w:val="007D4214"/>
    <w:rsid w:val="007D4B88"/>
    <w:rsid w:val="007D6154"/>
    <w:rsid w:val="007D732B"/>
    <w:rsid w:val="007D73EE"/>
    <w:rsid w:val="007D7D2E"/>
    <w:rsid w:val="007E0B1E"/>
    <w:rsid w:val="007E0B49"/>
    <w:rsid w:val="007E0EDB"/>
    <w:rsid w:val="007E2957"/>
    <w:rsid w:val="007E4955"/>
    <w:rsid w:val="007E514F"/>
    <w:rsid w:val="007E5F9E"/>
    <w:rsid w:val="007E649D"/>
    <w:rsid w:val="007E6723"/>
    <w:rsid w:val="007F1574"/>
    <w:rsid w:val="007F1951"/>
    <w:rsid w:val="007F1D1A"/>
    <w:rsid w:val="007F1E2C"/>
    <w:rsid w:val="007F1F4A"/>
    <w:rsid w:val="007F451E"/>
    <w:rsid w:val="007F7249"/>
    <w:rsid w:val="00800935"/>
    <w:rsid w:val="00800D20"/>
    <w:rsid w:val="00800F61"/>
    <w:rsid w:val="008016B7"/>
    <w:rsid w:val="008064E4"/>
    <w:rsid w:val="00806652"/>
    <w:rsid w:val="00806A7F"/>
    <w:rsid w:val="0080770D"/>
    <w:rsid w:val="00810C9E"/>
    <w:rsid w:val="00811C59"/>
    <w:rsid w:val="00812683"/>
    <w:rsid w:val="00812AD7"/>
    <w:rsid w:val="008142AE"/>
    <w:rsid w:val="008164D0"/>
    <w:rsid w:val="008168B1"/>
    <w:rsid w:val="00817499"/>
    <w:rsid w:val="00817E78"/>
    <w:rsid w:val="00821A87"/>
    <w:rsid w:val="00821C71"/>
    <w:rsid w:val="00822055"/>
    <w:rsid w:val="00824418"/>
    <w:rsid w:val="008244A4"/>
    <w:rsid w:val="00824EA8"/>
    <w:rsid w:val="00826C01"/>
    <w:rsid w:val="00826D02"/>
    <w:rsid w:val="00830102"/>
    <w:rsid w:val="008320DD"/>
    <w:rsid w:val="00832CD0"/>
    <w:rsid w:val="00833865"/>
    <w:rsid w:val="00834876"/>
    <w:rsid w:val="00834CC7"/>
    <w:rsid w:val="00834CE6"/>
    <w:rsid w:val="00834EE2"/>
    <w:rsid w:val="008354D2"/>
    <w:rsid w:val="00836665"/>
    <w:rsid w:val="00836EC9"/>
    <w:rsid w:val="008371D6"/>
    <w:rsid w:val="0083762A"/>
    <w:rsid w:val="0084097E"/>
    <w:rsid w:val="00841F9C"/>
    <w:rsid w:val="0084406C"/>
    <w:rsid w:val="00844079"/>
    <w:rsid w:val="008446B4"/>
    <w:rsid w:val="008459DF"/>
    <w:rsid w:val="008500B0"/>
    <w:rsid w:val="008555E6"/>
    <w:rsid w:val="008560B2"/>
    <w:rsid w:val="00856D4D"/>
    <w:rsid w:val="008570DA"/>
    <w:rsid w:val="008576F8"/>
    <w:rsid w:val="00860669"/>
    <w:rsid w:val="00860841"/>
    <w:rsid w:val="00860CC2"/>
    <w:rsid w:val="00861533"/>
    <w:rsid w:val="00864DF8"/>
    <w:rsid w:val="00865BB7"/>
    <w:rsid w:val="00865D7A"/>
    <w:rsid w:val="008677A7"/>
    <w:rsid w:val="00870CE2"/>
    <w:rsid w:val="00873888"/>
    <w:rsid w:val="008742AD"/>
    <w:rsid w:val="0087529B"/>
    <w:rsid w:val="008755C0"/>
    <w:rsid w:val="00876475"/>
    <w:rsid w:val="00876823"/>
    <w:rsid w:val="00876D94"/>
    <w:rsid w:val="008840E5"/>
    <w:rsid w:val="008849E5"/>
    <w:rsid w:val="008875A5"/>
    <w:rsid w:val="00891794"/>
    <w:rsid w:val="00891E1E"/>
    <w:rsid w:val="00892579"/>
    <w:rsid w:val="00893974"/>
    <w:rsid w:val="008964BF"/>
    <w:rsid w:val="008A0615"/>
    <w:rsid w:val="008A1278"/>
    <w:rsid w:val="008A1D4F"/>
    <w:rsid w:val="008A25A4"/>
    <w:rsid w:val="008A2608"/>
    <w:rsid w:val="008A4687"/>
    <w:rsid w:val="008A54D7"/>
    <w:rsid w:val="008B3909"/>
    <w:rsid w:val="008B5374"/>
    <w:rsid w:val="008B5BC0"/>
    <w:rsid w:val="008B609C"/>
    <w:rsid w:val="008B663C"/>
    <w:rsid w:val="008C213F"/>
    <w:rsid w:val="008C2718"/>
    <w:rsid w:val="008C2A93"/>
    <w:rsid w:val="008C2E80"/>
    <w:rsid w:val="008C3267"/>
    <w:rsid w:val="008C343F"/>
    <w:rsid w:val="008C37AB"/>
    <w:rsid w:val="008C3F5B"/>
    <w:rsid w:val="008C537C"/>
    <w:rsid w:val="008C6055"/>
    <w:rsid w:val="008C6EFE"/>
    <w:rsid w:val="008D4AE3"/>
    <w:rsid w:val="008D5C0D"/>
    <w:rsid w:val="008D6235"/>
    <w:rsid w:val="008D6A1A"/>
    <w:rsid w:val="008D7515"/>
    <w:rsid w:val="008E152D"/>
    <w:rsid w:val="008E1B4D"/>
    <w:rsid w:val="008E20CB"/>
    <w:rsid w:val="008E2FE9"/>
    <w:rsid w:val="008E3B98"/>
    <w:rsid w:val="008E44C8"/>
    <w:rsid w:val="008E4C88"/>
    <w:rsid w:val="008F238B"/>
    <w:rsid w:val="008F4B12"/>
    <w:rsid w:val="008F5485"/>
    <w:rsid w:val="008F6260"/>
    <w:rsid w:val="008F6A7F"/>
    <w:rsid w:val="00902638"/>
    <w:rsid w:val="0090722F"/>
    <w:rsid w:val="00910692"/>
    <w:rsid w:val="009120E3"/>
    <w:rsid w:val="00913D7A"/>
    <w:rsid w:val="00913E02"/>
    <w:rsid w:val="00913E1D"/>
    <w:rsid w:val="00915643"/>
    <w:rsid w:val="00917350"/>
    <w:rsid w:val="00917862"/>
    <w:rsid w:val="009209D4"/>
    <w:rsid w:val="00920F31"/>
    <w:rsid w:val="00921FF6"/>
    <w:rsid w:val="00922A41"/>
    <w:rsid w:val="009248FD"/>
    <w:rsid w:val="00925B22"/>
    <w:rsid w:val="0092744E"/>
    <w:rsid w:val="009317CD"/>
    <w:rsid w:val="009348BB"/>
    <w:rsid w:val="0093778B"/>
    <w:rsid w:val="009402E6"/>
    <w:rsid w:val="00940564"/>
    <w:rsid w:val="00941218"/>
    <w:rsid w:val="00941773"/>
    <w:rsid w:val="0094226A"/>
    <w:rsid w:val="00943522"/>
    <w:rsid w:val="00944DD9"/>
    <w:rsid w:val="00946765"/>
    <w:rsid w:val="009468B4"/>
    <w:rsid w:val="00946A2A"/>
    <w:rsid w:val="00951C79"/>
    <w:rsid w:val="0095244C"/>
    <w:rsid w:val="00954FC8"/>
    <w:rsid w:val="009563F4"/>
    <w:rsid w:val="00957D66"/>
    <w:rsid w:val="009606AD"/>
    <w:rsid w:val="009625BA"/>
    <w:rsid w:val="009631A2"/>
    <w:rsid w:val="0096339A"/>
    <w:rsid w:val="00964D1F"/>
    <w:rsid w:val="00964F16"/>
    <w:rsid w:val="0096617C"/>
    <w:rsid w:val="009662BB"/>
    <w:rsid w:val="00966A31"/>
    <w:rsid w:val="009700C3"/>
    <w:rsid w:val="00970625"/>
    <w:rsid w:val="00970B51"/>
    <w:rsid w:val="00971630"/>
    <w:rsid w:val="00972769"/>
    <w:rsid w:val="00972886"/>
    <w:rsid w:val="00972C07"/>
    <w:rsid w:val="00973AF4"/>
    <w:rsid w:val="00974392"/>
    <w:rsid w:val="0097461E"/>
    <w:rsid w:val="00976011"/>
    <w:rsid w:val="009838E2"/>
    <w:rsid w:val="009870D3"/>
    <w:rsid w:val="00990782"/>
    <w:rsid w:val="00991290"/>
    <w:rsid w:val="00992B4E"/>
    <w:rsid w:val="00992E1C"/>
    <w:rsid w:val="00993445"/>
    <w:rsid w:val="009958AA"/>
    <w:rsid w:val="00996037"/>
    <w:rsid w:val="00996DB0"/>
    <w:rsid w:val="009A3DF2"/>
    <w:rsid w:val="009A4C66"/>
    <w:rsid w:val="009A6360"/>
    <w:rsid w:val="009A7A23"/>
    <w:rsid w:val="009B0B57"/>
    <w:rsid w:val="009B37AB"/>
    <w:rsid w:val="009B5DE5"/>
    <w:rsid w:val="009B64F2"/>
    <w:rsid w:val="009B6929"/>
    <w:rsid w:val="009C3050"/>
    <w:rsid w:val="009C317E"/>
    <w:rsid w:val="009C38CE"/>
    <w:rsid w:val="009C451C"/>
    <w:rsid w:val="009C5336"/>
    <w:rsid w:val="009C5E9D"/>
    <w:rsid w:val="009C6C29"/>
    <w:rsid w:val="009C6C62"/>
    <w:rsid w:val="009C7935"/>
    <w:rsid w:val="009C7BB1"/>
    <w:rsid w:val="009D024D"/>
    <w:rsid w:val="009D197A"/>
    <w:rsid w:val="009D29EC"/>
    <w:rsid w:val="009D2C63"/>
    <w:rsid w:val="009D4C97"/>
    <w:rsid w:val="009D510D"/>
    <w:rsid w:val="009D728F"/>
    <w:rsid w:val="009D7295"/>
    <w:rsid w:val="009E084F"/>
    <w:rsid w:val="009E17F7"/>
    <w:rsid w:val="009E3B80"/>
    <w:rsid w:val="009E51DE"/>
    <w:rsid w:val="009E5251"/>
    <w:rsid w:val="009E5E68"/>
    <w:rsid w:val="009E75D3"/>
    <w:rsid w:val="009F0474"/>
    <w:rsid w:val="009F2635"/>
    <w:rsid w:val="009F58FF"/>
    <w:rsid w:val="009F6B4B"/>
    <w:rsid w:val="00A03B47"/>
    <w:rsid w:val="00A04247"/>
    <w:rsid w:val="00A04960"/>
    <w:rsid w:val="00A04B4B"/>
    <w:rsid w:val="00A04CFD"/>
    <w:rsid w:val="00A04E80"/>
    <w:rsid w:val="00A0506C"/>
    <w:rsid w:val="00A055D3"/>
    <w:rsid w:val="00A0617E"/>
    <w:rsid w:val="00A0699E"/>
    <w:rsid w:val="00A07771"/>
    <w:rsid w:val="00A1008D"/>
    <w:rsid w:val="00A10D36"/>
    <w:rsid w:val="00A116ED"/>
    <w:rsid w:val="00A12A85"/>
    <w:rsid w:val="00A141A3"/>
    <w:rsid w:val="00A168B5"/>
    <w:rsid w:val="00A1691A"/>
    <w:rsid w:val="00A16B82"/>
    <w:rsid w:val="00A21376"/>
    <w:rsid w:val="00A21B78"/>
    <w:rsid w:val="00A22B8D"/>
    <w:rsid w:val="00A22D5A"/>
    <w:rsid w:val="00A251CF"/>
    <w:rsid w:val="00A274C0"/>
    <w:rsid w:val="00A279CB"/>
    <w:rsid w:val="00A27AD8"/>
    <w:rsid w:val="00A30592"/>
    <w:rsid w:val="00A32712"/>
    <w:rsid w:val="00A32912"/>
    <w:rsid w:val="00A32B84"/>
    <w:rsid w:val="00A346ED"/>
    <w:rsid w:val="00A35AE3"/>
    <w:rsid w:val="00A37A07"/>
    <w:rsid w:val="00A42A09"/>
    <w:rsid w:val="00A44349"/>
    <w:rsid w:val="00A4519D"/>
    <w:rsid w:val="00A461EA"/>
    <w:rsid w:val="00A472A8"/>
    <w:rsid w:val="00A50A1D"/>
    <w:rsid w:val="00A5227F"/>
    <w:rsid w:val="00A524EA"/>
    <w:rsid w:val="00A5327E"/>
    <w:rsid w:val="00A55CCF"/>
    <w:rsid w:val="00A5644C"/>
    <w:rsid w:val="00A57046"/>
    <w:rsid w:val="00A602C7"/>
    <w:rsid w:val="00A60C79"/>
    <w:rsid w:val="00A60D8A"/>
    <w:rsid w:val="00A614E0"/>
    <w:rsid w:val="00A61B5A"/>
    <w:rsid w:val="00A621E1"/>
    <w:rsid w:val="00A63B1A"/>
    <w:rsid w:val="00A63F9D"/>
    <w:rsid w:val="00A66BB1"/>
    <w:rsid w:val="00A6778E"/>
    <w:rsid w:val="00A70F7E"/>
    <w:rsid w:val="00A72928"/>
    <w:rsid w:val="00A737A6"/>
    <w:rsid w:val="00A73E37"/>
    <w:rsid w:val="00A7463E"/>
    <w:rsid w:val="00A74D9A"/>
    <w:rsid w:val="00A76589"/>
    <w:rsid w:val="00A7729B"/>
    <w:rsid w:val="00A817C8"/>
    <w:rsid w:val="00A8335A"/>
    <w:rsid w:val="00A84F59"/>
    <w:rsid w:val="00A85991"/>
    <w:rsid w:val="00A85BDA"/>
    <w:rsid w:val="00A869DD"/>
    <w:rsid w:val="00A91066"/>
    <w:rsid w:val="00A91DE4"/>
    <w:rsid w:val="00A92BF0"/>
    <w:rsid w:val="00A93D3C"/>
    <w:rsid w:val="00A94705"/>
    <w:rsid w:val="00A94C49"/>
    <w:rsid w:val="00A94E98"/>
    <w:rsid w:val="00A96E70"/>
    <w:rsid w:val="00A97C70"/>
    <w:rsid w:val="00AA0CFD"/>
    <w:rsid w:val="00AA3698"/>
    <w:rsid w:val="00AA4345"/>
    <w:rsid w:val="00AA46FE"/>
    <w:rsid w:val="00AA6088"/>
    <w:rsid w:val="00AA63E3"/>
    <w:rsid w:val="00AA726B"/>
    <w:rsid w:val="00AA7947"/>
    <w:rsid w:val="00AB0382"/>
    <w:rsid w:val="00AB105A"/>
    <w:rsid w:val="00AB2278"/>
    <w:rsid w:val="00AB493D"/>
    <w:rsid w:val="00AB5FDA"/>
    <w:rsid w:val="00AB722A"/>
    <w:rsid w:val="00AC09A6"/>
    <w:rsid w:val="00AC3426"/>
    <w:rsid w:val="00AC402C"/>
    <w:rsid w:val="00AC4D34"/>
    <w:rsid w:val="00AC5248"/>
    <w:rsid w:val="00AC57D7"/>
    <w:rsid w:val="00AD3175"/>
    <w:rsid w:val="00AD3C94"/>
    <w:rsid w:val="00AD3FD3"/>
    <w:rsid w:val="00AD547D"/>
    <w:rsid w:val="00AD5B73"/>
    <w:rsid w:val="00AD5DBF"/>
    <w:rsid w:val="00AD663D"/>
    <w:rsid w:val="00AD6DD1"/>
    <w:rsid w:val="00AD7552"/>
    <w:rsid w:val="00AE1C0C"/>
    <w:rsid w:val="00AE293C"/>
    <w:rsid w:val="00AE2B25"/>
    <w:rsid w:val="00AE30A3"/>
    <w:rsid w:val="00AE49CA"/>
    <w:rsid w:val="00AE4C20"/>
    <w:rsid w:val="00AE69AC"/>
    <w:rsid w:val="00AF09D7"/>
    <w:rsid w:val="00AF10BB"/>
    <w:rsid w:val="00AF13B4"/>
    <w:rsid w:val="00AF234A"/>
    <w:rsid w:val="00AF29D5"/>
    <w:rsid w:val="00AF2BFE"/>
    <w:rsid w:val="00AF367D"/>
    <w:rsid w:val="00AF5487"/>
    <w:rsid w:val="00AF5F57"/>
    <w:rsid w:val="00AF6856"/>
    <w:rsid w:val="00B00043"/>
    <w:rsid w:val="00B0121A"/>
    <w:rsid w:val="00B015A3"/>
    <w:rsid w:val="00B016FB"/>
    <w:rsid w:val="00B022F6"/>
    <w:rsid w:val="00B02A94"/>
    <w:rsid w:val="00B02C3E"/>
    <w:rsid w:val="00B040FE"/>
    <w:rsid w:val="00B078D1"/>
    <w:rsid w:val="00B07AE6"/>
    <w:rsid w:val="00B1136C"/>
    <w:rsid w:val="00B12226"/>
    <w:rsid w:val="00B128B0"/>
    <w:rsid w:val="00B12AEE"/>
    <w:rsid w:val="00B13152"/>
    <w:rsid w:val="00B144AD"/>
    <w:rsid w:val="00B158DE"/>
    <w:rsid w:val="00B15D7E"/>
    <w:rsid w:val="00B15EAB"/>
    <w:rsid w:val="00B21607"/>
    <w:rsid w:val="00B217F6"/>
    <w:rsid w:val="00B21939"/>
    <w:rsid w:val="00B21BE3"/>
    <w:rsid w:val="00B24749"/>
    <w:rsid w:val="00B25CE5"/>
    <w:rsid w:val="00B2602A"/>
    <w:rsid w:val="00B27209"/>
    <w:rsid w:val="00B27B39"/>
    <w:rsid w:val="00B31A16"/>
    <w:rsid w:val="00B32037"/>
    <w:rsid w:val="00B32D2E"/>
    <w:rsid w:val="00B341F2"/>
    <w:rsid w:val="00B34ED3"/>
    <w:rsid w:val="00B35027"/>
    <w:rsid w:val="00B35480"/>
    <w:rsid w:val="00B36EDC"/>
    <w:rsid w:val="00B40B46"/>
    <w:rsid w:val="00B40C1D"/>
    <w:rsid w:val="00B427F6"/>
    <w:rsid w:val="00B43487"/>
    <w:rsid w:val="00B4508B"/>
    <w:rsid w:val="00B4595C"/>
    <w:rsid w:val="00B46842"/>
    <w:rsid w:val="00B46CB4"/>
    <w:rsid w:val="00B46D1F"/>
    <w:rsid w:val="00B47FDD"/>
    <w:rsid w:val="00B5277B"/>
    <w:rsid w:val="00B53D19"/>
    <w:rsid w:val="00B55E9F"/>
    <w:rsid w:val="00B563C7"/>
    <w:rsid w:val="00B56C8E"/>
    <w:rsid w:val="00B5714F"/>
    <w:rsid w:val="00B57B13"/>
    <w:rsid w:val="00B6188A"/>
    <w:rsid w:val="00B62465"/>
    <w:rsid w:val="00B63823"/>
    <w:rsid w:val="00B64853"/>
    <w:rsid w:val="00B6569A"/>
    <w:rsid w:val="00B71A86"/>
    <w:rsid w:val="00B73E22"/>
    <w:rsid w:val="00B741C2"/>
    <w:rsid w:val="00B741F3"/>
    <w:rsid w:val="00B7636C"/>
    <w:rsid w:val="00B76E5B"/>
    <w:rsid w:val="00B7770B"/>
    <w:rsid w:val="00B8050F"/>
    <w:rsid w:val="00B81930"/>
    <w:rsid w:val="00B878EA"/>
    <w:rsid w:val="00B87FCC"/>
    <w:rsid w:val="00B9250C"/>
    <w:rsid w:val="00B92797"/>
    <w:rsid w:val="00B92BA4"/>
    <w:rsid w:val="00B93874"/>
    <w:rsid w:val="00B94FFA"/>
    <w:rsid w:val="00BA04D5"/>
    <w:rsid w:val="00BA1C84"/>
    <w:rsid w:val="00BA1F16"/>
    <w:rsid w:val="00BA4EC8"/>
    <w:rsid w:val="00BA5812"/>
    <w:rsid w:val="00BA6A17"/>
    <w:rsid w:val="00BA6FFC"/>
    <w:rsid w:val="00BB0295"/>
    <w:rsid w:val="00BB0941"/>
    <w:rsid w:val="00BB1E41"/>
    <w:rsid w:val="00BB4EFE"/>
    <w:rsid w:val="00BC0524"/>
    <w:rsid w:val="00BC07B2"/>
    <w:rsid w:val="00BC24B9"/>
    <w:rsid w:val="00BC5361"/>
    <w:rsid w:val="00BD0D56"/>
    <w:rsid w:val="00BE0DCD"/>
    <w:rsid w:val="00BE1A4B"/>
    <w:rsid w:val="00BE1C9C"/>
    <w:rsid w:val="00BE4ECA"/>
    <w:rsid w:val="00BE5837"/>
    <w:rsid w:val="00BE5A52"/>
    <w:rsid w:val="00BE709A"/>
    <w:rsid w:val="00BF19D0"/>
    <w:rsid w:val="00BF1B04"/>
    <w:rsid w:val="00BF21F8"/>
    <w:rsid w:val="00BF2D17"/>
    <w:rsid w:val="00BF3B81"/>
    <w:rsid w:val="00BF6917"/>
    <w:rsid w:val="00BF7B10"/>
    <w:rsid w:val="00C00467"/>
    <w:rsid w:val="00C00EE0"/>
    <w:rsid w:val="00C019CC"/>
    <w:rsid w:val="00C01D91"/>
    <w:rsid w:val="00C01E1B"/>
    <w:rsid w:val="00C02E0E"/>
    <w:rsid w:val="00C03B93"/>
    <w:rsid w:val="00C04174"/>
    <w:rsid w:val="00C058DD"/>
    <w:rsid w:val="00C066CF"/>
    <w:rsid w:val="00C07E99"/>
    <w:rsid w:val="00C1096A"/>
    <w:rsid w:val="00C13594"/>
    <w:rsid w:val="00C14133"/>
    <w:rsid w:val="00C14C8F"/>
    <w:rsid w:val="00C15F77"/>
    <w:rsid w:val="00C1669B"/>
    <w:rsid w:val="00C16815"/>
    <w:rsid w:val="00C17C40"/>
    <w:rsid w:val="00C2117B"/>
    <w:rsid w:val="00C21F48"/>
    <w:rsid w:val="00C22141"/>
    <w:rsid w:val="00C226DF"/>
    <w:rsid w:val="00C230E0"/>
    <w:rsid w:val="00C23631"/>
    <w:rsid w:val="00C241B1"/>
    <w:rsid w:val="00C24A30"/>
    <w:rsid w:val="00C2776E"/>
    <w:rsid w:val="00C35B3E"/>
    <w:rsid w:val="00C35BFD"/>
    <w:rsid w:val="00C41B51"/>
    <w:rsid w:val="00C4545C"/>
    <w:rsid w:val="00C4561F"/>
    <w:rsid w:val="00C457B8"/>
    <w:rsid w:val="00C47DFE"/>
    <w:rsid w:val="00C5092B"/>
    <w:rsid w:val="00C511BB"/>
    <w:rsid w:val="00C51591"/>
    <w:rsid w:val="00C51C48"/>
    <w:rsid w:val="00C5332D"/>
    <w:rsid w:val="00C54582"/>
    <w:rsid w:val="00C56010"/>
    <w:rsid w:val="00C57B2A"/>
    <w:rsid w:val="00C6061A"/>
    <w:rsid w:val="00C610E0"/>
    <w:rsid w:val="00C6208E"/>
    <w:rsid w:val="00C627F9"/>
    <w:rsid w:val="00C63134"/>
    <w:rsid w:val="00C63D56"/>
    <w:rsid w:val="00C64C2A"/>
    <w:rsid w:val="00C66231"/>
    <w:rsid w:val="00C66D5C"/>
    <w:rsid w:val="00C71966"/>
    <w:rsid w:val="00C72374"/>
    <w:rsid w:val="00C72503"/>
    <w:rsid w:val="00C7264F"/>
    <w:rsid w:val="00C73025"/>
    <w:rsid w:val="00C73A2E"/>
    <w:rsid w:val="00C73C59"/>
    <w:rsid w:val="00C7408A"/>
    <w:rsid w:val="00C7546F"/>
    <w:rsid w:val="00C75688"/>
    <w:rsid w:val="00C75E16"/>
    <w:rsid w:val="00C8164B"/>
    <w:rsid w:val="00C8219D"/>
    <w:rsid w:val="00C8384A"/>
    <w:rsid w:val="00C85F2B"/>
    <w:rsid w:val="00C8689F"/>
    <w:rsid w:val="00C86AE1"/>
    <w:rsid w:val="00C86C7C"/>
    <w:rsid w:val="00C87A22"/>
    <w:rsid w:val="00C90093"/>
    <w:rsid w:val="00C918FB"/>
    <w:rsid w:val="00C9204F"/>
    <w:rsid w:val="00C93518"/>
    <w:rsid w:val="00C94025"/>
    <w:rsid w:val="00C9425A"/>
    <w:rsid w:val="00C962B5"/>
    <w:rsid w:val="00C9687B"/>
    <w:rsid w:val="00C97C03"/>
    <w:rsid w:val="00C97C7A"/>
    <w:rsid w:val="00CA0314"/>
    <w:rsid w:val="00CA21FB"/>
    <w:rsid w:val="00CA25EC"/>
    <w:rsid w:val="00CA4AB1"/>
    <w:rsid w:val="00CA4C27"/>
    <w:rsid w:val="00CA50D8"/>
    <w:rsid w:val="00CA71FB"/>
    <w:rsid w:val="00CA720E"/>
    <w:rsid w:val="00CB54F0"/>
    <w:rsid w:val="00CB5D64"/>
    <w:rsid w:val="00CB6D9C"/>
    <w:rsid w:val="00CC07B9"/>
    <w:rsid w:val="00CC1FDB"/>
    <w:rsid w:val="00CC3954"/>
    <w:rsid w:val="00CD04C1"/>
    <w:rsid w:val="00CD2EE9"/>
    <w:rsid w:val="00CD3D8B"/>
    <w:rsid w:val="00CD44DC"/>
    <w:rsid w:val="00CD459F"/>
    <w:rsid w:val="00CD4F62"/>
    <w:rsid w:val="00CE0B53"/>
    <w:rsid w:val="00CE1004"/>
    <w:rsid w:val="00CE44FC"/>
    <w:rsid w:val="00CE4C70"/>
    <w:rsid w:val="00CE5208"/>
    <w:rsid w:val="00CE54F8"/>
    <w:rsid w:val="00CE6A68"/>
    <w:rsid w:val="00CE6C6F"/>
    <w:rsid w:val="00CE7011"/>
    <w:rsid w:val="00CF0702"/>
    <w:rsid w:val="00CF235D"/>
    <w:rsid w:val="00CF6890"/>
    <w:rsid w:val="00CF6A91"/>
    <w:rsid w:val="00CF7212"/>
    <w:rsid w:val="00D002FC"/>
    <w:rsid w:val="00D0112C"/>
    <w:rsid w:val="00D013EC"/>
    <w:rsid w:val="00D053AC"/>
    <w:rsid w:val="00D07065"/>
    <w:rsid w:val="00D11317"/>
    <w:rsid w:val="00D11415"/>
    <w:rsid w:val="00D11BAF"/>
    <w:rsid w:val="00D12F2D"/>
    <w:rsid w:val="00D15564"/>
    <w:rsid w:val="00D159FF"/>
    <w:rsid w:val="00D2039C"/>
    <w:rsid w:val="00D2048A"/>
    <w:rsid w:val="00D22C52"/>
    <w:rsid w:val="00D2316E"/>
    <w:rsid w:val="00D267C1"/>
    <w:rsid w:val="00D27FC2"/>
    <w:rsid w:val="00D3117B"/>
    <w:rsid w:val="00D319D6"/>
    <w:rsid w:val="00D3205C"/>
    <w:rsid w:val="00D32AC2"/>
    <w:rsid w:val="00D36129"/>
    <w:rsid w:val="00D361F7"/>
    <w:rsid w:val="00D36669"/>
    <w:rsid w:val="00D4126C"/>
    <w:rsid w:val="00D418ED"/>
    <w:rsid w:val="00D420A7"/>
    <w:rsid w:val="00D4230A"/>
    <w:rsid w:val="00D441A3"/>
    <w:rsid w:val="00D448BA"/>
    <w:rsid w:val="00D450C1"/>
    <w:rsid w:val="00D4546D"/>
    <w:rsid w:val="00D466E3"/>
    <w:rsid w:val="00D52B4D"/>
    <w:rsid w:val="00D549F5"/>
    <w:rsid w:val="00D57101"/>
    <w:rsid w:val="00D6024E"/>
    <w:rsid w:val="00D60970"/>
    <w:rsid w:val="00D60C98"/>
    <w:rsid w:val="00D619E2"/>
    <w:rsid w:val="00D62605"/>
    <w:rsid w:val="00D62883"/>
    <w:rsid w:val="00D629F4"/>
    <w:rsid w:val="00D64F7D"/>
    <w:rsid w:val="00D65D0C"/>
    <w:rsid w:val="00D66C0A"/>
    <w:rsid w:val="00D671C2"/>
    <w:rsid w:val="00D67708"/>
    <w:rsid w:val="00D72B33"/>
    <w:rsid w:val="00D7309F"/>
    <w:rsid w:val="00D738EC"/>
    <w:rsid w:val="00D74B55"/>
    <w:rsid w:val="00D74E3E"/>
    <w:rsid w:val="00D759DB"/>
    <w:rsid w:val="00D767CF"/>
    <w:rsid w:val="00D772F4"/>
    <w:rsid w:val="00D80B93"/>
    <w:rsid w:val="00D81543"/>
    <w:rsid w:val="00D831E2"/>
    <w:rsid w:val="00D83835"/>
    <w:rsid w:val="00D91672"/>
    <w:rsid w:val="00D9276E"/>
    <w:rsid w:val="00D92BA5"/>
    <w:rsid w:val="00D92D71"/>
    <w:rsid w:val="00D94E97"/>
    <w:rsid w:val="00D95E25"/>
    <w:rsid w:val="00D9674B"/>
    <w:rsid w:val="00D97071"/>
    <w:rsid w:val="00DA0C6E"/>
    <w:rsid w:val="00DA1722"/>
    <w:rsid w:val="00DA224B"/>
    <w:rsid w:val="00DA2A3A"/>
    <w:rsid w:val="00DA3A45"/>
    <w:rsid w:val="00DA4089"/>
    <w:rsid w:val="00DA45AF"/>
    <w:rsid w:val="00DA593D"/>
    <w:rsid w:val="00DA6302"/>
    <w:rsid w:val="00DA7095"/>
    <w:rsid w:val="00DA7EB1"/>
    <w:rsid w:val="00DB1DD6"/>
    <w:rsid w:val="00DB2AA5"/>
    <w:rsid w:val="00DB332A"/>
    <w:rsid w:val="00DB4D2A"/>
    <w:rsid w:val="00DB58BE"/>
    <w:rsid w:val="00DB6425"/>
    <w:rsid w:val="00DB659D"/>
    <w:rsid w:val="00DB6A93"/>
    <w:rsid w:val="00DC2FD8"/>
    <w:rsid w:val="00DC34E4"/>
    <w:rsid w:val="00DC5445"/>
    <w:rsid w:val="00DC56F2"/>
    <w:rsid w:val="00DC5F31"/>
    <w:rsid w:val="00DC6764"/>
    <w:rsid w:val="00DC69EB"/>
    <w:rsid w:val="00DC77D4"/>
    <w:rsid w:val="00DD03C5"/>
    <w:rsid w:val="00DD1270"/>
    <w:rsid w:val="00DD14DC"/>
    <w:rsid w:val="00DD32F0"/>
    <w:rsid w:val="00DD3EF7"/>
    <w:rsid w:val="00DD74EF"/>
    <w:rsid w:val="00DE0683"/>
    <w:rsid w:val="00DE21C6"/>
    <w:rsid w:val="00DE251A"/>
    <w:rsid w:val="00DE287A"/>
    <w:rsid w:val="00DE73FD"/>
    <w:rsid w:val="00DF1808"/>
    <w:rsid w:val="00DF217D"/>
    <w:rsid w:val="00DF4768"/>
    <w:rsid w:val="00DF5B16"/>
    <w:rsid w:val="00DF634B"/>
    <w:rsid w:val="00DF6D99"/>
    <w:rsid w:val="00DF70AC"/>
    <w:rsid w:val="00DF7E77"/>
    <w:rsid w:val="00E00D60"/>
    <w:rsid w:val="00E0449A"/>
    <w:rsid w:val="00E04CC3"/>
    <w:rsid w:val="00E0561F"/>
    <w:rsid w:val="00E064C7"/>
    <w:rsid w:val="00E065D2"/>
    <w:rsid w:val="00E0731C"/>
    <w:rsid w:val="00E11FC9"/>
    <w:rsid w:val="00E124BF"/>
    <w:rsid w:val="00E12644"/>
    <w:rsid w:val="00E149C1"/>
    <w:rsid w:val="00E14FF6"/>
    <w:rsid w:val="00E15502"/>
    <w:rsid w:val="00E167DB"/>
    <w:rsid w:val="00E16ABA"/>
    <w:rsid w:val="00E16C9E"/>
    <w:rsid w:val="00E209B4"/>
    <w:rsid w:val="00E22177"/>
    <w:rsid w:val="00E22AE3"/>
    <w:rsid w:val="00E23927"/>
    <w:rsid w:val="00E2587A"/>
    <w:rsid w:val="00E27121"/>
    <w:rsid w:val="00E27824"/>
    <w:rsid w:val="00E27EB0"/>
    <w:rsid w:val="00E318B7"/>
    <w:rsid w:val="00E378B5"/>
    <w:rsid w:val="00E411A0"/>
    <w:rsid w:val="00E41B9B"/>
    <w:rsid w:val="00E41C39"/>
    <w:rsid w:val="00E421C2"/>
    <w:rsid w:val="00E424C2"/>
    <w:rsid w:val="00E433E0"/>
    <w:rsid w:val="00E44735"/>
    <w:rsid w:val="00E44F90"/>
    <w:rsid w:val="00E45901"/>
    <w:rsid w:val="00E45BAF"/>
    <w:rsid w:val="00E46B4B"/>
    <w:rsid w:val="00E46FF7"/>
    <w:rsid w:val="00E502C2"/>
    <w:rsid w:val="00E508B9"/>
    <w:rsid w:val="00E52118"/>
    <w:rsid w:val="00E530B4"/>
    <w:rsid w:val="00E54FF3"/>
    <w:rsid w:val="00E63BAD"/>
    <w:rsid w:val="00E64280"/>
    <w:rsid w:val="00E666EF"/>
    <w:rsid w:val="00E66F8A"/>
    <w:rsid w:val="00E67053"/>
    <w:rsid w:val="00E70049"/>
    <w:rsid w:val="00E700C0"/>
    <w:rsid w:val="00E70B25"/>
    <w:rsid w:val="00E71B8E"/>
    <w:rsid w:val="00E72284"/>
    <w:rsid w:val="00E72E0F"/>
    <w:rsid w:val="00E7317C"/>
    <w:rsid w:val="00E736F1"/>
    <w:rsid w:val="00E80027"/>
    <w:rsid w:val="00E840DB"/>
    <w:rsid w:val="00E844F4"/>
    <w:rsid w:val="00E8599D"/>
    <w:rsid w:val="00E859E5"/>
    <w:rsid w:val="00E85C15"/>
    <w:rsid w:val="00E869A3"/>
    <w:rsid w:val="00E86ACB"/>
    <w:rsid w:val="00E86DCD"/>
    <w:rsid w:val="00E874E5"/>
    <w:rsid w:val="00E87BF4"/>
    <w:rsid w:val="00E914D5"/>
    <w:rsid w:val="00E93B3B"/>
    <w:rsid w:val="00E967FD"/>
    <w:rsid w:val="00E97659"/>
    <w:rsid w:val="00EA34E4"/>
    <w:rsid w:val="00EA39B5"/>
    <w:rsid w:val="00EA4A26"/>
    <w:rsid w:val="00EA4A82"/>
    <w:rsid w:val="00EA7E09"/>
    <w:rsid w:val="00EA7FD7"/>
    <w:rsid w:val="00EB01F3"/>
    <w:rsid w:val="00EB1751"/>
    <w:rsid w:val="00EB1AE3"/>
    <w:rsid w:val="00EB1F4C"/>
    <w:rsid w:val="00EB23A1"/>
    <w:rsid w:val="00EB2D7B"/>
    <w:rsid w:val="00EB57E7"/>
    <w:rsid w:val="00EB6A65"/>
    <w:rsid w:val="00EB6B51"/>
    <w:rsid w:val="00EC06D8"/>
    <w:rsid w:val="00EC0D11"/>
    <w:rsid w:val="00EC1B1D"/>
    <w:rsid w:val="00EC31C1"/>
    <w:rsid w:val="00EC3586"/>
    <w:rsid w:val="00ED04C3"/>
    <w:rsid w:val="00ED1CA7"/>
    <w:rsid w:val="00ED23EA"/>
    <w:rsid w:val="00ED3864"/>
    <w:rsid w:val="00ED4499"/>
    <w:rsid w:val="00ED466F"/>
    <w:rsid w:val="00ED4C49"/>
    <w:rsid w:val="00ED4E71"/>
    <w:rsid w:val="00ED4E86"/>
    <w:rsid w:val="00EE17F7"/>
    <w:rsid w:val="00EE4635"/>
    <w:rsid w:val="00EE47C8"/>
    <w:rsid w:val="00EE73BD"/>
    <w:rsid w:val="00EF0DBE"/>
    <w:rsid w:val="00EF1C34"/>
    <w:rsid w:val="00EF28B4"/>
    <w:rsid w:val="00EF3DA4"/>
    <w:rsid w:val="00EF43E7"/>
    <w:rsid w:val="00EF4A8C"/>
    <w:rsid w:val="00EF5211"/>
    <w:rsid w:val="00EF5D3F"/>
    <w:rsid w:val="00EF76D4"/>
    <w:rsid w:val="00F01083"/>
    <w:rsid w:val="00F01677"/>
    <w:rsid w:val="00F0282E"/>
    <w:rsid w:val="00F02930"/>
    <w:rsid w:val="00F02E2D"/>
    <w:rsid w:val="00F03F33"/>
    <w:rsid w:val="00F03F99"/>
    <w:rsid w:val="00F04322"/>
    <w:rsid w:val="00F051BE"/>
    <w:rsid w:val="00F05B89"/>
    <w:rsid w:val="00F11EC6"/>
    <w:rsid w:val="00F12BCA"/>
    <w:rsid w:val="00F12F3E"/>
    <w:rsid w:val="00F15F3B"/>
    <w:rsid w:val="00F2440E"/>
    <w:rsid w:val="00F338DE"/>
    <w:rsid w:val="00F33D78"/>
    <w:rsid w:val="00F34583"/>
    <w:rsid w:val="00F35159"/>
    <w:rsid w:val="00F36A7C"/>
    <w:rsid w:val="00F36D80"/>
    <w:rsid w:val="00F40811"/>
    <w:rsid w:val="00F40DD2"/>
    <w:rsid w:val="00F413F8"/>
    <w:rsid w:val="00F41960"/>
    <w:rsid w:val="00F42490"/>
    <w:rsid w:val="00F427F1"/>
    <w:rsid w:val="00F435DC"/>
    <w:rsid w:val="00F45A20"/>
    <w:rsid w:val="00F46C7B"/>
    <w:rsid w:val="00F50D94"/>
    <w:rsid w:val="00F51E15"/>
    <w:rsid w:val="00F52DA0"/>
    <w:rsid w:val="00F53DA1"/>
    <w:rsid w:val="00F56CCA"/>
    <w:rsid w:val="00F57773"/>
    <w:rsid w:val="00F61E79"/>
    <w:rsid w:val="00F63BB2"/>
    <w:rsid w:val="00F658CA"/>
    <w:rsid w:val="00F67163"/>
    <w:rsid w:val="00F712CF"/>
    <w:rsid w:val="00F72E2D"/>
    <w:rsid w:val="00F73F01"/>
    <w:rsid w:val="00F745CA"/>
    <w:rsid w:val="00F75D0B"/>
    <w:rsid w:val="00F7610C"/>
    <w:rsid w:val="00F77028"/>
    <w:rsid w:val="00F80A22"/>
    <w:rsid w:val="00F813F9"/>
    <w:rsid w:val="00F81738"/>
    <w:rsid w:val="00F82258"/>
    <w:rsid w:val="00F82516"/>
    <w:rsid w:val="00F82749"/>
    <w:rsid w:val="00F84484"/>
    <w:rsid w:val="00F846AE"/>
    <w:rsid w:val="00F847E1"/>
    <w:rsid w:val="00F84E4F"/>
    <w:rsid w:val="00F851C7"/>
    <w:rsid w:val="00F85CEB"/>
    <w:rsid w:val="00F9103A"/>
    <w:rsid w:val="00F9234B"/>
    <w:rsid w:val="00F932D6"/>
    <w:rsid w:val="00F9402C"/>
    <w:rsid w:val="00F952DE"/>
    <w:rsid w:val="00F953C2"/>
    <w:rsid w:val="00FA06CD"/>
    <w:rsid w:val="00FA0923"/>
    <w:rsid w:val="00FA33AD"/>
    <w:rsid w:val="00FA3D36"/>
    <w:rsid w:val="00FA3E8C"/>
    <w:rsid w:val="00FA54FA"/>
    <w:rsid w:val="00FA5CAD"/>
    <w:rsid w:val="00FB003C"/>
    <w:rsid w:val="00FB2BDB"/>
    <w:rsid w:val="00FB3B1F"/>
    <w:rsid w:val="00FB4688"/>
    <w:rsid w:val="00FB5031"/>
    <w:rsid w:val="00FB5436"/>
    <w:rsid w:val="00FB6237"/>
    <w:rsid w:val="00FC0E7F"/>
    <w:rsid w:val="00FC10EA"/>
    <w:rsid w:val="00FC3C62"/>
    <w:rsid w:val="00FC4544"/>
    <w:rsid w:val="00FC5257"/>
    <w:rsid w:val="00FC7FAD"/>
    <w:rsid w:val="00FD0351"/>
    <w:rsid w:val="00FD59DB"/>
    <w:rsid w:val="00FD79CF"/>
    <w:rsid w:val="00FE1984"/>
    <w:rsid w:val="00FE28CA"/>
    <w:rsid w:val="00FE2FF3"/>
    <w:rsid w:val="00FE3D92"/>
    <w:rsid w:val="00FE4C9B"/>
    <w:rsid w:val="00FE59B6"/>
    <w:rsid w:val="00FF14E8"/>
    <w:rsid w:val="00FF24B6"/>
    <w:rsid w:val="00FF3C58"/>
    <w:rsid w:val="00FF4528"/>
    <w:rsid w:val="00FF471F"/>
    <w:rsid w:val="00FF5C87"/>
    <w:rsid w:val="00FF6759"/>
    <w:rsid w:val="00FF7113"/>
    <w:rsid w:val="00FF7867"/>
    <w:rsid w:val="00FF7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D2645"/>
  <w15:docId w15:val="{CF7D2965-1104-4E25-8933-B35E872A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445"/>
    <w:pPr>
      <w:spacing w:line="240" w:lineRule="auto"/>
    </w:pPr>
    <w:rPr>
      <w:rFonts w:ascii="Times New Roman" w:eastAsia="Times New Roman" w:hAnsi="Times New Roman" w:cs="Times New Roman"/>
      <w:szCs w:val="24"/>
    </w:rPr>
  </w:style>
  <w:style w:type="paragraph" w:styleId="Heading1">
    <w:name w:val="heading 1"/>
    <w:aliases w:val="Char"/>
    <w:basedOn w:val="Normal"/>
    <w:next w:val="Normal"/>
    <w:link w:val="Heading1Char"/>
    <w:uiPriority w:val="9"/>
    <w:qFormat/>
    <w:rsid w:val="00C66231"/>
    <w:pPr>
      <w:spacing w:after="240"/>
      <w:outlineLvl w:val="0"/>
    </w:pPr>
    <w:rPr>
      <w:rFonts w:ascii="Arial" w:hAnsi="Arial" w:cs="Arial"/>
      <w:b/>
      <w:sz w:val="40"/>
      <w:szCs w:val="40"/>
    </w:rPr>
  </w:style>
  <w:style w:type="paragraph" w:styleId="Heading2">
    <w:name w:val="heading 2"/>
    <w:basedOn w:val="Heading1"/>
    <w:next w:val="Normal"/>
    <w:link w:val="Heading2Char"/>
    <w:uiPriority w:val="9"/>
    <w:unhideWhenUsed/>
    <w:qFormat/>
    <w:rsid w:val="00E86ACB"/>
    <w:pPr>
      <w:outlineLvl w:val="1"/>
    </w:pPr>
    <w:rPr>
      <w:sz w:val="28"/>
      <w:szCs w:val="28"/>
    </w:rPr>
  </w:style>
  <w:style w:type="paragraph" w:styleId="Heading3">
    <w:name w:val="heading 3"/>
    <w:basedOn w:val="Heading1"/>
    <w:next w:val="Normal"/>
    <w:link w:val="Heading3Char"/>
    <w:uiPriority w:val="9"/>
    <w:qFormat/>
    <w:rsid w:val="00E86ACB"/>
    <w:pPr>
      <w:outlineLvl w:val="2"/>
    </w:pPr>
    <w:rPr>
      <w:sz w:val="24"/>
      <w:szCs w:val="24"/>
    </w:rPr>
  </w:style>
  <w:style w:type="paragraph" w:styleId="Heading4">
    <w:name w:val="heading 4"/>
    <w:basedOn w:val="Normal"/>
    <w:next w:val="Normal"/>
    <w:link w:val="Heading4Char"/>
    <w:uiPriority w:val="9"/>
    <w:qFormat/>
    <w:rsid w:val="0035750F"/>
    <w:pPr>
      <w:keepNext/>
      <w:outlineLvl w:val="3"/>
    </w:pPr>
    <w:rPr>
      <w:i/>
      <w:szCs w:val="20"/>
      <w:lang w:eastAsia="en-AU"/>
    </w:rPr>
  </w:style>
  <w:style w:type="paragraph" w:styleId="Heading5">
    <w:name w:val="heading 5"/>
    <w:basedOn w:val="Normal"/>
    <w:next w:val="Normal"/>
    <w:link w:val="Heading5Char"/>
    <w:uiPriority w:val="99"/>
    <w:qFormat/>
    <w:rsid w:val="00096D9E"/>
    <w:pPr>
      <w:keepNext/>
      <w:numPr>
        <w:ilvl w:val="12"/>
      </w:numPr>
      <w:tabs>
        <w:tab w:val="left" w:pos="2552"/>
      </w:tabs>
      <w:outlineLvl w:val="4"/>
    </w:pPr>
    <w:rPr>
      <w:b/>
      <w:sz w:val="32"/>
      <w:szCs w:val="20"/>
      <w:lang w:eastAsia="en-AU"/>
    </w:rPr>
  </w:style>
  <w:style w:type="paragraph" w:styleId="Heading6">
    <w:name w:val="heading 6"/>
    <w:basedOn w:val="Normal"/>
    <w:next w:val="Normal"/>
    <w:link w:val="Heading6Char"/>
    <w:uiPriority w:val="9"/>
    <w:qFormat/>
    <w:rsid w:val="00096D9E"/>
    <w:pPr>
      <w:keepNext/>
      <w:jc w:val="both"/>
      <w:outlineLvl w:val="5"/>
    </w:pPr>
    <w:rPr>
      <w:b/>
      <w:sz w:val="28"/>
      <w:szCs w:val="20"/>
      <w:lang w:eastAsia="en-AU"/>
    </w:rPr>
  </w:style>
  <w:style w:type="paragraph" w:styleId="Heading7">
    <w:name w:val="heading 7"/>
    <w:basedOn w:val="Normal"/>
    <w:next w:val="Normal"/>
    <w:link w:val="Heading7Char"/>
    <w:qFormat/>
    <w:rsid w:val="00096D9E"/>
    <w:pPr>
      <w:keepNext/>
      <w:spacing w:before="60" w:after="60"/>
      <w:ind w:left="1440" w:firstLine="720"/>
      <w:jc w:val="both"/>
      <w:outlineLvl w:val="6"/>
    </w:pPr>
    <w:rPr>
      <w:b/>
      <w:spacing w:val="-2"/>
      <w:szCs w:val="20"/>
      <w:lang w:val="en-GB" w:eastAsia="en-AU"/>
    </w:rPr>
  </w:style>
  <w:style w:type="paragraph" w:styleId="Heading8">
    <w:name w:val="heading 8"/>
    <w:basedOn w:val="Normal"/>
    <w:next w:val="Normal"/>
    <w:link w:val="Heading8Char"/>
    <w:qFormat/>
    <w:rsid w:val="00096D9E"/>
    <w:pPr>
      <w:keepNext/>
      <w:ind w:left="2127"/>
      <w:jc w:val="both"/>
      <w:outlineLvl w:val="7"/>
    </w:pPr>
    <w:rPr>
      <w:b/>
      <w:spacing w:val="-2"/>
      <w:szCs w:val="20"/>
      <w:lang w:val="en-GB" w:eastAsia="en-AU"/>
    </w:rPr>
  </w:style>
  <w:style w:type="paragraph" w:styleId="Heading9">
    <w:name w:val="heading 9"/>
    <w:basedOn w:val="Normal"/>
    <w:next w:val="Normal"/>
    <w:link w:val="Heading9Char"/>
    <w:uiPriority w:val="9"/>
    <w:qFormat/>
    <w:rsid w:val="00096D9E"/>
    <w:pPr>
      <w:keepNext/>
      <w:outlineLvl w:val="8"/>
    </w:pPr>
    <w:rPr>
      <w:b/>
      <w:sz w:val="2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3"/>
    <w:basedOn w:val="DefaultParagraphFont"/>
    <w:link w:val="Heading1"/>
    <w:uiPriority w:val="9"/>
    <w:rsid w:val="00C66231"/>
    <w:rPr>
      <w:rFonts w:ascii="Arial" w:eastAsia="Times New Roman" w:hAnsi="Arial" w:cs="Arial"/>
      <w:b/>
      <w:sz w:val="40"/>
      <w:szCs w:val="40"/>
    </w:rPr>
  </w:style>
  <w:style w:type="character" w:customStyle="1" w:styleId="Heading2Char">
    <w:name w:val="Heading 2 Char"/>
    <w:basedOn w:val="DefaultParagraphFont"/>
    <w:link w:val="Heading2"/>
    <w:uiPriority w:val="9"/>
    <w:rsid w:val="00E86ACB"/>
    <w:rPr>
      <w:rFonts w:ascii="Arial" w:eastAsia="Times New Roman" w:hAnsi="Arial" w:cs="Arial"/>
      <w:b/>
      <w:sz w:val="28"/>
      <w:szCs w:val="28"/>
    </w:rPr>
  </w:style>
  <w:style w:type="character" w:customStyle="1" w:styleId="Heading3Char">
    <w:name w:val="Heading 3 Char"/>
    <w:basedOn w:val="DefaultParagraphFont"/>
    <w:link w:val="Heading3"/>
    <w:uiPriority w:val="9"/>
    <w:rsid w:val="00E86ACB"/>
    <w:rPr>
      <w:rFonts w:ascii="Arial" w:eastAsia="Times New Roman" w:hAnsi="Arial" w:cs="Arial"/>
      <w:b/>
      <w:sz w:val="24"/>
      <w:szCs w:val="24"/>
    </w:rPr>
  </w:style>
  <w:style w:type="character" w:customStyle="1" w:styleId="Heading4Char">
    <w:name w:val="Heading 4 Char"/>
    <w:basedOn w:val="DefaultParagraphFont"/>
    <w:link w:val="Heading4"/>
    <w:uiPriority w:val="9"/>
    <w:rsid w:val="0035750F"/>
    <w:rPr>
      <w:rFonts w:ascii="Times New Roman" w:eastAsia="Times New Roman" w:hAnsi="Times New Roman" w:cs="Times New Roman"/>
      <w:i/>
      <w:szCs w:val="20"/>
      <w:lang w:eastAsia="en-AU"/>
    </w:rPr>
  </w:style>
  <w:style w:type="character" w:customStyle="1" w:styleId="Heading5Char">
    <w:name w:val="Heading 5 Char"/>
    <w:basedOn w:val="DefaultParagraphFont"/>
    <w:link w:val="Heading5"/>
    <w:uiPriority w:val="99"/>
    <w:rsid w:val="00096D9E"/>
    <w:rPr>
      <w:rFonts w:ascii="Times New Roman" w:eastAsia="Times New Roman" w:hAnsi="Times New Roman" w:cs="Times New Roman"/>
      <w:b/>
      <w:sz w:val="32"/>
      <w:szCs w:val="20"/>
      <w:lang w:eastAsia="en-AU"/>
    </w:rPr>
  </w:style>
  <w:style w:type="character" w:customStyle="1" w:styleId="Heading6Char">
    <w:name w:val="Heading 6 Char"/>
    <w:basedOn w:val="DefaultParagraphFont"/>
    <w:link w:val="Heading6"/>
    <w:uiPriority w:val="9"/>
    <w:rsid w:val="00096D9E"/>
    <w:rPr>
      <w:rFonts w:ascii="Times New Roman" w:eastAsia="Times New Roman" w:hAnsi="Times New Roman" w:cs="Times New Roman"/>
      <w:b/>
      <w:sz w:val="28"/>
      <w:szCs w:val="20"/>
      <w:lang w:eastAsia="en-AU"/>
    </w:rPr>
  </w:style>
  <w:style w:type="character" w:customStyle="1" w:styleId="Heading7Char">
    <w:name w:val="Heading 7 Char"/>
    <w:basedOn w:val="DefaultParagraphFont"/>
    <w:link w:val="Heading7"/>
    <w:rsid w:val="00096D9E"/>
    <w:rPr>
      <w:rFonts w:ascii="Times New Roman" w:eastAsia="Times New Roman" w:hAnsi="Times New Roman" w:cs="Times New Roman"/>
      <w:b/>
      <w:spacing w:val="-2"/>
      <w:szCs w:val="20"/>
      <w:lang w:val="en-GB" w:eastAsia="en-AU"/>
    </w:rPr>
  </w:style>
  <w:style w:type="character" w:customStyle="1" w:styleId="Heading8Char">
    <w:name w:val="Heading 8 Char"/>
    <w:basedOn w:val="DefaultParagraphFont"/>
    <w:link w:val="Heading8"/>
    <w:rsid w:val="00096D9E"/>
    <w:rPr>
      <w:rFonts w:ascii="Times New Roman" w:eastAsia="Times New Roman" w:hAnsi="Times New Roman" w:cs="Times New Roman"/>
      <w:b/>
      <w:spacing w:val="-2"/>
      <w:szCs w:val="20"/>
      <w:lang w:val="en-GB" w:eastAsia="en-AU"/>
    </w:rPr>
  </w:style>
  <w:style w:type="character" w:customStyle="1" w:styleId="Heading9Char">
    <w:name w:val="Heading 9 Char"/>
    <w:basedOn w:val="DefaultParagraphFont"/>
    <w:link w:val="Heading9"/>
    <w:uiPriority w:val="9"/>
    <w:rsid w:val="00096D9E"/>
    <w:rPr>
      <w:rFonts w:ascii="Times New Roman" w:eastAsia="Times New Roman" w:hAnsi="Times New Roman" w:cs="Times New Roman"/>
      <w:b/>
      <w:sz w:val="28"/>
      <w:szCs w:val="20"/>
      <w:lang w:eastAsia="en-AU"/>
    </w:rPr>
  </w:style>
  <w:style w:type="paragraph" w:styleId="BodyText">
    <w:name w:val="Body Text"/>
    <w:basedOn w:val="Normal"/>
    <w:link w:val="BodyTextChar"/>
    <w:unhideWhenUsed/>
    <w:rsid w:val="00776CFE"/>
    <w:pPr>
      <w:spacing w:after="120"/>
    </w:pPr>
  </w:style>
  <w:style w:type="character" w:customStyle="1" w:styleId="BodyTextChar">
    <w:name w:val="Body Text Char"/>
    <w:basedOn w:val="DefaultParagraphFont"/>
    <w:link w:val="BodyText"/>
    <w:rsid w:val="00776CFE"/>
    <w:rPr>
      <w:rFonts w:ascii="Times New Roman" w:eastAsia="Times New Roman" w:hAnsi="Times New Roman" w:cs="Times New Roman"/>
      <w:sz w:val="24"/>
      <w:szCs w:val="24"/>
    </w:rPr>
  </w:style>
  <w:style w:type="paragraph" w:styleId="Header">
    <w:name w:val="header"/>
    <w:basedOn w:val="Normal"/>
    <w:link w:val="HeaderChar"/>
    <w:rsid w:val="00776CFE"/>
    <w:pPr>
      <w:tabs>
        <w:tab w:val="center" w:pos="4153"/>
        <w:tab w:val="right" w:pos="8306"/>
      </w:tabs>
    </w:pPr>
  </w:style>
  <w:style w:type="character" w:customStyle="1" w:styleId="HeaderChar">
    <w:name w:val="Header Char"/>
    <w:basedOn w:val="DefaultParagraphFont"/>
    <w:link w:val="Header"/>
    <w:rsid w:val="00776CFE"/>
    <w:rPr>
      <w:rFonts w:ascii="Times New Roman" w:eastAsia="Times New Roman" w:hAnsi="Times New Roman" w:cs="Times New Roman"/>
      <w:sz w:val="24"/>
      <w:szCs w:val="24"/>
    </w:rPr>
  </w:style>
  <w:style w:type="paragraph" w:styleId="Footer">
    <w:name w:val="footer"/>
    <w:aliases w:val=" Char Char,Char Char,Char Char2,Char Char21"/>
    <w:basedOn w:val="Normal"/>
    <w:link w:val="FooterChar"/>
    <w:uiPriority w:val="99"/>
    <w:rsid w:val="00776CFE"/>
    <w:pPr>
      <w:tabs>
        <w:tab w:val="center" w:pos="4153"/>
        <w:tab w:val="right" w:pos="8306"/>
      </w:tabs>
    </w:pPr>
  </w:style>
  <w:style w:type="character" w:customStyle="1" w:styleId="FooterChar">
    <w:name w:val="Footer Char"/>
    <w:aliases w:val=" Char Char Char,Char Char Char,Char Char2 Char,Char Char21 Char"/>
    <w:basedOn w:val="DefaultParagraphFont"/>
    <w:link w:val="Footer"/>
    <w:uiPriority w:val="99"/>
    <w:rsid w:val="00776CFE"/>
    <w:rPr>
      <w:rFonts w:ascii="Times New Roman" w:eastAsia="Times New Roman" w:hAnsi="Times New Roman" w:cs="Times New Roman"/>
      <w:sz w:val="24"/>
      <w:szCs w:val="24"/>
    </w:rPr>
  </w:style>
  <w:style w:type="paragraph" w:customStyle="1" w:styleId="DefaultText">
    <w:name w:val="Default Text"/>
    <w:basedOn w:val="Normal"/>
    <w:uiPriority w:val="99"/>
    <w:rsid w:val="00776CFE"/>
    <w:rPr>
      <w:snapToGrid w:val="0"/>
      <w:szCs w:val="20"/>
      <w:lang w:val="en-US"/>
    </w:rPr>
  </w:style>
  <w:style w:type="character" w:styleId="PageNumber">
    <w:name w:val="page number"/>
    <w:basedOn w:val="DefaultParagraphFont"/>
    <w:rsid w:val="00776CFE"/>
  </w:style>
  <w:style w:type="paragraph" w:styleId="ListParagraph">
    <w:name w:val="List Paragraph"/>
    <w:aliases w:val="NFP GP Bulleted List"/>
    <w:basedOn w:val="Normal"/>
    <w:link w:val="ListParagraphChar"/>
    <w:uiPriority w:val="34"/>
    <w:qFormat/>
    <w:rsid w:val="005E3D6D"/>
    <w:pPr>
      <w:ind w:left="720"/>
      <w:contextualSpacing/>
    </w:pPr>
  </w:style>
  <w:style w:type="paragraph" w:customStyle="1" w:styleId="non-chapter">
    <w:name w:val="non-chapter"/>
    <w:uiPriority w:val="99"/>
    <w:rsid w:val="00096D9E"/>
    <w:pPr>
      <w:keepNext/>
      <w:keepLines/>
      <w:spacing w:after="226" w:line="240" w:lineRule="auto"/>
    </w:pPr>
    <w:rPr>
      <w:rFonts w:ascii="Times New Roman" w:eastAsia="Times New Roman" w:hAnsi="Times New Roman" w:cs="Times New Roman"/>
      <w:b/>
      <w:caps/>
      <w:snapToGrid w:val="0"/>
      <w:color w:val="000000"/>
      <w:sz w:val="32"/>
      <w:szCs w:val="20"/>
      <w:lang w:val="en-US"/>
    </w:rPr>
  </w:style>
  <w:style w:type="paragraph" w:styleId="BodyText3">
    <w:name w:val="Body Text 3"/>
    <w:basedOn w:val="Normal"/>
    <w:link w:val="BodyText3Char"/>
    <w:rsid w:val="00096D9E"/>
    <w:pPr>
      <w:jc w:val="both"/>
    </w:pPr>
    <w:rPr>
      <w:szCs w:val="20"/>
      <w:lang w:eastAsia="en-AU"/>
    </w:rPr>
  </w:style>
  <w:style w:type="character" w:customStyle="1" w:styleId="BodyText3Char">
    <w:name w:val="Body Text 3 Char"/>
    <w:basedOn w:val="DefaultParagraphFont"/>
    <w:link w:val="BodyText3"/>
    <w:rsid w:val="00096D9E"/>
    <w:rPr>
      <w:rFonts w:ascii="Times New Roman" w:eastAsia="Times New Roman" w:hAnsi="Times New Roman" w:cs="Times New Roman"/>
      <w:sz w:val="24"/>
      <w:szCs w:val="20"/>
      <w:lang w:eastAsia="en-AU"/>
    </w:rPr>
  </w:style>
  <w:style w:type="paragraph" w:customStyle="1" w:styleId="Indent">
    <w:name w:val="Indent"/>
    <w:uiPriority w:val="99"/>
    <w:rsid w:val="00096D9E"/>
    <w:pPr>
      <w:spacing w:line="240" w:lineRule="auto"/>
      <w:ind w:left="720"/>
      <w:jc w:val="both"/>
    </w:pPr>
    <w:rPr>
      <w:rFonts w:ascii="Times New Roman" w:eastAsia="Times New Roman" w:hAnsi="Times New Roman" w:cs="Times New Roman"/>
      <w:snapToGrid w:val="0"/>
      <w:color w:val="000000"/>
      <w:sz w:val="24"/>
      <w:szCs w:val="20"/>
      <w:lang w:val="en-US"/>
    </w:rPr>
  </w:style>
  <w:style w:type="paragraph" w:customStyle="1" w:styleId="TableText">
    <w:name w:val="Table Text"/>
    <w:uiPriority w:val="99"/>
    <w:rsid w:val="00096D9E"/>
    <w:pPr>
      <w:spacing w:line="240" w:lineRule="auto"/>
    </w:pPr>
    <w:rPr>
      <w:rFonts w:ascii="Times New Roman" w:eastAsia="Times New Roman" w:hAnsi="Times New Roman" w:cs="Times New Roman"/>
      <w:snapToGrid w:val="0"/>
      <w:color w:val="000000"/>
      <w:sz w:val="24"/>
      <w:szCs w:val="20"/>
      <w:lang w:val="en-US"/>
    </w:rPr>
  </w:style>
  <w:style w:type="paragraph" w:customStyle="1" w:styleId="non-subhead">
    <w:name w:val="non-subhead"/>
    <w:uiPriority w:val="99"/>
    <w:rsid w:val="00096D9E"/>
    <w:pPr>
      <w:keepNext/>
      <w:keepLines/>
      <w:spacing w:before="226" w:after="141" w:line="240" w:lineRule="auto"/>
    </w:pPr>
    <w:rPr>
      <w:rFonts w:ascii="Times New Roman" w:eastAsia="Times New Roman" w:hAnsi="Times New Roman" w:cs="Times New Roman"/>
      <w:snapToGrid w:val="0"/>
      <w:color w:val="000000"/>
      <w:sz w:val="28"/>
      <w:szCs w:val="20"/>
      <w:lang w:val="en-US"/>
    </w:rPr>
  </w:style>
  <w:style w:type="paragraph" w:styleId="BodyTextIndent">
    <w:name w:val="Body Text Indent"/>
    <w:basedOn w:val="Normal"/>
    <w:link w:val="BodyTextIndentChar"/>
    <w:rsid w:val="00096D9E"/>
    <w:pPr>
      <w:widowControl w:val="0"/>
    </w:pPr>
    <w:rPr>
      <w:b/>
      <w:szCs w:val="20"/>
    </w:rPr>
  </w:style>
  <w:style w:type="character" w:customStyle="1" w:styleId="BodyTextIndentChar">
    <w:name w:val="Body Text Indent Char"/>
    <w:basedOn w:val="DefaultParagraphFont"/>
    <w:link w:val="BodyTextIndent"/>
    <w:rsid w:val="00096D9E"/>
    <w:rPr>
      <w:rFonts w:ascii="Times New Roman" w:eastAsia="Times New Roman" w:hAnsi="Times New Roman" w:cs="Times New Roman"/>
      <w:b/>
      <w:szCs w:val="20"/>
    </w:rPr>
  </w:style>
  <w:style w:type="paragraph" w:styleId="BodyText2">
    <w:name w:val="Body Text 2"/>
    <w:basedOn w:val="Normal"/>
    <w:link w:val="BodyText2Char"/>
    <w:rsid w:val="00096D9E"/>
    <w:pPr>
      <w:jc w:val="both"/>
    </w:pPr>
    <w:rPr>
      <w:b/>
      <w:sz w:val="28"/>
      <w:szCs w:val="20"/>
      <w:lang w:eastAsia="en-AU"/>
    </w:rPr>
  </w:style>
  <w:style w:type="character" w:customStyle="1" w:styleId="BodyText2Char">
    <w:name w:val="Body Text 2 Char"/>
    <w:basedOn w:val="DefaultParagraphFont"/>
    <w:link w:val="BodyText2"/>
    <w:rsid w:val="00096D9E"/>
    <w:rPr>
      <w:rFonts w:ascii="Times New Roman" w:eastAsia="Times New Roman" w:hAnsi="Times New Roman" w:cs="Times New Roman"/>
      <w:b/>
      <w:sz w:val="28"/>
      <w:szCs w:val="20"/>
      <w:lang w:eastAsia="en-AU"/>
    </w:rPr>
  </w:style>
  <w:style w:type="paragraph" w:styleId="BodyTextIndent2">
    <w:name w:val="Body Text Indent 2"/>
    <w:basedOn w:val="Normal"/>
    <w:link w:val="BodyTextIndent2Char"/>
    <w:rsid w:val="00096D9E"/>
    <w:pPr>
      <w:widowControl w:val="0"/>
      <w:ind w:left="720"/>
    </w:pPr>
    <w:rPr>
      <w:rFonts w:ascii="Arial" w:hAnsi="Arial"/>
      <w:szCs w:val="20"/>
      <w:lang w:eastAsia="en-AU"/>
    </w:rPr>
  </w:style>
  <w:style w:type="character" w:customStyle="1" w:styleId="BodyTextIndent2Char">
    <w:name w:val="Body Text Indent 2 Char"/>
    <w:basedOn w:val="DefaultParagraphFont"/>
    <w:link w:val="BodyTextIndent2"/>
    <w:rsid w:val="00096D9E"/>
    <w:rPr>
      <w:rFonts w:ascii="Arial" w:eastAsia="Times New Roman" w:hAnsi="Arial" w:cs="Times New Roman"/>
      <w:szCs w:val="20"/>
      <w:lang w:eastAsia="en-AU"/>
    </w:rPr>
  </w:style>
  <w:style w:type="paragraph" w:customStyle="1" w:styleId="Chaptertitle">
    <w:name w:val="Chapter title"/>
    <w:basedOn w:val="Heading1"/>
    <w:uiPriority w:val="99"/>
    <w:rsid w:val="00096D9E"/>
    <w:pPr>
      <w:keepNext/>
      <w:tabs>
        <w:tab w:val="num" w:pos="360"/>
      </w:tabs>
      <w:spacing w:before="240" w:after="60"/>
      <w:ind w:left="360" w:hanging="360"/>
    </w:pPr>
    <w:rPr>
      <w:caps/>
      <w:kern w:val="28"/>
      <w:u w:val="single"/>
      <w:lang w:eastAsia="en-AU"/>
    </w:rPr>
  </w:style>
  <w:style w:type="paragraph" w:customStyle="1" w:styleId="Bullet1">
    <w:name w:val="Bullet 1"/>
    <w:uiPriority w:val="99"/>
    <w:rsid w:val="00096D9E"/>
    <w:pPr>
      <w:spacing w:before="113" w:line="240" w:lineRule="auto"/>
      <w:ind w:left="720" w:hanging="3"/>
      <w:jc w:val="both"/>
    </w:pPr>
    <w:rPr>
      <w:rFonts w:ascii="Times New Roman" w:eastAsia="Times New Roman" w:hAnsi="Times New Roman" w:cs="Times New Roman"/>
      <w:snapToGrid w:val="0"/>
      <w:color w:val="000000"/>
      <w:sz w:val="24"/>
      <w:szCs w:val="20"/>
      <w:lang w:val="en-US"/>
    </w:rPr>
  </w:style>
  <w:style w:type="paragraph" w:customStyle="1" w:styleId="non-heading">
    <w:name w:val="non-heading"/>
    <w:uiPriority w:val="99"/>
    <w:rsid w:val="00096D9E"/>
    <w:pPr>
      <w:keepNext/>
      <w:keepLines/>
      <w:spacing w:before="283" w:after="141" w:line="240" w:lineRule="auto"/>
    </w:pPr>
    <w:rPr>
      <w:rFonts w:ascii="Times New Roman" w:eastAsia="Times New Roman" w:hAnsi="Times New Roman" w:cs="Times New Roman"/>
      <w:b/>
      <w:snapToGrid w:val="0"/>
      <w:color w:val="000000"/>
      <w:sz w:val="30"/>
      <w:szCs w:val="20"/>
      <w:lang w:val="en-US"/>
    </w:rPr>
  </w:style>
  <w:style w:type="paragraph" w:customStyle="1" w:styleId="Bullet2">
    <w:name w:val="Bullet 2"/>
    <w:uiPriority w:val="99"/>
    <w:rsid w:val="00096D9E"/>
    <w:pPr>
      <w:spacing w:before="56" w:line="240" w:lineRule="auto"/>
      <w:ind w:left="1080"/>
      <w:jc w:val="both"/>
    </w:pPr>
    <w:rPr>
      <w:rFonts w:ascii="Times New Roman" w:eastAsia="Times New Roman" w:hAnsi="Times New Roman" w:cs="Times New Roman"/>
      <w:snapToGrid w:val="0"/>
      <w:color w:val="000000"/>
      <w:sz w:val="24"/>
      <w:szCs w:val="20"/>
      <w:lang w:val="en-US"/>
    </w:rPr>
  </w:style>
  <w:style w:type="paragraph" w:customStyle="1" w:styleId="BodySingle">
    <w:name w:val="Body Single"/>
    <w:basedOn w:val="Normal"/>
    <w:uiPriority w:val="99"/>
    <w:rsid w:val="00096D9E"/>
    <w:rPr>
      <w:rFonts w:ascii="TimesNewRomanPS" w:hAnsi="TimesNewRomanPS"/>
      <w:snapToGrid w:val="0"/>
      <w:szCs w:val="20"/>
    </w:rPr>
  </w:style>
  <w:style w:type="paragraph" w:customStyle="1" w:styleId="BulletedList">
    <w:name w:val="Bulleted List"/>
    <w:basedOn w:val="Normal"/>
    <w:uiPriority w:val="99"/>
    <w:rsid w:val="00096D9E"/>
    <w:pPr>
      <w:tabs>
        <w:tab w:val="left" w:pos="360"/>
        <w:tab w:val="left" w:pos="483"/>
        <w:tab w:val="left" w:pos="720"/>
        <w:tab w:val="left" w:pos="1440"/>
        <w:tab w:val="left" w:pos="2880"/>
      </w:tabs>
      <w:ind w:left="288" w:hanging="288"/>
      <w:jc w:val="both"/>
    </w:pPr>
    <w:rPr>
      <w:sz w:val="20"/>
      <w:szCs w:val="20"/>
      <w:lang w:val="en-GB" w:eastAsia="en-AU"/>
    </w:rPr>
  </w:style>
  <w:style w:type="paragraph" w:customStyle="1" w:styleId="Subhead2">
    <w:name w:val="Subhead 2"/>
    <w:uiPriority w:val="99"/>
    <w:rsid w:val="00096D9E"/>
    <w:pPr>
      <w:spacing w:line="240" w:lineRule="auto"/>
    </w:pPr>
    <w:rPr>
      <w:rFonts w:ascii="Arial" w:eastAsia="Times New Roman" w:hAnsi="Arial" w:cs="Times New Roman"/>
      <w:b/>
      <w:noProof/>
      <w:spacing w:val="20"/>
      <w:sz w:val="20"/>
      <w:szCs w:val="20"/>
      <w:lang w:val="en-US"/>
    </w:rPr>
  </w:style>
  <w:style w:type="paragraph" w:customStyle="1" w:styleId="Subhead1">
    <w:name w:val="Subhead 1"/>
    <w:uiPriority w:val="99"/>
    <w:rsid w:val="00096D9E"/>
    <w:pPr>
      <w:tabs>
        <w:tab w:val="left" w:pos="2892"/>
      </w:tabs>
      <w:spacing w:line="240" w:lineRule="auto"/>
    </w:pPr>
    <w:rPr>
      <w:rFonts w:ascii="Arial" w:eastAsia="Times New Roman" w:hAnsi="Arial" w:cs="Times New Roman"/>
      <w:b/>
      <w:color w:val="000000"/>
      <w:spacing w:val="15"/>
      <w:sz w:val="20"/>
      <w:szCs w:val="20"/>
      <w:lang w:val="en-US"/>
    </w:rPr>
  </w:style>
  <w:style w:type="paragraph" w:styleId="BodyTextIndent3">
    <w:name w:val="Body Text Indent 3"/>
    <w:basedOn w:val="Normal"/>
    <w:link w:val="BodyTextIndent3Char"/>
    <w:rsid w:val="00096D9E"/>
    <w:pPr>
      <w:tabs>
        <w:tab w:val="left" w:pos="2160"/>
      </w:tabs>
      <w:spacing w:before="60" w:after="60"/>
      <w:ind w:left="2160"/>
      <w:jc w:val="both"/>
    </w:pPr>
    <w:rPr>
      <w:szCs w:val="20"/>
      <w:lang w:val="en-GB" w:eastAsia="en-AU"/>
    </w:rPr>
  </w:style>
  <w:style w:type="character" w:customStyle="1" w:styleId="BodyTextIndent3Char">
    <w:name w:val="Body Text Indent 3 Char"/>
    <w:basedOn w:val="DefaultParagraphFont"/>
    <w:link w:val="BodyTextIndent3"/>
    <w:rsid w:val="00096D9E"/>
    <w:rPr>
      <w:rFonts w:ascii="Times New Roman" w:eastAsia="Times New Roman" w:hAnsi="Times New Roman" w:cs="Times New Roman"/>
      <w:szCs w:val="20"/>
      <w:lang w:val="en-GB" w:eastAsia="en-AU"/>
    </w:rPr>
  </w:style>
  <w:style w:type="character" w:styleId="Hyperlink">
    <w:name w:val="Hyperlink"/>
    <w:basedOn w:val="DefaultParagraphFont"/>
    <w:uiPriority w:val="99"/>
    <w:rsid w:val="00096D9E"/>
    <w:rPr>
      <w:color w:val="0000FF"/>
      <w:u w:val="single"/>
    </w:rPr>
  </w:style>
  <w:style w:type="paragraph" w:styleId="Title">
    <w:name w:val="Title"/>
    <w:basedOn w:val="Normal"/>
    <w:link w:val="TitleChar"/>
    <w:uiPriority w:val="10"/>
    <w:qFormat/>
    <w:rsid w:val="00096D9E"/>
    <w:pPr>
      <w:overflowPunct w:val="0"/>
      <w:autoSpaceDE w:val="0"/>
      <w:autoSpaceDN w:val="0"/>
      <w:adjustRightInd w:val="0"/>
      <w:jc w:val="center"/>
      <w:textAlignment w:val="baseline"/>
    </w:pPr>
    <w:rPr>
      <w:b/>
      <w:szCs w:val="20"/>
      <w:lang w:val="en-GB" w:eastAsia="en-AU"/>
    </w:rPr>
  </w:style>
  <w:style w:type="character" w:customStyle="1" w:styleId="TitleChar">
    <w:name w:val="Title Char"/>
    <w:basedOn w:val="DefaultParagraphFont"/>
    <w:link w:val="Title"/>
    <w:uiPriority w:val="10"/>
    <w:rsid w:val="00096D9E"/>
    <w:rPr>
      <w:rFonts w:ascii="Times New Roman" w:eastAsia="Times New Roman" w:hAnsi="Times New Roman" w:cs="Times New Roman"/>
      <w:b/>
      <w:sz w:val="24"/>
      <w:szCs w:val="20"/>
      <w:lang w:val="en-GB" w:eastAsia="en-AU"/>
    </w:rPr>
  </w:style>
  <w:style w:type="paragraph" w:customStyle="1" w:styleId="SectionTitle">
    <w:name w:val="Section Title"/>
    <w:basedOn w:val="Normal"/>
    <w:next w:val="Normal"/>
    <w:autoRedefine/>
    <w:uiPriority w:val="99"/>
    <w:rsid w:val="00096D9E"/>
    <w:pPr>
      <w:spacing w:before="220" w:line="220" w:lineRule="atLeast"/>
    </w:pPr>
    <w:rPr>
      <w:b/>
      <w:spacing w:val="-10"/>
      <w:sz w:val="20"/>
      <w:szCs w:val="20"/>
      <w:lang w:eastAsia="en-AU"/>
    </w:rPr>
  </w:style>
  <w:style w:type="paragraph" w:customStyle="1" w:styleId="PersonalInfo">
    <w:name w:val="Personal Info"/>
    <w:basedOn w:val="Achievement"/>
    <w:next w:val="Achievement"/>
    <w:uiPriority w:val="99"/>
    <w:rsid w:val="00096D9E"/>
    <w:pPr>
      <w:spacing w:before="240"/>
      <w:ind w:left="245" w:hanging="245"/>
    </w:pPr>
  </w:style>
  <w:style w:type="paragraph" w:customStyle="1" w:styleId="Achievement">
    <w:name w:val="Achievement"/>
    <w:basedOn w:val="BodyText"/>
    <w:uiPriority w:val="99"/>
    <w:rsid w:val="00096D9E"/>
    <w:pPr>
      <w:spacing w:after="60" w:line="220" w:lineRule="atLeast"/>
      <w:ind w:left="1080" w:hanging="360"/>
      <w:jc w:val="both"/>
    </w:pPr>
    <w:rPr>
      <w:rFonts w:ascii="Arial" w:hAnsi="Arial"/>
      <w:spacing w:val="-5"/>
      <w:sz w:val="20"/>
      <w:szCs w:val="20"/>
    </w:rPr>
  </w:style>
  <w:style w:type="paragraph" w:customStyle="1" w:styleId="Objective">
    <w:name w:val="Objective"/>
    <w:basedOn w:val="Normal"/>
    <w:next w:val="BodyText"/>
    <w:uiPriority w:val="99"/>
    <w:rsid w:val="00096D9E"/>
    <w:pPr>
      <w:spacing w:before="240" w:after="220" w:line="220" w:lineRule="atLeast"/>
    </w:pPr>
    <w:rPr>
      <w:rFonts w:ascii="Arial" w:hAnsi="Arial"/>
      <w:sz w:val="20"/>
      <w:szCs w:val="20"/>
      <w:lang w:eastAsia="en-AU"/>
    </w:rPr>
  </w:style>
  <w:style w:type="paragraph" w:customStyle="1" w:styleId="CompanyName">
    <w:name w:val="Company Name"/>
    <w:basedOn w:val="Normal"/>
    <w:next w:val="Normal"/>
    <w:autoRedefine/>
    <w:uiPriority w:val="99"/>
    <w:rsid w:val="00096D9E"/>
    <w:pPr>
      <w:tabs>
        <w:tab w:val="left" w:pos="2160"/>
        <w:tab w:val="right" w:pos="6480"/>
      </w:tabs>
      <w:spacing w:before="240" w:after="40" w:line="220" w:lineRule="atLeast"/>
    </w:pPr>
    <w:rPr>
      <w:rFonts w:ascii="Arial" w:hAnsi="Arial"/>
      <w:sz w:val="20"/>
      <w:szCs w:val="20"/>
      <w:lang w:eastAsia="en-AU"/>
    </w:rPr>
  </w:style>
  <w:style w:type="paragraph" w:styleId="BalloonText">
    <w:name w:val="Balloon Text"/>
    <w:basedOn w:val="Normal"/>
    <w:link w:val="BalloonTextChar"/>
    <w:uiPriority w:val="99"/>
    <w:semiHidden/>
    <w:rsid w:val="00096D9E"/>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096D9E"/>
    <w:rPr>
      <w:rFonts w:ascii="Tahoma" w:eastAsia="Times New Roman" w:hAnsi="Tahoma" w:cs="Tahoma"/>
      <w:sz w:val="16"/>
      <w:szCs w:val="16"/>
      <w:lang w:eastAsia="en-AU"/>
    </w:rPr>
  </w:style>
  <w:style w:type="table" w:styleId="TableGrid">
    <w:name w:val="Table Grid"/>
    <w:basedOn w:val="TableNormal"/>
    <w:uiPriority w:val="39"/>
    <w:rsid w:val="00096D9E"/>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096D9E"/>
    <w:rPr>
      <w:sz w:val="16"/>
      <w:szCs w:val="16"/>
    </w:rPr>
  </w:style>
  <w:style w:type="paragraph" w:styleId="CommentText">
    <w:name w:val="annotation text"/>
    <w:basedOn w:val="Normal"/>
    <w:link w:val="CommentTextChar"/>
    <w:uiPriority w:val="99"/>
    <w:rsid w:val="00096D9E"/>
    <w:rPr>
      <w:sz w:val="20"/>
      <w:szCs w:val="20"/>
      <w:lang w:eastAsia="en-AU"/>
    </w:rPr>
  </w:style>
  <w:style w:type="character" w:customStyle="1" w:styleId="CommentTextChar">
    <w:name w:val="Comment Text Char"/>
    <w:basedOn w:val="DefaultParagraphFont"/>
    <w:link w:val="CommentText"/>
    <w:uiPriority w:val="99"/>
    <w:rsid w:val="00096D9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rsid w:val="00096D9E"/>
    <w:rPr>
      <w:b/>
      <w:bCs/>
    </w:rPr>
  </w:style>
  <w:style w:type="character" w:customStyle="1" w:styleId="CommentSubjectChar">
    <w:name w:val="Comment Subject Char"/>
    <w:basedOn w:val="CommentTextChar"/>
    <w:link w:val="CommentSubject"/>
    <w:uiPriority w:val="99"/>
    <w:rsid w:val="00096D9E"/>
    <w:rPr>
      <w:rFonts w:ascii="Times New Roman" w:eastAsia="Times New Roman" w:hAnsi="Times New Roman" w:cs="Times New Roman"/>
      <w:b/>
      <w:bCs/>
      <w:sz w:val="20"/>
      <w:szCs w:val="20"/>
      <w:lang w:eastAsia="en-AU"/>
    </w:rPr>
  </w:style>
  <w:style w:type="paragraph" w:styleId="NormalWeb">
    <w:name w:val="Normal (Web)"/>
    <w:basedOn w:val="Normal"/>
    <w:uiPriority w:val="99"/>
    <w:rsid w:val="00096D9E"/>
    <w:pPr>
      <w:spacing w:after="240" w:line="336" w:lineRule="atLeast"/>
    </w:pPr>
    <w:rPr>
      <w:color w:val="222222"/>
      <w:lang w:val="en-US" w:eastAsia="en-AU"/>
    </w:rPr>
  </w:style>
  <w:style w:type="paragraph" w:customStyle="1" w:styleId="Tableheading">
    <w:name w:val="Table heading"/>
    <w:basedOn w:val="Normal"/>
    <w:qFormat/>
    <w:rsid w:val="00096D9E"/>
    <w:pPr>
      <w:spacing w:before="240" w:after="120"/>
      <w:jc w:val="center"/>
    </w:pPr>
    <w:rPr>
      <w:lang w:eastAsia="en-AU"/>
    </w:rPr>
  </w:style>
  <w:style w:type="paragraph" w:customStyle="1" w:styleId="TableText0">
    <w:name w:val="TableText"/>
    <w:basedOn w:val="Normal"/>
    <w:uiPriority w:val="99"/>
    <w:rsid w:val="00096D9E"/>
    <w:pPr>
      <w:keepNext/>
      <w:spacing w:before="40" w:after="40"/>
    </w:pPr>
    <w:rPr>
      <w:color w:val="000000"/>
      <w:sz w:val="20"/>
      <w:szCs w:val="20"/>
      <w:lang w:eastAsia="en-AU"/>
    </w:rPr>
  </w:style>
  <w:style w:type="paragraph" w:customStyle="1" w:styleId="TableCaption">
    <w:name w:val="TableCaption"/>
    <w:basedOn w:val="Normal"/>
    <w:rsid w:val="00096D9E"/>
    <w:pPr>
      <w:keepNext/>
      <w:tabs>
        <w:tab w:val="left" w:pos="1080"/>
      </w:tabs>
      <w:suppressAutoHyphens/>
      <w:spacing w:before="120" w:after="120"/>
      <w:ind w:left="1080" w:hanging="1080"/>
    </w:pPr>
    <w:rPr>
      <w:rFonts w:ascii="Arial Bold" w:hAnsi="Arial Bold"/>
      <w:b/>
      <w:color w:val="000000"/>
      <w:sz w:val="20"/>
      <w:szCs w:val="20"/>
      <w:lang w:eastAsia="en-AU"/>
    </w:rPr>
  </w:style>
  <w:style w:type="paragraph" w:customStyle="1" w:styleId="IngnallingPathwaysandStressNetrokr">
    <w:name w:val="Ingnalling Pathways and Stress Netrokr"/>
    <w:basedOn w:val="Normal"/>
    <w:uiPriority w:val="99"/>
    <w:rsid w:val="00096D9E"/>
    <w:pPr>
      <w:jc w:val="both"/>
    </w:pPr>
    <w:rPr>
      <w:szCs w:val="20"/>
      <w:lang w:eastAsia="en-AU"/>
    </w:rPr>
  </w:style>
  <w:style w:type="paragraph" w:styleId="Caption">
    <w:name w:val="caption"/>
    <w:basedOn w:val="Normal"/>
    <w:next w:val="Normal"/>
    <w:uiPriority w:val="35"/>
    <w:qFormat/>
    <w:rsid w:val="00096D9E"/>
    <w:rPr>
      <w:rFonts w:ascii="Verdana" w:hAnsi="Verdana" w:cs="Arial"/>
      <w:b/>
      <w:bCs/>
      <w:sz w:val="20"/>
      <w:szCs w:val="20"/>
      <w:lang w:eastAsia="en-AU"/>
    </w:rPr>
  </w:style>
  <w:style w:type="paragraph" w:styleId="TOC1">
    <w:name w:val="toc 1"/>
    <w:basedOn w:val="Normal"/>
    <w:next w:val="Normal"/>
    <w:autoRedefine/>
    <w:uiPriority w:val="39"/>
    <w:qFormat/>
    <w:rsid w:val="00096D9E"/>
    <w:pPr>
      <w:spacing w:before="120"/>
    </w:pPr>
    <w:rPr>
      <w:rFonts w:asciiTheme="minorHAnsi" w:hAnsiTheme="minorHAnsi"/>
      <w:b/>
      <w:bCs/>
      <w:i/>
      <w:iCs/>
      <w:sz w:val="24"/>
    </w:rPr>
  </w:style>
  <w:style w:type="paragraph" w:styleId="ListBullet">
    <w:name w:val="List Bullet"/>
    <w:basedOn w:val="Normal"/>
    <w:uiPriority w:val="99"/>
    <w:rsid w:val="00096D9E"/>
    <w:pPr>
      <w:tabs>
        <w:tab w:val="num" w:pos="284"/>
      </w:tabs>
      <w:ind w:left="284" w:hanging="284"/>
    </w:pPr>
    <w:rPr>
      <w:rFonts w:ascii="Verdana" w:hAnsi="Verdana" w:cs="Arial"/>
      <w:sz w:val="20"/>
      <w:szCs w:val="20"/>
      <w:lang w:eastAsia="en-AU"/>
    </w:rPr>
  </w:style>
  <w:style w:type="character" w:styleId="HTMLCite">
    <w:name w:val="HTML Cite"/>
    <w:basedOn w:val="DefaultParagraphFont"/>
    <w:uiPriority w:val="99"/>
    <w:rsid w:val="00096D9E"/>
    <w:rPr>
      <w:i w:val="0"/>
      <w:iCs w:val="0"/>
      <w:color w:val="008000"/>
    </w:rPr>
  </w:style>
  <w:style w:type="character" w:styleId="FollowedHyperlink">
    <w:name w:val="FollowedHyperlink"/>
    <w:basedOn w:val="DefaultParagraphFont"/>
    <w:uiPriority w:val="99"/>
    <w:rsid w:val="00096D9E"/>
    <w:rPr>
      <w:color w:val="800080"/>
      <w:u w:val="single"/>
    </w:rPr>
  </w:style>
  <w:style w:type="paragraph" w:styleId="FootnoteText">
    <w:name w:val="footnote text"/>
    <w:basedOn w:val="Normal"/>
    <w:link w:val="FootnoteTextChar"/>
    <w:uiPriority w:val="99"/>
    <w:semiHidden/>
    <w:rsid w:val="00096D9E"/>
    <w:rPr>
      <w:rFonts w:ascii="Verdana" w:hAnsi="Verdana" w:cs="Arial"/>
      <w:sz w:val="20"/>
      <w:szCs w:val="20"/>
      <w:lang w:eastAsia="en-AU"/>
    </w:rPr>
  </w:style>
  <w:style w:type="character" w:customStyle="1" w:styleId="FootnoteTextChar">
    <w:name w:val="Footnote Text Char"/>
    <w:basedOn w:val="DefaultParagraphFont"/>
    <w:link w:val="FootnoteText"/>
    <w:uiPriority w:val="99"/>
    <w:semiHidden/>
    <w:rsid w:val="00096D9E"/>
    <w:rPr>
      <w:rFonts w:ascii="Verdana" w:eastAsia="Times New Roman" w:hAnsi="Verdana" w:cs="Arial"/>
      <w:sz w:val="20"/>
      <w:szCs w:val="20"/>
      <w:lang w:eastAsia="en-AU"/>
    </w:rPr>
  </w:style>
  <w:style w:type="paragraph" w:customStyle="1" w:styleId="FormText">
    <w:name w:val="FormText"/>
    <w:basedOn w:val="FootnoteText"/>
    <w:uiPriority w:val="99"/>
    <w:rsid w:val="00096D9E"/>
    <w:rPr>
      <w:rFonts w:ascii="Times New Roman" w:hAnsi="Times New Roman" w:cs="Times New Roman"/>
      <w:lang w:eastAsia="en-US"/>
    </w:rPr>
  </w:style>
  <w:style w:type="paragraph" w:styleId="TOC2">
    <w:name w:val="toc 2"/>
    <w:basedOn w:val="Normal"/>
    <w:next w:val="Normal"/>
    <w:autoRedefine/>
    <w:uiPriority w:val="39"/>
    <w:unhideWhenUsed/>
    <w:qFormat/>
    <w:rsid w:val="00096D9E"/>
    <w:pPr>
      <w:spacing w:before="120"/>
      <w:ind w:left="220"/>
    </w:pPr>
    <w:rPr>
      <w:rFonts w:asciiTheme="minorHAnsi" w:hAnsiTheme="minorHAnsi"/>
      <w:b/>
      <w:bCs/>
      <w:szCs w:val="22"/>
    </w:rPr>
  </w:style>
  <w:style w:type="paragraph" w:customStyle="1" w:styleId="Default">
    <w:name w:val="Default"/>
    <w:rsid w:val="00096D9E"/>
    <w:pPr>
      <w:autoSpaceDE w:val="0"/>
      <w:autoSpaceDN w:val="0"/>
      <w:adjustRightInd w:val="0"/>
      <w:spacing w:line="240" w:lineRule="auto"/>
    </w:pPr>
    <w:rPr>
      <w:rFonts w:ascii="Tahoma" w:eastAsia="Times New Roman" w:hAnsi="Tahoma" w:cs="Tahoma"/>
      <w:color w:val="000000"/>
      <w:sz w:val="24"/>
      <w:szCs w:val="24"/>
      <w:lang w:eastAsia="en-AU"/>
    </w:rPr>
  </w:style>
  <w:style w:type="character" w:customStyle="1" w:styleId="EmailStyle86">
    <w:name w:val="EmailStyle86"/>
    <w:basedOn w:val="DefaultParagraphFont"/>
    <w:uiPriority w:val="99"/>
    <w:semiHidden/>
    <w:rsid w:val="00096D9E"/>
    <w:rPr>
      <w:rFonts w:ascii="Calibri" w:hAnsi="Calibri" w:hint="default"/>
      <w:b w:val="0"/>
      <w:bCs w:val="0"/>
      <w:i w:val="0"/>
      <w:iCs w:val="0"/>
      <w:strike w:val="0"/>
      <w:dstrike w:val="0"/>
      <w:color w:val="000080"/>
      <w:sz w:val="24"/>
      <w:szCs w:val="24"/>
      <w:u w:val="none"/>
      <w:effect w:val="none"/>
    </w:rPr>
  </w:style>
  <w:style w:type="character" w:customStyle="1" w:styleId="EmailStyle871">
    <w:name w:val="EmailStyle871"/>
    <w:basedOn w:val="DefaultParagraphFont"/>
    <w:uiPriority w:val="99"/>
    <w:semiHidden/>
    <w:rsid w:val="00D4126C"/>
    <w:rPr>
      <w:rFonts w:ascii="Calibri" w:hAnsi="Calibri"/>
      <w:b w:val="0"/>
      <w:bCs w:val="0"/>
      <w:i w:val="0"/>
      <w:iCs w:val="0"/>
      <w:strike w:val="0"/>
      <w:color w:val="000080"/>
      <w:sz w:val="24"/>
      <w:szCs w:val="24"/>
      <w:u w:val="none"/>
    </w:rPr>
  </w:style>
  <w:style w:type="character" w:styleId="Strong">
    <w:name w:val="Strong"/>
    <w:basedOn w:val="DefaultParagraphFont"/>
    <w:uiPriority w:val="22"/>
    <w:qFormat/>
    <w:rsid w:val="0023477E"/>
    <w:rPr>
      <w:b/>
      <w:bCs/>
    </w:rPr>
  </w:style>
  <w:style w:type="character" w:styleId="Emphasis">
    <w:name w:val="Emphasis"/>
    <w:basedOn w:val="DefaultParagraphFont"/>
    <w:uiPriority w:val="20"/>
    <w:qFormat/>
    <w:rsid w:val="0023477E"/>
    <w:rPr>
      <w:i/>
      <w:iCs/>
      <w:shd w:val="clear" w:color="auto" w:fill="FFCC33"/>
    </w:rPr>
  </w:style>
  <w:style w:type="paragraph" w:customStyle="1" w:styleId="source">
    <w:name w:val="source"/>
    <w:basedOn w:val="Normal"/>
    <w:uiPriority w:val="99"/>
    <w:rsid w:val="0023477E"/>
    <w:pPr>
      <w:spacing w:after="480"/>
      <w:jc w:val="right"/>
    </w:pPr>
    <w:rPr>
      <w:sz w:val="9"/>
      <w:szCs w:val="9"/>
      <w:lang w:eastAsia="en-AU"/>
    </w:rPr>
  </w:style>
  <w:style w:type="character" w:customStyle="1" w:styleId="Style14ptBold">
    <w:name w:val="Style 14 pt Bold"/>
    <w:basedOn w:val="DefaultParagraphFont"/>
    <w:uiPriority w:val="99"/>
    <w:rsid w:val="002D23D0"/>
    <w:rPr>
      <w:b/>
      <w:bCs/>
      <w:sz w:val="32"/>
    </w:rPr>
  </w:style>
  <w:style w:type="paragraph" w:styleId="NoSpacing">
    <w:name w:val="No Spacing"/>
    <w:link w:val="NoSpacingChar"/>
    <w:uiPriority w:val="1"/>
    <w:qFormat/>
    <w:rsid w:val="002D23D0"/>
    <w:pPr>
      <w:spacing w:line="240" w:lineRule="auto"/>
    </w:pPr>
    <w:rPr>
      <w:rFonts w:ascii="Times New Roman" w:eastAsia="Times New Roman" w:hAnsi="Times New Roman" w:cs="Times New Roman"/>
      <w:sz w:val="24"/>
      <w:szCs w:val="24"/>
    </w:rPr>
  </w:style>
  <w:style w:type="paragraph" w:customStyle="1" w:styleId="left">
    <w:name w:val="left"/>
    <w:basedOn w:val="Normal"/>
    <w:uiPriority w:val="99"/>
    <w:rsid w:val="002D23D0"/>
    <w:pPr>
      <w:spacing w:before="100" w:beforeAutospacing="1" w:after="100" w:afterAutospacing="1"/>
    </w:pPr>
    <w:rPr>
      <w:lang w:eastAsia="en-AU"/>
    </w:rPr>
  </w:style>
  <w:style w:type="character" w:customStyle="1" w:styleId="EndnoteTextChar">
    <w:name w:val="Endnote Text Char"/>
    <w:basedOn w:val="DefaultParagraphFont"/>
    <w:link w:val="EndnoteText"/>
    <w:uiPriority w:val="99"/>
    <w:semiHidden/>
    <w:rsid w:val="002D23D0"/>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2D23D0"/>
    <w:rPr>
      <w:sz w:val="20"/>
      <w:szCs w:val="20"/>
    </w:rPr>
  </w:style>
  <w:style w:type="paragraph" w:customStyle="1" w:styleId="Pa2">
    <w:name w:val="Pa2"/>
    <w:basedOn w:val="Normal"/>
    <w:next w:val="Normal"/>
    <w:uiPriority w:val="99"/>
    <w:rsid w:val="002D23D0"/>
    <w:pPr>
      <w:autoSpaceDE w:val="0"/>
      <w:autoSpaceDN w:val="0"/>
      <w:adjustRightInd w:val="0"/>
      <w:spacing w:before="100" w:line="191" w:lineRule="atLeast"/>
    </w:pPr>
    <w:rPr>
      <w:rFonts w:ascii="DIN-Light" w:hAnsi="DIN-Light"/>
    </w:rPr>
  </w:style>
  <w:style w:type="paragraph" w:styleId="Revision">
    <w:name w:val="Revision"/>
    <w:hidden/>
    <w:uiPriority w:val="99"/>
    <w:semiHidden/>
    <w:rsid w:val="006E5B42"/>
    <w:pPr>
      <w:spacing w:line="240" w:lineRule="auto"/>
    </w:pPr>
    <w:rPr>
      <w:rFonts w:ascii="Times New Roman" w:eastAsia="Times New Roman" w:hAnsi="Times New Roman" w:cs="Times New Roman"/>
      <w:sz w:val="24"/>
      <w:szCs w:val="24"/>
    </w:rPr>
  </w:style>
  <w:style w:type="character" w:customStyle="1" w:styleId="caps">
    <w:name w:val="caps"/>
    <w:basedOn w:val="DefaultParagraphFont"/>
    <w:uiPriority w:val="99"/>
    <w:rsid w:val="00B87FCC"/>
  </w:style>
  <w:style w:type="character" w:customStyle="1" w:styleId="A3">
    <w:name w:val="A3"/>
    <w:uiPriority w:val="99"/>
    <w:rsid w:val="00B87FCC"/>
    <w:rPr>
      <w:rFonts w:cs="Arial"/>
      <w:color w:val="000000"/>
      <w:sz w:val="20"/>
      <w:szCs w:val="20"/>
    </w:rPr>
  </w:style>
  <w:style w:type="character" w:customStyle="1" w:styleId="Heading1Char1">
    <w:name w:val="Heading 1 Char1"/>
    <w:aliases w:val="Char Char1,Heading 1 Char2,Char Char11"/>
    <w:basedOn w:val="DefaultParagraphFont"/>
    <w:uiPriority w:val="99"/>
    <w:rsid w:val="004B6699"/>
    <w:rPr>
      <w:rFonts w:ascii="Times New Roman" w:hAnsi="Times New Roman" w:cs="Times New Roman"/>
      <w:b/>
      <w:sz w:val="20"/>
    </w:rPr>
  </w:style>
  <w:style w:type="character" w:customStyle="1" w:styleId="EmailStyle101">
    <w:name w:val="EmailStyle101"/>
    <w:basedOn w:val="DefaultParagraphFont"/>
    <w:uiPriority w:val="99"/>
    <w:semiHidden/>
    <w:rsid w:val="004B6699"/>
    <w:rPr>
      <w:rFonts w:ascii="Calibri" w:hAnsi="Calibri" w:cs="Times New Roman"/>
      <w:color w:val="000080"/>
      <w:sz w:val="24"/>
      <w:u w:val="none"/>
    </w:rPr>
  </w:style>
  <w:style w:type="character" w:customStyle="1" w:styleId="EndnoteTextChar1">
    <w:name w:val="Endnote Text Char1"/>
    <w:basedOn w:val="DefaultParagraphFont"/>
    <w:uiPriority w:val="99"/>
    <w:semiHidden/>
    <w:rsid w:val="004B6699"/>
    <w:rPr>
      <w:rFonts w:ascii="Times New Roman" w:eastAsia="Times New Roman" w:hAnsi="Times New Roman"/>
      <w:sz w:val="24"/>
      <w:szCs w:val="24"/>
    </w:rPr>
  </w:style>
  <w:style w:type="character" w:customStyle="1" w:styleId="EmailStyle103">
    <w:name w:val="EmailStyle103"/>
    <w:basedOn w:val="DefaultParagraphFont"/>
    <w:uiPriority w:val="99"/>
    <w:semiHidden/>
    <w:rsid w:val="00951C79"/>
    <w:rPr>
      <w:rFonts w:ascii="Calibri" w:hAnsi="Calibri" w:cs="Times New Roman"/>
      <w:color w:val="000080"/>
      <w:sz w:val="24"/>
      <w:u w:val="none"/>
      <w:effect w:val="none"/>
    </w:rPr>
  </w:style>
  <w:style w:type="character" w:customStyle="1" w:styleId="EmailStyle104">
    <w:name w:val="EmailStyle104"/>
    <w:basedOn w:val="DefaultParagraphFont"/>
    <w:uiPriority w:val="99"/>
    <w:semiHidden/>
    <w:rsid w:val="00951C79"/>
    <w:rPr>
      <w:rFonts w:ascii="Calibri" w:hAnsi="Calibri" w:cs="Times New Roman"/>
      <w:color w:val="000080"/>
      <w:sz w:val="24"/>
      <w:u w:val="none"/>
    </w:rPr>
  </w:style>
  <w:style w:type="paragraph" w:styleId="TOCHeading">
    <w:name w:val="TOC Heading"/>
    <w:basedOn w:val="Heading1"/>
    <w:next w:val="Normal"/>
    <w:uiPriority w:val="39"/>
    <w:unhideWhenUsed/>
    <w:qFormat/>
    <w:rsid w:val="0028129E"/>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3">
    <w:name w:val="toc 3"/>
    <w:basedOn w:val="Normal"/>
    <w:next w:val="Normal"/>
    <w:autoRedefine/>
    <w:uiPriority w:val="39"/>
    <w:unhideWhenUsed/>
    <w:qFormat/>
    <w:rsid w:val="0028129E"/>
    <w:pPr>
      <w:ind w:left="440"/>
    </w:pPr>
    <w:rPr>
      <w:rFonts w:asciiTheme="minorHAnsi" w:hAnsiTheme="minorHAnsi"/>
      <w:sz w:val="20"/>
      <w:szCs w:val="20"/>
    </w:rPr>
  </w:style>
  <w:style w:type="paragraph" w:styleId="TOC4">
    <w:name w:val="toc 4"/>
    <w:basedOn w:val="Normal"/>
    <w:next w:val="Normal"/>
    <w:autoRedefine/>
    <w:uiPriority w:val="39"/>
    <w:unhideWhenUsed/>
    <w:rsid w:val="0028129E"/>
    <w:pPr>
      <w:ind w:left="660"/>
    </w:pPr>
    <w:rPr>
      <w:rFonts w:asciiTheme="minorHAnsi" w:hAnsiTheme="minorHAnsi"/>
      <w:sz w:val="20"/>
      <w:szCs w:val="20"/>
    </w:rPr>
  </w:style>
  <w:style w:type="paragraph" w:styleId="TOC5">
    <w:name w:val="toc 5"/>
    <w:basedOn w:val="Normal"/>
    <w:next w:val="Normal"/>
    <w:autoRedefine/>
    <w:uiPriority w:val="39"/>
    <w:unhideWhenUsed/>
    <w:rsid w:val="0028129E"/>
    <w:pPr>
      <w:ind w:left="880"/>
    </w:pPr>
    <w:rPr>
      <w:rFonts w:asciiTheme="minorHAnsi" w:hAnsiTheme="minorHAnsi"/>
      <w:sz w:val="20"/>
      <w:szCs w:val="20"/>
    </w:rPr>
  </w:style>
  <w:style w:type="paragraph" w:styleId="TOC6">
    <w:name w:val="toc 6"/>
    <w:basedOn w:val="Normal"/>
    <w:next w:val="Normal"/>
    <w:autoRedefine/>
    <w:uiPriority w:val="39"/>
    <w:unhideWhenUsed/>
    <w:rsid w:val="0028129E"/>
    <w:pPr>
      <w:ind w:left="1100"/>
    </w:pPr>
    <w:rPr>
      <w:rFonts w:asciiTheme="minorHAnsi" w:hAnsiTheme="minorHAnsi"/>
      <w:sz w:val="20"/>
      <w:szCs w:val="20"/>
    </w:rPr>
  </w:style>
  <w:style w:type="paragraph" w:styleId="TOC7">
    <w:name w:val="toc 7"/>
    <w:basedOn w:val="Normal"/>
    <w:next w:val="Normal"/>
    <w:autoRedefine/>
    <w:uiPriority w:val="39"/>
    <w:unhideWhenUsed/>
    <w:rsid w:val="0028129E"/>
    <w:pPr>
      <w:ind w:left="1320"/>
    </w:pPr>
    <w:rPr>
      <w:rFonts w:asciiTheme="minorHAnsi" w:hAnsiTheme="minorHAnsi"/>
      <w:sz w:val="20"/>
      <w:szCs w:val="20"/>
    </w:rPr>
  </w:style>
  <w:style w:type="paragraph" w:styleId="TOC8">
    <w:name w:val="toc 8"/>
    <w:basedOn w:val="Normal"/>
    <w:next w:val="Normal"/>
    <w:autoRedefine/>
    <w:uiPriority w:val="39"/>
    <w:unhideWhenUsed/>
    <w:rsid w:val="0028129E"/>
    <w:pPr>
      <w:ind w:left="1540"/>
    </w:pPr>
    <w:rPr>
      <w:rFonts w:asciiTheme="minorHAnsi" w:hAnsiTheme="minorHAnsi"/>
      <w:sz w:val="20"/>
      <w:szCs w:val="20"/>
    </w:rPr>
  </w:style>
  <w:style w:type="paragraph" w:styleId="TOC9">
    <w:name w:val="toc 9"/>
    <w:basedOn w:val="Normal"/>
    <w:next w:val="Normal"/>
    <w:autoRedefine/>
    <w:uiPriority w:val="39"/>
    <w:unhideWhenUsed/>
    <w:rsid w:val="0028129E"/>
    <w:pPr>
      <w:ind w:left="1760"/>
    </w:pPr>
    <w:rPr>
      <w:rFonts w:asciiTheme="minorHAnsi" w:hAnsiTheme="minorHAnsi"/>
      <w:sz w:val="20"/>
      <w:szCs w:val="20"/>
    </w:rPr>
  </w:style>
  <w:style w:type="character" w:customStyle="1" w:styleId="st">
    <w:name w:val="st"/>
    <w:basedOn w:val="DefaultParagraphFont"/>
    <w:rsid w:val="00441DEB"/>
  </w:style>
  <w:style w:type="paragraph" w:customStyle="1" w:styleId="MediumGrid21">
    <w:name w:val="Medium Grid 21"/>
    <w:uiPriority w:val="99"/>
    <w:qFormat/>
    <w:rsid w:val="001C7469"/>
    <w:pPr>
      <w:spacing w:line="240" w:lineRule="auto"/>
    </w:pPr>
    <w:rPr>
      <w:rFonts w:ascii="Times New Roman" w:eastAsia="Times New Roman" w:hAnsi="Times New Roman" w:cs="Times New Roman"/>
      <w:sz w:val="24"/>
      <w:szCs w:val="24"/>
    </w:rPr>
  </w:style>
  <w:style w:type="paragraph" w:customStyle="1" w:styleId="Normal1">
    <w:name w:val="Normal+1"/>
    <w:basedOn w:val="Default"/>
    <w:next w:val="Default"/>
    <w:uiPriority w:val="99"/>
    <w:rsid w:val="001C7469"/>
    <w:rPr>
      <w:rFonts w:ascii="Times New Roman" w:hAnsi="Times New Roman" w:cs="Times New Roman"/>
      <w:color w:val="auto"/>
    </w:rPr>
  </w:style>
  <w:style w:type="paragraph" w:customStyle="1" w:styleId="Pa6">
    <w:name w:val="Pa6"/>
    <w:basedOn w:val="Default"/>
    <w:next w:val="Default"/>
    <w:uiPriority w:val="99"/>
    <w:rsid w:val="001C7469"/>
    <w:pPr>
      <w:spacing w:line="181" w:lineRule="atLeast"/>
    </w:pPr>
    <w:rPr>
      <w:rFonts w:ascii="MetaOT-Normal" w:eastAsia="Calibri" w:hAnsi="MetaOT-Normal" w:cs="Times New Roman"/>
      <w:color w:val="auto"/>
    </w:rPr>
  </w:style>
  <w:style w:type="paragraph" w:customStyle="1" w:styleId="MediumGrid1-Accent21">
    <w:name w:val="Medium Grid 1 - Accent 21"/>
    <w:basedOn w:val="Normal"/>
    <w:uiPriority w:val="99"/>
    <w:qFormat/>
    <w:rsid w:val="00957D66"/>
    <w:pPr>
      <w:ind w:left="720"/>
      <w:contextualSpacing/>
    </w:pPr>
  </w:style>
  <w:style w:type="character" w:customStyle="1" w:styleId="CommentTextChar1">
    <w:name w:val="Comment Text Char1"/>
    <w:uiPriority w:val="99"/>
    <w:locked/>
    <w:rsid w:val="00957D66"/>
    <w:rPr>
      <w:rFonts w:ascii="Times New Roman" w:hAnsi="Times New Roman" w:cs="Times New Roman"/>
      <w:sz w:val="20"/>
      <w:szCs w:val="20"/>
      <w:lang w:eastAsia="en-US"/>
    </w:rPr>
  </w:style>
  <w:style w:type="character" w:customStyle="1" w:styleId="CommentSubjectChar1">
    <w:name w:val="Comment Subject Char1"/>
    <w:uiPriority w:val="99"/>
    <w:semiHidden/>
    <w:locked/>
    <w:rsid w:val="00957D66"/>
    <w:rPr>
      <w:rFonts w:ascii="Times New Roman" w:hAnsi="Times New Roman" w:cs="Times New Roman"/>
      <w:b/>
      <w:bCs/>
      <w:sz w:val="20"/>
      <w:szCs w:val="20"/>
      <w:lang w:eastAsia="en-US"/>
    </w:rPr>
  </w:style>
  <w:style w:type="paragraph" w:customStyle="1" w:styleId="MediumGrid210">
    <w:name w:val="Medium Grid 21"/>
    <w:uiPriority w:val="99"/>
    <w:qFormat/>
    <w:rsid w:val="00957D66"/>
    <w:pPr>
      <w:spacing w:line="240" w:lineRule="auto"/>
    </w:pPr>
    <w:rPr>
      <w:rFonts w:ascii="Times New Roman" w:eastAsia="Times New Roman" w:hAnsi="Times New Roman" w:cs="Times New Roman"/>
      <w:sz w:val="24"/>
      <w:szCs w:val="24"/>
    </w:rPr>
  </w:style>
  <w:style w:type="paragraph" w:customStyle="1" w:styleId="ReportTitle">
    <w:name w:val="Report Title"/>
    <w:basedOn w:val="Normal"/>
    <w:rsid w:val="00957D66"/>
    <w:pPr>
      <w:suppressAutoHyphens/>
      <w:ind w:left="4536" w:right="-567"/>
    </w:pPr>
    <w:rPr>
      <w:rFonts w:ascii="Arial Black" w:hAnsi="Arial Black"/>
      <w:b/>
      <w:sz w:val="60"/>
      <w:szCs w:val="20"/>
    </w:rPr>
  </w:style>
  <w:style w:type="numbering" w:customStyle="1" w:styleId="NoList1">
    <w:name w:val="No List1"/>
    <w:next w:val="NoList"/>
    <w:uiPriority w:val="99"/>
    <w:semiHidden/>
    <w:unhideWhenUsed/>
    <w:rsid w:val="00957D66"/>
  </w:style>
  <w:style w:type="table" w:customStyle="1" w:styleId="TableGrid1">
    <w:name w:val="Table Grid1"/>
    <w:basedOn w:val="TableNormal"/>
    <w:next w:val="TableGrid"/>
    <w:uiPriority w:val="39"/>
    <w:rsid w:val="00957D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A3E8C"/>
  </w:style>
  <w:style w:type="table" w:customStyle="1" w:styleId="TableGrid2">
    <w:name w:val="Table Grid2"/>
    <w:basedOn w:val="TableNormal"/>
    <w:next w:val="TableGrid"/>
    <w:uiPriority w:val="39"/>
    <w:rsid w:val="00FA3E8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502C2"/>
  </w:style>
  <w:style w:type="table" w:customStyle="1" w:styleId="TableGrid3">
    <w:name w:val="Table Grid3"/>
    <w:basedOn w:val="TableNormal"/>
    <w:next w:val="TableGrid"/>
    <w:uiPriority w:val="39"/>
    <w:rsid w:val="00E502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F7DC6"/>
  </w:style>
  <w:style w:type="paragraph" w:customStyle="1" w:styleId="Bullet">
    <w:name w:val="Bullet"/>
    <w:basedOn w:val="Normal"/>
    <w:rsid w:val="004F7DC6"/>
    <w:pPr>
      <w:numPr>
        <w:numId w:val="3"/>
      </w:numPr>
      <w:suppressAutoHyphens/>
      <w:spacing w:after="220"/>
    </w:pPr>
    <w:rPr>
      <w:color w:val="000000"/>
      <w:szCs w:val="20"/>
    </w:rPr>
  </w:style>
  <w:style w:type="table" w:customStyle="1" w:styleId="TableGrid4">
    <w:name w:val="Table Grid4"/>
    <w:basedOn w:val="TableNormal"/>
    <w:next w:val="TableGrid"/>
    <w:rsid w:val="004F7DC6"/>
    <w:pPr>
      <w:suppressAutoHyphens/>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54744"/>
  </w:style>
  <w:style w:type="table" w:customStyle="1" w:styleId="TableGrid5">
    <w:name w:val="Table Grid5"/>
    <w:basedOn w:val="TableNormal"/>
    <w:next w:val="TableGrid"/>
    <w:rsid w:val="00654744"/>
    <w:pPr>
      <w:suppressAutoHyphens/>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654744"/>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F4113"/>
  </w:style>
  <w:style w:type="table" w:customStyle="1" w:styleId="TableGrid6">
    <w:name w:val="Table Grid6"/>
    <w:basedOn w:val="TableNormal"/>
    <w:next w:val="TableGrid"/>
    <w:rsid w:val="006F4113"/>
    <w:pPr>
      <w:suppressAutoHyphens/>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qFormat/>
    <w:rsid w:val="006F4113"/>
    <w:pPr>
      <w:suppressAutoHyphens/>
    </w:pPr>
    <w:rPr>
      <w:i/>
      <w:color w:val="FF0000"/>
      <w:szCs w:val="22"/>
    </w:rPr>
  </w:style>
  <w:style w:type="character" w:customStyle="1" w:styleId="questionChar">
    <w:name w:val="question Char"/>
    <w:basedOn w:val="DefaultParagraphFont"/>
    <w:link w:val="question"/>
    <w:rsid w:val="006F4113"/>
    <w:rPr>
      <w:rFonts w:ascii="Times New Roman" w:eastAsia="Times New Roman" w:hAnsi="Times New Roman" w:cs="Times New Roman"/>
      <w:i/>
      <w:color w:val="FF0000"/>
    </w:rPr>
  </w:style>
  <w:style w:type="numbering" w:customStyle="1" w:styleId="NoList7">
    <w:name w:val="No List7"/>
    <w:next w:val="NoList"/>
    <w:uiPriority w:val="99"/>
    <w:semiHidden/>
    <w:unhideWhenUsed/>
    <w:rsid w:val="003E20E0"/>
  </w:style>
  <w:style w:type="table" w:customStyle="1" w:styleId="TableGrid7">
    <w:name w:val="Table Grid7"/>
    <w:basedOn w:val="TableNormal"/>
    <w:next w:val="TableGrid"/>
    <w:rsid w:val="003E20E0"/>
    <w:pPr>
      <w:suppressAutoHyphens/>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E20E0"/>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B23A1"/>
  </w:style>
  <w:style w:type="table" w:customStyle="1" w:styleId="TableGrid8">
    <w:name w:val="Table Grid8"/>
    <w:basedOn w:val="TableNormal"/>
    <w:next w:val="TableGrid"/>
    <w:rsid w:val="00EB23A1"/>
    <w:pPr>
      <w:suppressAutoHyphens/>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unhideWhenUsed/>
    <w:qFormat/>
    <w:rsid w:val="00EB23A1"/>
    <w:pPr>
      <w:keepNext/>
      <w:keepLines/>
      <w:spacing w:before="200" w:line="276" w:lineRule="auto"/>
      <w:outlineLvl w:val="5"/>
    </w:pPr>
    <w:rPr>
      <w:rFonts w:ascii="Cambria" w:eastAsia="MS Gothic" w:hAnsi="Cambria"/>
      <w:i/>
      <w:iCs/>
      <w:color w:val="243F60"/>
      <w:szCs w:val="22"/>
    </w:rPr>
  </w:style>
  <w:style w:type="paragraph" w:customStyle="1" w:styleId="Heading81">
    <w:name w:val="Heading 81"/>
    <w:basedOn w:val="Normal"/>
    <w:next w:val="Normal"/>
    <w:uiPriority w:val="9"/>
    <w:unhideWhenUsed/>
    <w:qFormat/>
    <w:rsid w:val="00EB23A1"/>
    <w:pPr>
      <w:keepNext/>
      <w:keepLines/>
      <w:spacing w:before="200" w:line="276" w:lineRule="auto"/>
      <w:outlineLvl w:val="7"/>
    </w:pPr>
    <w:rPr>
      <w:rFonts w:ascii="Cambria" w:eastAsia="MS Gothic" w:hAnsi="Cambria"/>
      <w:color w:val="404040"/>
      <w:sz w:val="20"/>
      <w:szCs w:val="20"/>
    </w:rPr>
  </w:style>
  <w:style w:type="paragraph" w:customStyle="1" w:styleId="Heading91">
    <w:name w:val="Heading 91"/>
    <w:basedOn w:val="Normal"/>
    <w:next w:val="Normal"/>
    <w:uiPriority w:val="9"/>
    <w:semiHidden/>
    <w:unhideWhenUsed/>
    <w:qFormat/>
    <w:rsid w:val="00EB23A1"/>
    <w:pPr>
      <w:keepNext/>
      <w:keepLines/>
      <w:spacing w:before="200" w:line="276" w:lineRule="auto"/>
      <w:outlineLvl w:val="8"/>
    </w:pPr>
    <w:rPr>
      <w:rFonts w:ascii="Cambria" w:eastAsia="MS Gothic" w:hAnsi="Cambria"/>
      <w:i/>
      <w:iCs/>
      <w:color w:val="404040"/>
      <w:sz w:val="20"/>
      <w:szCs w:val="20"/>
    </w:rPr>
  </w:style>
  <w:style w:type="numbering" w:customStyle="1" w:styleId="NoList11">
    <w:name w:val="No List11"/>
    <w:next w:val="NoList"/>
    <w:uiPriority w:val="99"/>
    <w:semiHidden/>
    <w:unhideWhenUsed/>
    <w:rsid w:val="00EB23A1"/>
  </w:style>
  <w:style w:type="paragraph" w:customStyle="1" w:styleId="Header1">
    <w:name w:val="Header1"/>
    <w:basedOn w:val="Normal"/>
    <w:next w:val="Header"/>
    <w:uiPriority w:val="99"/>
    <w:unhideWhenUsed/>
    <w:rsid w:val="00EB23A1"/>
    <w:pPr>
      <w:tabs>
        <w:tab w:val="center" w:pos="4513"/>
        <w:tab w:val="right" w:pos="9026"/>
      </w:tabs>
    </w:pPr>
    <w:rPr>
      <w:rFonts w:ascii="Calibri" w:eastAsia="Calibri" w:hAnsi="Calibri"/>
      <w:szCs w:val="22"/>
    </w:rPr>
  </w:style>
  <w:style w:type="paragraph" w:customStyle="1" w:styleId="BalloonText1">
    <w:name w:val="Balloon Text1"/>
    <w:basedOn w:val="Normal"/>
    <w:next w:val="BalloonText"/>
    <w:uiPriority w:val="99"/>
    <w:semiHidden/>
    <w:unhideWhenUsed/>
    <w:rsid w:val="00EB23A1"/>
    <w:rPr>
      <w:rFonts w:ascii="Tahoma" w:eastAsia="Calibri" w:hAnsi="Tahoma" w:cs="Tahoma"/>
      <w:sz w:val="16"/>
      <w:szCs w:val="16"/>
    </w:rPr>
  </w:style>
  <w:style w:type="paragraph" w:customStyle="1" w:styleId="subheadB">
    <w:name w:val="subheadB"/>
    <w:rsid w:val="00EB23A1"/>
    <w:pPr>
      <w:widowControl w:val="0"/>
      <w:tabs>
        <w:tab w:val="left" w:pos="480"/>
      </w:tabs>
      <w:snapToGrid w:val="0"/>
      <w:spacing w:before="240" w:after="60" w:line="300" w:lineRule="atLeast"/>
    </w:pPr>
    <w:rPr>
      <w:rFonts w:ascii="GillSans" w:eastAsia="Times New Roman" w:hAnsi="GillSans" w:cs="Times New Roman"/>
      <w:b/>
      <w:sz w:val="20"/>
      <w:szCs w:val="20"/>
      <w:lang w:val="en-US"/>
    </w:rPr>
  </w:style>
  <w:style w:type="paragraph" w:customStyle="1" w:styleId="body">
    <w:name w:val="body"/>
    <w:rsid w:val="00EB23A1"/>
    <w:pPr>
      <w:widowControl w:val="0"/>
      <w:tabs>
        <w:tab w:val="left" w:pos="480"/>
        <w:tab w:val="left" w:pos="960"/>
      </w:tabs>
      <w:snapToGrid w:val="0"/>
      <w:spacing w:line="300" w:lineRule="atLeast"/>
    </w:pPr>
    <w:rPr>
      <w:rFonts w:ascii="Times New Roman" w:eastAsia="Times New Roman" w:hAnsi="Times New Roman" w:cs="Times New Roman"/>
      <w:color w:val="000000"/>
      <w:szCs w:val="20"/>
      <w:lang w:val="en-US"/>
    </w:rPr>
  </w:style>
  <w:style w:type="paragraph" w:customStyle="1" w:styleId="nest">
    <w:name w:val="nest"/>
    <w:basedOn w:val="body"/>
    <w:rsid w:val="00EB23A1"/>
  </w:style>
  <w:style w:type="paragraph" w:customStyle="1" w:styleId="CommentText1">
    <w:name w:val="Comment Text1"/>
    <w:basedOn w:val="Normal"/>
    <w:next w:val="CommentText"/>
    <w:uiPriority w:val="99"/>
    <w:unhideWhenUsed/>
    <w:rsid w:val="00EB23A1"/>
    <w:pPr>
      <w:spacing w:after="200"/>
    </w:pPr>
    <w:rPr>
      <w:rFonts w:ascii="Calibri" w:eastAsia="Calibri" w:hAnsi="Calibri"/>
      <w:sz w:val="20"/>
      <w:szCs w:val="20"/>
    </w:rPr>
  </w:style>
  <w:style w:type="paragraph" w:customStyle="1" w:styleId="CommentSubject1">
    <w:name w:val="Comment Subject1"/>
    <w:basedOn w:val="CommentText"/>
    <w:next w:val="CommentText"/>
    <w:uiPriority w:val="99"/>
    <w:unhideWhenUsed/>
    <w:rsid w:val="00EB23A1"/>
    <w:pPr>
      <w:spacing w:after="200"/>
    </w:pPr>
    <w:rPr>
      <w:rFonts w:ascii="Calibri" w:eastAsia="Calibri" w:hAnsi="Calibri"/>
      <w:b/>
      <w:bCs/>
      <w:lang w:eastAsia="en-US"/>
    </w:rPr>
  </w:style>
  <w:style w:type="table" w:customStyle="1" w:styleId="TableGrid13">
    <w:name w:val="Table Grid13"/>
    <w:basedOn w:val="TableNormal"/>
    <w:next w:val="TableGrid"/>
    <w:uiPriority w:val="59"/>
    <w:rsid w:val="00EB23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Name">
    <w:name w:val="Policy Name"/>
    <w:qFormat/>
    <w:rsid w:val="00EB23A1"/>
    <w:pPr>
      <w:autoSpaceDE w:val="0"/>
      <w:autoSpaceDN w:val="0"/>
      <w:adjustRightInd w:val="0"/>
      <w:spacing w:line="240" w:lineRule="auto"/>
      <w:jc w:val="center"/>
    </w:pPr>
    <w:rPr>
      <w:rFonts w:ascii="Lucida Sans" w:hAnsi="Lucida Sans"/>
      <w:b/>
      <w:color w:val="CF551F"/>
      <w:sz w:val="44"/>
      <w:szCs w:val="24"/>
      <w:lang w:val="en-US"/>
    </w:rPr>
  </w:style>
  <w:style w:type="paragraph" w:customStyle="1" w:styleId="PolicyHeading1">
    <w:name w:val="Policy Heading 1"/>
    <w:basedOn w:val="Heading1"/>
    <w:next w:val="Policy1"/>
    <w:qFormat/>
    <w:rsid w:val="00EB23A1"/>
    <w:pPr>
      <w:keepNext/>
      <w:keepLines/>
      <w:spacing w:before="280" w:after="200" w:line="264" w:lineRule="auto"/>
      <w:ind w:left="360" w:hanging="360"/>
    </w:pPr>
    <w:rPr>
      <w:rFonts w:ascii="Lucida Sans" w:eastAsia="MS Gothic" w:hAnsi="Lucida Sans" w:cs="Lucida Sans"/>
      <w:bCs/>
      <w:color w:val="CF551F"/>
      <w:sz w:val="24"/>
      <w:szCs w:val="24"/>
    </w:rPr>
  </w:style>
  <w:style w:type="paragraph" w:customStyle="1" w:styleId="Policy1">
    <w:name w:val="Policy 1"/>
    <w:basedOn w:val="Heading2"/>
    <w:qFormat/>
    <w:rsid w:val="00EB23A1"/>
    <w:pPr>
      <w:numPr>
        <w:ilvl w:val="1"/>
      </w:numPr>
      <w:spacing w:after="200" w:line="264" w:lineRule="auto"/>
      <w:ind w:left="2417" w:hanging="432"/>
    </w:pPr>
    <w:rPr>
      <w:rFonts w:ascii="Lucida Sans" w:eastAsia="MS Gothic" w:hAnsi="Lucida Sans" w:cs="Lucida Sans"/>
      <w:b w:val="0"/>
      <w:color w:val="262626"/>
      <w:sz w:val="20"/>
      <w:szCs w:val="20"/>
    </w:rPr>
  </w:style>
  <w:style w:type="paragraph" w:customStyle="1" w:styleId="PolicyFooter">
    <w:name w:val="Policy Footer"/>
    <w:basedOn w:val="Footer"/>
    <w:qFormat/>
    <w:rsid w:val="00EB23A1"/>
    <w:pPr>
      <w:tabs>
        <w:tab w:val="clear" w:pos="4153"/>
        <w:tab w:val="clear" w:pos="8306"/>
        <w:tab w:val="right" w:pos="9356"/>
      </w:tabs>
      <w:jc w:val="right"/>
    </w:pPr>
    <w:rPr>
      <w:rFonts w:ascii="Lucida Sans" w:eastAsia="Calibri" w:hAnsi="Lucida Sans" w:cs="Lucida Sans"/>
      <w:noProof/>
      <w:color w:val="FFFFFF"/>
      <w:sz w:val="18"/>
      <w:szCs w:val="18"/>
      <w:lang w:val="en-US" w:eastAsia="en-AU"/>
    </w:rPr>
  </w:style>
  <w:style w:type="paragraph" w:customStyle="1" w:styleId="PolicyHeader">
    <w:name w:val="Policy Header"/>
    <w:basedOn w:val="Header"/>
    <w:qFormat/>
    <w:rsid w:val="00EB23A1"/>
    <w:pPr>
      <w:tabs>
        <w:tab w:val="clear" w:pos="4153"/>
        <w:tab w:val="clear" w:pos="8306"/>
      </w:tabs>
    </w:pPr>
    <w:rPr>
      <w:rFonts w:ascii="Lucida Sans" w:eastAsia="Calibri" w:hAnsi="Lucida Sans" w:cs="Lucida Sans"/>
      <w:color w:val="FFFFFF"/>
      <w:sz w:val="18"/>
      <w:szCs w:val="18"/>
      <w:lang w:val="en-US"/>
    </w:rPr>
  </w:style>
  <w:style w:type="paragraph" w:customStyle="1" w:styleId="Policy2">
    <w:name w:val="Policy 2"/>
    <w:basedOn w:val="Heading3"/>
    <w:qFormat/>
    <w:rsid w:val="00EB23A1"/>
    <w:pPr>
      <w:keepLines/>
      <w:tabs>
        <w:tab w:val="left" w:pos="2688"/>
      </w:tabs>
      <w:spacing w:before="200" w:after="200" w:line="264" w:lineRule="auto"/>
      <w:ind w:firstLine="360"/>
    </w:pPr>
    <w:rPr>
      <w:rFonts w:ascii="Lucida Sans" w:eastAsia="MS Gothic" w:hAnsi="Lucida Sans" w:cs="Lucida Sans"/>
      <w:b w:val="0"/>
      <w:bCs/>
      <w:color w:val="262626"/>
      <w:sz w:val="20"/>
    </w:rPr>
  </w:style>
  <w:style w:type="paragraph" w:customStyle="1" w:styleId="PolicyTable">
    <w:name w:val="Policy Table"/>
    <w:basedOn w:val="Policy2"/>
    <w:qFormat/>
    <w:rsid w:val="00EB23A1"/>
  </w:style>
  <w:style w:type="paragraph" w:customStyle="1" w:styleId="Policy1table">
    <w:name w:val="Policy 1 table"/>
    <w:basedOn w:val="Policy1"/>
    <w:qFormat/>
    <w:rsid w:val="00EB23A1"/>
  </w:style>
  <w:style w:type="paragraph" w:customStyle="1" w:styleId="PolicyHeading2">
    <w:name w:val="Policy Heading 2"/>
    <w:next w:val="Policy1"/>
    <w:qFormat/>
    <w:rsid w:val="00EB23A1"/>
    <w:pPr>
      <w:keepNext/>
      <w:autoSpaceDE w:val="0"/>
      <w:autoSpaceDN w:val="0"/>
      <w:adjustRightInd w:val="0"/>
      <w:spacing w:before="200" w:after="200" w:line="264" w:lineRule="auto"/>
    </w:pPr>
    <w:rPr>
      <w:rFonts w:ascii="Lucida Sans" w:hAnsi="Lucida Sans" w:cs="Lucida Sans"/>
      <w:b/>
      <w:color w:val="CB5226"/>
    </w:rPr>
  </w:style>
  <w:style w:type="paragraph" w:customStyle="1" w:styleId="paragraph">
    <w:name w:val="paragraph"/>
    <w:basedOn w:val="Normal"/>
    <w:rsid w:val="00EB23A1"/>
    <w:pPr>
      <w:spacing w:before="100" w:beforeAutospacing="1" w:after="100" w:afterAutospacing="1"/>
    </w:pPr>
    <w:rPr>
      <w:lang w:eastAsia="en-AU"/>
    </w:rPr>
  </w:style>
  <w:style w:type="paragraph" w:customStyle="1" w:styleId="Policy3">
    <w:name w:val="Policy 3"/>
    <w:basedOn w:val="Heading4"/>
    <w:qFormat/>
    <w:rsid w:val="00EB23A1"/>
    <w:pPr>
      <w:keepLines/>
      <w:spacing w:before="200" w:after="200" w:line="264" w:lineRule="auto"/>
    </w:pPr>
    <w:rPr>
      <w:rFonts w:ascii="Lucida Sans" w:eastAsia="MS Gothic" w:hAnsi="Lucida Sans" w:cs="Lucida Sans"/>
      <w:bCs/>
      <w:i w:val="0"/>
      <w:iCs/>
      <w:color w:val="262626"/>
      <w:sz w:val="20"/>
      <w:lang w:eastAsia="en-US"/>
    </w:rPr>
  </w:style>
  <w:style w:type="paragraph" w:customStyle="1" w:styleId="subsection">
    <w:name w:val="subsection"/>
    <w:basedOn w:val="Normal"/>
    <w:rsid w:val="00EB23A1"/>
    <w:pPr>
      <w:spacing w:before="100" w:beforeAutospacing="1" w:after="100" w:afterAutospacing="1"/>
    </w:pPr>
    <w:rPr>
      <w:lang w:eastAsia="en-AU"/>
    </w:rPr>
  </w:style>
  <w:style w:type="paragraph" w:customStyle="1" w:styleId="TOC11">
    <w:name w:val="TOC 11"/>
    <w:basedOn w:val="Normal"/>
    <w:next w:val="Normal"/>
    <w:autoRedefine/>
    <w:uiPriority w:val="39"/>
    <w:unhideWhenUsed/>
    <w:qFormat/>
    <w:rsid w:val="00EB23A1"/>
    <w:pPr>
      <w:tabs>
        <w:tab w:val="left" w:pos="1276"/>
        <w:tab w:val="right" w:leader="dot" w:pos="9060"/>
      </w:tabs>
      <w:spacing w:before="80" w:after="80" w:line="264" w:lineRule="auto"/>
      <w:ind w:left="1276" w:hanging="1276"/>
    </w:pPr>
    <w:rPr>
      <w:rFonts w:ascii="Lucida Sans" w:eastAsia="Calibri" w:hAnsi="Lucida Sans"/>
      <w:sz w:val="18"/>
      <w:szCs w:val="22"/>
    </w:rPr>
  </w:style>
  <w:style w:type="paragraph" w:customStyle="1" w:styleId="TOC21">
    <w:name w:val="TOC 21"/>
    <w:basedOn w:val="Normal"/>
    <w:next w:val="Normal"/>
    <w:autoRedefine/>
    <w:uiPriority w:val="39"/>
    <w:unhideWhenUsed/>
    <w:qFormat/>
    <w:rsid w:val="00EB23A1"/>
    <w:pPr>
      <w:tabs>
        <w:tab w:val="left" w:pos="1418"/>
        <w:tab w:val="right" w:leader="dot" w:pos="9072"/>
      </w:tabs>
      <w:spacing w:before="80" w:after="80" w:line="264" w:lineRule="auto"/>
      <w:ind w:left="1418" w:right="281" w:hanging="567"/>
    </w:pPr>
    <w:rPr>
      <w:rFonts w:ascii="Lucida Sans" w:eastAsia="Calibri" w:hAnsi="Lucida Sans"/>
      <w:sz w:val="18"/>
      <w:szCs w:val="22"/>
    </w:rPr>
  </w:style>
  <w:style w:type="paragraph" w:customStyle="1" w:styleId="Policy4">
    <w:name w:val="Policy 4"/>
    <w:basedOn w:val="Heading5"/>
    <w:qFormat/>
    <w:rsid w:val="00EB23A1"/>
    <w:pPr>
      <w:keepLines/>
      <w:numPr>
        <w:ilvl w:val="0"/>
        <w:numId w:val="5"/>
      </w:numPr>
      <w:tabs>
        <w:tab w:val="clear" w:pos="2552"/>
        <w:tab w:val="num" w:pos="360"/>
      </w:tabs>
      <w:spacing w:before="200" w:after="200" w:line="264" w:lineRule="auto"/>
      <w:ind w:left="2268" w:hanging="567"/>
    </w:pPr>
    <w:rPr>
      <w:rFonts w:ascii="Lucida Sans" w:hAnsi="Lucida Sans"/>
      <w:b w:val="0"/>
      <w:color w:val="262626"/>
      <w:sz w:val="20"/>
      <w:lang w:eastAsia="en-US"/>
    </w:rPr>
  </w:style>
  <w:style w:type="paragraph" w:customStyle="1" w:styleId="PolicyScheduleHeading">
    <w:name w:val="Policy Schedule Heading"/>
    <w:basedOn w:val="PolicyHeading1"/>
    <w:qFormat/>
    <w:rsid w:val="00EB23A1"/>
  </w:style>
  <w:style w:type="paragraph" w:customStyle="1" w:styleId="NormalWeb1">
    <w:name w:val="Normal (Web)1"/>
    <w:basedOn w:val="Normal"/>
    <w:next w:val="NormalWeb"/>
    <w:uiPriority w:val="99"/>
    <w:unhideWhenUsed/>
    <w:rsid w:val="00EB23A1"/>
    <w:pPr>
      <w:spacing w:before="100" w:beforeAutospacing="1" w:after="100" w:afterAutospacing="1"/>
    </w:pPr>
    <w:rPr>
      <w:rFonts w:eastAsia="MS Mincho"/>
      <w:lang w:eastAsia="en-AU"/>
    </w:rPr>
  </w:style>
  <w:style w:type="numbering" w:customStyle="1" w:styleId="NoList111">
    <w:name w:val="No List111"/>
    <w:next w:val="NoList"/>
    <w:uiPriority w:val="99"/>
    <w:semiHidden/>
    <w:unhideWhenUsed/>
    <w:rsid w:val="00EB23A1"/>
  </w:style>
  <w:style w:type="character" w:styleId="FootnoteReference">
    <w:name w:val="footnote reference"/>
    <w:basedOn w:val="DefaultParagraphFont"/>
    <w:uiPriority w:val="99"/>
    <w:semiHidden/>
    <w:rsid w:val="00EB23A1"/>
    <w:rPr>
      <w:vertAlign w:val="superscript"/>
    </w:rPr>
  </w:style>
  <w:style w:type="paragraph" w:customStyle="1" w:styleId="SPBullet1">
    <w:name w:val="SP Bullet 1"/>
    <w:basedOn w:val="Normal"/>
    <w:rsid w:val="00EB23A1"/>
    <w:pPr>
      <w:numPr>
        <w:numId w:val="6"/>
      </w:numPr>
      <w:tabs>
        <w:tab w:val="clear" w:pos="720"/>
        <w:tab w:val="num" w:pos="1080"/>
      </w:tabs>
      <w:spacing w:before="80" w:after="80"/>
      <w:ind w:left="1077" w:hanging="357"/>
    </w:pPr>
    <w:rPr>
      <w:szCs w:val="20"/>
      <w:lang w:val="en-GB"/>
    </w:rPr>
  </w:style>
  <w:style w:type="paragraph" w:customStyle="1" w:styleId="SPSummarySubheading">
    <w:name w:val="SP Summary Subheading"/>
    <w:basedOn w:val="Normal"/>
    <w:next w:val="BodyText"/>
    <w:rsid w:val="00EB23A1"/>
    <w:pPr>
      <w:spacing w:before="240" w:after="240"/>
    </w:pPr>
    <w:rPr>
      <w:rFonts w:ascii="Arial" w:hAnsi="Arial"/>
      <w:b/>
      <w:i/>
      <w:szCs w:val="20"/>
      <w:lang w:val="en-GB"/>
    </w:rPr>
  </w:style>
  <w:style w:type="paragraph" w:customStyle="1" w:styleId="SPSmallheading">
    <w:name w:val="SP Small heading"/>
    <w:basedOn w:val="Normal"/>
    <w:rsid w:val="00EB23A1"/>
    <w:pPr>
      <w:spacing w:after="240"/>
      <w:ind w:firstLine="360"/>
    </w:pPr>
    <w:rPr>
      <w:szCs w:val="20"/>
      <w:u w:val="single"/>
      <w:lang w:val="en-GB"/>
    </w:rPr>
  </w:style>
  <w:style w:type="paragraph" w:customStyle="1" w:styleId="TxtParagraph">
    <w:name w:val="Txt  Paragraph"/>
    <w:basedOn w:val="Normal"/>
    <w:rsid w:val="00EB23A1"/>
    <w:pPr>
      <w:tabs>
        <w:tab w:val="left" w:pos="567"/>
      </w:tabs>
      <w:spacing w:before="120" w:after="120" w:line="300" w:lineRule="atLeast"/>
      <w:jc w:val="both"/>
    </w:pPr>
    <w:rPr>
      <w:color w:val="000000"/>
      <w:szCs w:val="20"/>
    </w:rPr>
  </w:style>
  <w:style w:type="table" w:customStyle="1" w:styleId="TableGrid111">
    <w:name w:val="Table Grid111"/>
    <w:basedOn w:val="TableNormal"/>
    <w:next w:val="TableGrid"/>
    <w:uiPriority w:val="59"/>
    <w:rsid w:val="00EB23A1"/>
    <w:pPr>
      <w:widowControl w:val="0"/>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B23A1"/>
    <w:pPr>
      <w:spacing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2">
    <w:name w:val="Medium Grid 2"/>
    <w:basedOn w:val="TableNormal"/>
    <w:uiPriority w:val="68"/>
    <w:rsid w:val="00EB23A1"/>
    <w:pPr>
      <w:spacing w:line="240" w:lineRule="auto"/>
    </w:pPr>
    <w:rPr>
      <w:rFonts w:ascii="Cambria" w:eastAsia="Times New Roman" w:hAnsi="Cambria" w:cs="Times New Roman"/>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EnvelopeAddress">
    <w:name w:val="envelope address"/>
    <w:basedOn w:val="Normal"/>
    <w:rsid w:val="00EB23A1"/>
    <w:pPr>
      <w:framePr w:w="7920" w:h="1980" w:hRule="exact" w:hSpace="180" w:wrap="auto" w:hAnchor="page" w:xAlign="center" w:yAlign="bottom"/>
      <w:ind w:left="2880"/>
    </w:pPr>
    <w:rPr>
      <w:rFonts w:cs="Arial"/>
    </w:rPr>
  </w:style>
  <w:style w:type="paragraph" w:styleId="Subtitle">
    <w:name w:val="Subtitle"/>
    <w:basedOn w:val="Normal"/>
    <w:link w:val="SubtitleChar"/>
    <w:qFormat/>
    <w:rsid w:val="00EB23A1"/>
    <w:pPr>
      <w:spacing w:before="120"/>
      <w:jc w:val="center"/>
    </w:pPr>
    <w:rPr>
      <w:b/>
      <w:sz w:val="32"/>
      <w:szCs w:val="20"/>
    </w:rPr>
  </w:style>
  <w:style w:type="character" w:customStyle="1" w:styleId="SubtitleChar">
    <w:name w:val="Subtitle Char"/>
    <w:basedOn w:val="DefaultParagraphFont"/>
    <w:link w:val="Subtitle"/>
    <w:rsid w:val="00EB23A1"/>
    <w:rPr>
      <w:rFonts w:ascii="Times New Roman" w:eastAsia="Times New Roman" w:hAnsi="Times New Roman" w:cs="Times New Roman"/>
      <w:b/>
      <w:sz w:val="32"/>
      <w:szCs w:val="20"/>
    </w:rPr>
  </w:style>
  <w:style w:type="paragraph" w:styleId="DocumentMap">
    <w:name w:val="Document Map"/>
    <w:basedOn w:val="Normal"/>
    <w:link w:val="DocumentMapChar"/>
    <w:rsid w:val="00EB23A1"/>
    <w:pPr>
      <w:shd w:val="clear" w:color="auto" w:fill="000080"/>
    </w:pPr>
    <w:rPr>
      <w:rFonts w:ascii="Tahoma" w:hAnsi="Tahoma" w:cs="Tahoma"/>
    </w:rPr>
  </w:style>
  <w:style w:type="character" w:customStyle="1" w:styleId="DocumentMapChar">
    <w:name w:val="Document Map Char"/>
    <w:basedOn w:val="DefaultParagraphFont"/>
    <w:link w:val="DocumentMap"/>
    <w:rsid w:val="00EB23A1"/>
    <w:rPr>
      <w:rFonts w:ascii="Tahoma" w:eastAsia="Times New Roman" w:hAnsi="Tahoma" w:cs="Tahoma"/>
      <w:sz w:val="24"/>
      <w:szCs w:val="24"/>
      <w:shd w:val="clear" w:color="auto" w:fill="000080"/>
    </w:rPr>
  </w:style>
  <w:style w:type="table" w:styleId="TableSimple1">
    <w:name w:val="Table Simple 1"/>
    <w:basedOn w:val="TableNormal"/>
    <w:rsid w:val="00EB23A1"/>
    <w:pPr>
      <w:spacing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RefListing">
    <w:name w:val="RefListing"/>
    <w:basedOn w:val="Normal"/>
    <w:rsid w:val="00EB23A1"/>
    <w:pPr>
      <w:tabs>
        <w:tab w:val="center" w:pos="4800"/>
        <w:tab w:val="right" w:pos="9360"/>
      </w:tabs>
      <w:suppressAutoHyphens/>
      <w:spacing w:line="480" w:lineRule="auto"/>
      <w:ind w:left="240" w:hanging="240"/>
    </w:pPr>
    <w:rPr>
      <w:sz w:val="20"/>
      <w:szCs w:val="20"/>
    </w:rPr>
  </w:style>
  <w:style w:type="character" w:customStyle="1" w:styleId="personname">
    <w:name w:val="person_name"/>
    <w:rsid w:val="00EB23A1"/>
  </w:style>
  <w:style w:type="table" w:styleId="LightGrid-Accent1">
    <w:name w:val="Light Grid Accent 1"/>
    <w:basedOn w:val="TableNormal"/>
    <w:uiPriority w:val="62"/>
    <w:rsid w:val="00EB23A1"/>
    <w:pPr>
      <w:spacing w:line="240" w:lineRule="auto"/>
    </w:pPr>
    <w:rPr>
      <w:rFonts w:ascii="Calibri" w:eastAsia="Calibri" w:hAnsi="Calibri"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EB23A1"/>
    <w:pPr>
      <w:spacing w:line="240" w:lineRule="auto"/>
    </w:pPr>
    <w:rPr>
      <w:rFonts w:ascii="Calibri" w:eastAsia="Calibri" w:hAnsi="Calibri"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ont5">
    <w:name w:val="font5"/>
    <w:basedOn w:val="Normal"/>
    <w:rsid w:val="00EB23A1"/>
    <w:pPr>
      <w:spacing w:before="100" w:beforeAutospacing="1" w:after="100" w:afterAutospacing="1"/>
    </w:pPr>
    <w:rPr>
      <w:rFonts w:ascii="Tahoma" w:hAnsi="Tahoma" w:cs="Tahoma"/>
      <w:b/>
      <w:bCs/>
      <w:color w:val="000000"/>
      <w:sz w:val="16"/>
      <w:szCs w:val="16"/>
      <w:lang w:eastAsia="en-AU"/>
    </w:rPr>
  </w:style>
  <w:style w:type="paragraph" w:customStyle="1" w:styleId="font6">
    <w:name w:val="font6"/>
    <w:basedOn w:val="Normal"/>
    <w:rsid w:val="00EB23A1"/>
    <w:pPr>
      <w:spacing w:before="100" w:beforeAutospacing="1" w:after="100" w:afterAutospacing="1"/>
    </w:pPr>
    <w:rPr>
      <w:rFonts w:ascii="Tahoma" w:hAnsi="Tahoma" w:cs="Tahoma"/>
      <w:color w:val="000000"/>
      <w:sz w:val="16"/>
      <w:szCs w:val="16"/>
      <w:lang w:eastAsia="en-AU"/>
    </w:rPr>
  </w:style>
  <w:style w:type="paragraph" w:customStyle="1" w:styleId="font7">
    <w:name w:val="font7"/>
    <w:basedOn w:val="Normal"/>
    <w:rsid w:val="00EB23A1"/>
    <w:pPr>
      <w:spacing w:before="100" w:beforeAutospacing="1" w:after="100" w:afterAutospacing="1"/>
    </w:pPr>
    <w:rPr>
      <w:rFonts w:ascii="Tahoma" w:hAnsi="Tahoma" w:cs="Tahoma"/>
      <w:color w:val="000000"/>
      <w:sz w:val="18"/>
      <w:szCs w:val="18"/>
      <w:lang w:eastAsia="en-AU"/>
    </w:rPr>
  </w:style>
  <w:style w:type="paragraph" w:customStyle="1" w:styleId="font8">
    <w:name w:val="font8"/>
    <w:basedOn w:val="Normal"/>
    <w:rsid w:val="00EB23A1"/>
    <w:pPr>
      <w:spacing w:before="100" w:beforeAutospacing="1" w:after="100" w:afterAutospacing="1"/>
    </w:pPr>
    <w:rPr>
      <w:rFonts w:ascii="Tahoma" w:hAnsi="Tahoma" w:cs="Tahoma"/>
      <w:b/>
      <w:bCs/>
      <w:color w:val="000000"/>
      <w:sz w:val="18"/>
      <w:szCs w:val="18"/>
      <w:lang w:eastAsia="en-AU"/>
    </w:rPr>
  </w:style>
  <w:style w:type="paragraph" w:customStyle="1" w:styleId="xl65">
    <w:name w:val="xl65"/>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eastAsia="en-AU"/>
    </w:rPr>
  </w:style>
  <w:style w:type="paragraph" w:customStyle="1" w:styleId="xl66">
    <w:name w:val="xl66"/>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eastAsia="en-AU"/>
    </w:rPr>
  </w:style>
  <w:style w:type="paragraph" w:customStyle="1" w:styleId="xl67">
    <w:name w:val="xl67"/>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eastAsia="en-AU"/>
    </w:rPr>
  </w:style>
  <w:style w:type="paragraph" w:customStyle="1" w:styleId="xl68">
    <w:name w:val="xl68"/>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AU"/>
    </w:rPr>
  </w:style>
  <w:style w:type="paragraph" w:customStyle="1" w:styleId="xl69">
    <w:name w:val="xl69"/>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AU"/>
    </w:rPr>
  </w:style>
  <w:style w:type="paragraph" w:customStyle="1" w:styleId="xl70">
    <w:name w:val="xl70"/>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eastAsia="en-AU"/>
    </w:rPr>
  </w:style>
  <w:style w:type="paragraph" w:customStyle="1" w:styleId="xl71">
    <w:name w:val="xl71"/>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eastAsia="en-AU"/>
    </w:rPr>
  </w:style>
  <w:style w:type="paragraph" w:customStyle="1" w:styleId="xl72">
    <w:name w:val="xl72"/>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en-AU"/>
    </w:rPr>
  </w:style>
  <w:style w:type="paragraph" w:customStyle="1" w:styleId="xl73">
    <w:name w:val="xl73"/>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en-AU"/>
    </w:rPr>
  </w:style>
  <w:style w:type="paragraph" w:customStyle="1" w:styleId="xl74">
    <w:name w:val="xl74"/>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AU"/>
    </w:rPr>
  </w:style>
  <w:style w:type="paragraph" w:customStyle="1" w:styleId="xl75">
    <w:name w:val="xl75"/>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en-AU"/>
    </w:rPr>
  </w:style>
  <w:style w:type="paragraph" w:customStyle="1" w:styleId="xl76">
    <w:name w:val="xl76"/>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AU"/>
    </w:rPr>
  </w:style>
  <w:style w:type="paragraph" w:customStyle="1" w:styleId="xl77">
    <w:name w:val="xl77"/>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en-AU"/>
    </w:rPr>
  </w:style>
  <w:style w:type="paragraph" w:customStyle="1" w:styleId="xl78">
    <w:name w:val="xl78"/>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AU"/>
    </w:rPr>
  </w:style>
  <w:style w:type="paragraph" w:customStyle="1" w:styleId="xl79">
    <w:name w:val="xl79"/>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en-AU"/>
    </w:rPr>
  </w:style>
  <w:style w:type="paragraph" w:customStyle="1" w:styleId="xl80">
    <w:name w:val="xl80"/>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lang w:eastAsia="en-AU"/>
    </w:rPr>
  </w:style>
  <w:style w:type="paragraph" w:customStyle="1" w:styleId="xl81">
    <w:name w:val="xl81"/>
    <w:basedOn w:val="Normal"/>
    <w:rsid w:val="00EB23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en-AU"/>
    </w:rPr>
  </w:style>
  <w:style w:type="character" w:styleId="SubtleEmphasis">
    <w:name w:val="Subtle Emphasis"/>
    <w:uiPriority w:val="19"/>
    <w:qFormat/>
    <w:rsid w:val="00EB23A1"/>
    <w:rPr>
      <w:i/>
      <w:iCs/>
      <w:color w:val="808080"/>
    </w:rPr>
  </w:style>
  <w:style w:type="character" w:customStyle="1" w:styleId="A2">
    <w:name w:val="A2"/>
    <w:uiPriority w:val="99"/>
    <w:rsid w:val="00EB23A1"/>
    <w:rPr>
      <w:rFonts w:cs="Myriad Pro"/>
      <w:color w:val="000000"/>
      <w:sz w:val="58"/>
      <w:szCs w:val="58"/>
    </w:rPr>
  </w:style>
  <w:style w:type="character" w:customStyle="1" w:styleId="TextfulloutChar">
    <w:name w:val="Text full out Char"/>
    <w:link w:val="Textfullout"/>
    <w:locked/>
    <w:rsid w:val="00EB23A1"/>
  </w:style>
  <w:style w:type="paragraph" w:customStyle="1" w:styleId="Textfullout">
    <w:name w:val="Text full out"/>
    <w:basedOn w:val="Normal"/>
    <w:link w:val="TextfulloutChar"/>
    <w:rsid w:val="00EB23A1"/>
    <w:rPr>
      <w:rFonts w:asciiTheme="minorHAnsi" w:eastAsiaTheme="minorHAnsi" w:hAnsiTheme="minorHAnsi" w:cstheme="minorBidi"/>
      <w:szCs w:val="22"/>
    </w:rPr>
  </w:style>
  <w:style w:type="character" w:styleId="IntenseEmphasis">
    <w:name w:val="Intense Emphasis"/>
    <w:uiPriority w:val="21"/>
    <w:qFormat/>
    <w:rsid w:val="00EB23A1"/>
    <w:rPr>
      <w:b/>
      <w:bCs/>
      <w:i/>
      <w:iCs/>
      <w:color w:val="4F81BD"/>
    </w:rPr>
  </w:style>
  <w:style w:type="table" w:styleId="LightList-Accent1">
    <w:name w:val="Light List Accent 1"/>
    <w:basedOn w:val="TableNormal"/>
    <w:uiPriority w:val="61"/>
    <w:rsid w:val="00EB23A1"/>
    <w:pPr>
      <w:spacing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PlainText">
    <w:name w:val="Plain Text"/>
    <w:basedOn w:val="Normal"/>
    <w:link w:val="PlainTextChar"/>
    <w:uiPriority w:val="99"/>
    <w:rsid w:val="00EB23A1"/>
    <w:rPr>
      <w:rFonts w:ascii="Calibri" w:eastAsia="Calibri" w:hAnsi="Calibri"/>
      <w:szCs w:val="21"/>
    </w:rPr>
  </w:style>
  <w:style w:type="character" w:customStyle="1" w:styleId="PlainTextChar">
    <w:name w:val="Plain Text Char"/>
    <w:basedOn w:val="DefaultParagraphFont"/>
    <w:link w:val="PlainText"/>
    <w:uiPriority w:val="99"/>
    <w:rsid w:val="00EB23A1"/>
    <w:rPr>
      <w:rFonts w:ascii="Calibri" w:eastAsia="Calibri" w:hAnsi="Calibri" w:cs="Times New Roman"/>
      <w:szCs w:val="21"/>
    </w:rPr>
  </w:style>
  <w:style w:type="table" w:customStyle="1" w:styleId="TableGrid1111">
    <w:name w:val="Table Grid1111"/>
    <w:basedOn w:val="TableNormal"/>
    <w:next w:val="TableGrid"/>
    <w:uiPriority w:val="59"/>
    <w:rsid w:val="00EB23A1"/>
    <w:pPr>
      <w:spacing w:line="240"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EB23A1"/>
    <w:pPr>
      <w:keepNext/>
      <w:keepLines/>
      <w:spacing w:before="480" w:line="276" w:lineRule="auto"/>
      <w:outlineLvl w:val="9"/>
    </w:pPr>
    <w:rPr>
      <w:rFonts w:ascii="Cambria" w:eastAsia="MS Gothic" w:hAnsi="Cambria"/>
      <w:bCs/>
      <w:color w:val="365F91"/>
      <w:sz w:val="28"/>
      <w:szCs w:val="28"/>
      <w:lang w:val="en-US" w:eastAsia="ja-JP"/>
    </w:rPr>
  </w:style>
  <w:style w:type="numbering" w:customStyle="1" w:styleId="NoList21">
    <w:name w:val="No List21"/>
    <w:next w:val="NoList"/>
    <w:uiPriority w:val="99"/>
    <w:semiHidden/>
    <w:unhideWhenUsed/>
    <w:rsid w:val="00EB23A1"/>
  </w:style>
  <w:style w:type="table" w:customStyle="1" w:styleId="TableGrid21">
    <w:name w:val="Table Grid21"/>
    <w:basedOn w:val="TableNormal"/>
    <w:next w:val="TableGrid"/>
    <w:uiPriority w:val="59"/>
    <w:rsid w:val="00EB23A1"/>
    <w:pPr>
      <w:widowControl w:val="0"/>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EB23A1"/>
    <w:pPr>
      <w:spacing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Simple11">
    <w:name w:val="Table Simple 11"/>
    <w:basedOn w:val="TableNormal"/>
    <w:next w:val="TableSimple1"/>
    <w:rsid w:val="00EB23A1"/>
    <w:pPr>
      <w:spacing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Accent11">
    <w:name w:val="Light Grid - Accent 11"/>
    <w:basedOn w:val="TableNormal"/>
    <w:next w:val="LightGrid-Accent1"/>
    <w:uiPriority w:val="62"/>
    <w:rsid w:val="00EB23A1"/>
    <w:pPr>
      <w:spacing w:line="240" w:lineRule="auto"/>
    </w:pPr>
    <w:rPr>
      <w:rFonts w:ascii="Calibri" w:eastAsia="Calibri" w:hAnsi="Calibri"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next w:val="MediumShading1-Accent1"/>
    <w:uiPriority w:val="63"/>
    <w:rsid w:val="00EB23A1"/>
    <w:pPr>
      <w:spacing w:line="240" w:lineRule="auto"/>
    </w:pPr>
    <w:rPr>
      <w:rFonts w:ascii="Calibri" w:eastAsia="Calibri" w:hAnsi="Calibri"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next w:val="LightList-Accent1"/>
    <w:uiPriority w:val="61"/>
    <w:rsid w:val="00EB23A1"/>
    <w:pPr>
      <w:spacing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21">
    <w:name w:val="Table Grid121"/>
    <w:basedOn w:val="TableNormal"/>
    <w:next w:val="TableGrid"/>
    <w:uiPriority w:val="59"/>
    <w:rsid w:val="00EB23A1"/>
    <w:pPr>
      <w:spacing w:line="240"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EB23A1"/>
  </w:style>
  <w:style w:type="paragraph" w:customStyle="1" w:styleId="owapara">
    <w:name w:val="owapara"/>
    <w:basedOn w:val="Normal"/>
    <w:rsid w:val="00EB23A1"/>
    <w:rPr>
      <w:lang w:eastAsia="en-AU"/>
    </w:rPr>
  </w:style>
  <w:style w:type="table" w:customStyle="1" w:styleId="TableGrid211">
    <w:name w:val="Table Grid211"/>
    <w:basedOn w:val="TableNormal"/>
    <w:next w:val="TableGrid"/>
    <w:uiPriority w:val="59"/>
    <w:rsid w:val="00EB23A1"/>
    <w:pPr>
      <w:spacing w:line="240" w:lineRule="auto"/>
    </w:pPr>
    <w:rPr>
      <w:rFonts w:ascii="Cambria" w:eastAsia="Times New Roman"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cta">
    <w:name w:val="contract (a)"/>
    <w:basedOn w:val="Normal"/>
    <w:rsid w:val="00EB23A1"/>
    <w:pPr>
      <w:ind w:left="860" w:hanging="860"/>
      <w:jc w:val="both"/>
    </w:pPr>
    <w:rPr>
      <w:rFonts w:ascii="Palatino" w:hAnsi="Palatino"/>
      <w:szCs w:val="20"/>
    </w:rPr>
  </w:style>
  <w:style w:type="table" w:customStyle="1" w:styleId="TableGrid31">
    <w:name w:val="Table Grid31"/>
    <w:basedOn w:val="TableNormal"/>
    <w:next w:val="TableGrid"/>
    <w:uiPriority w:val="59"/>
    <w:rsid w:val="00EB23A1"/>
    <w:pPr>
      <w:spacing w:line="240" w:lineRule="auto"/>
    </w:pPr>
    <w:rPr>
      <w:rFonts w:ascii="Cambria" w:eastAsia="Times New Roman"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EB23A1"/>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EB23A1"/>
    <w:pPr>
      <w:spacing w:line="240" w:lineRule="auto"/>
    </w:pPr>
    <w:rPr>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1">
    <w:name w:val="Medium List 21"/>
    <w:basedOn w:val="TableNormal"/>
    <w:next w:val="MediumList2"/>
    <w:uiPriority w:val="66"/>
    <w:rsid w:val="00EB23A1"/>
    <w:pPr>
      <w:spacing w:line="240" w:lineRule="auto"/>
    </w:pPr>
    <w:rPr>
      <w:rFonts w:ascii="Cambria" w:eastAsia="MS Gothic" w:hAnsi="Cambria" w:cs="Times New Roman"/>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1">
    <w:name w:val="Light Grid1"/>
    <w:basedOn w:val="TableNormal"/>
    <w:next w:val="LightGrid"/>
    <w:uiPriority w:val="62"/>
    <w:rsid w:val="00EB23A1"/>
    <w:pPr>
      <w:spacing w:line="240" w:lineRule="auto"/>
    </w:pPr>
    <w:rPr>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SpacingChar">
    <w:name w:val="No Spacing Char"/>
    <w:basedOn w:val="DefaultParagraphFont"/>
    <w:link w:val="NoSpacing"/>
    <w:uiPriority w:val="1"/>
    <w:rsid w:val="00EB23A1"/>
    <w:rPr>
      <w:rFonts w:ascii="Times New Roman" w:eastAsia="Times New Roman" w:hAnsi="Times New Roman" w:cs="Times New Roman"/>
      <w:sz w:val="24"/>
      <w:szCs w:val="24"/>
    </w:rPr>
  </w:style>
  <w:style w:type="paragraph" w:customStyle="1" w:styleId="Quote1">
    <w:name w:val="Quote1"/>
    <w:basedOn w:val="Normal"/>
    <w:next w:val="Normal"/>
    <w:uiPriority w:val="29"/>
    <w:qFormat/>
    <w:rsid w:val="00EB23A1"/>
    <w:pPr>
      <w:spacing w:before="200" w:after="200" w:line="276" w:lineRule="auto"/>
    </w:pPr>
    <w:rPr>
      <w:rFonts w:ascii="Calibri" w:eastAsia="MS Mincho" w:hAnsi="Calibri"/>
      <w:i/>
      <w:iCs/>
      <w:sz w:val="20"/>
      <w:szCs w:val="20"/>
    </w:rPr>
  </w:style>
  <w:style w:type="character" w:customStyle="1" w:styleId="QuoteChar">
    <w:name w:val="Quote Char"/>
    <w:basedOn w:val="DefaultParagraphFont"/>
    <w:link w:val="Quote"/>
    <w:uiPriority w:val="29"/>
    <w:rsid w:val="00EB23A1"/>
    <w:rPr>
      <w:rFonts w:eastAsia="MS Mincho"/>
      <w:i/>
      <w:iCs/>
      <w:sz w:val="20"/>
      <w:szCs w:val="20"/>
    </w:rPr>
  </w:style>
  <w:style w:type="paragraph" w:customStyle="1" w:styleId="IntenseQuote1">
    <w:name w:val="Intense Quote1"/>
    <w:basedOn w:val="Normal"/>
    <w:next w:val="Normal"/>
    <w:uiPriority w:val="30"/>
    <w:qFormat/>
    <w:rsid w:val="00EB23A1"/>
    <w:pPr>
      <w:pBdr>
        <w:top w:val="single" w:sz="4" w:space="10" w:color="4F81BD"/>
        <w:left w:val="single" w:sz="4" w:space="10" w:color="4F81BD"/>
      </w:pBdr>
      <w:spacing w:before="200" w:line="276" w:lineRule="auto"/>
      <w:ind w:left="1296" w:right="1152"/>
      <w:jc w:val="both"/>
    </w:pPr>
    <w:rPr>
      <w:rFonts w:ascii="Calibri" w:eastAsia="MS Mincho" w:hAnsi="Calibri"/>
      <w:i/>
      <w:iCs/>
      <w:color w:val="4F81BD"/>
      <w:sz w:val="20"/>
      <w:szCs w:val="20"/>
    </w:rPr>
  </w:style>
  <w:style w:type="character" w:customStyle="1" w:styleId="IntenseQuoteChar">
    <w:name w:val="Intense Quote Char"/>
    <w:basedOn w:val="DefaultParagraphFont"/>
    <w:link w:val="IntenseQuote"/>
    <w:uiPriority w:val="30"/>
    <w:rsid w:val="00EB23A1"/>
    <w:rPr>
      <w:rFonts w:eastAsia="MS Mincho"/>
      <w:i/>
      <w:iCs/>
      <w:color w:val="4F81BD"/>
      <w:sz w:val="20"/>
      <w:szCs w:val="20"/>
    </w:rPr>
  </w:style>
  <w:style w:type="character" w:customStyle="1" w:styleId="SubtleReference1">
    <w:name w:val="Subtle Reference1"/>
    <w:uiPriority w:val="31"/>
    <w:qFormat/>
    <w:rsid w:val="00EB23A1"/>
    <w:rPr>
      <w:b/>
      <w:bCs/>
      <w:color w:val="4F81BD"/>
    </w:rPr>
  </w:style>
  <w:style w:type="character" w:customStyle="1" w:styleId="IntenseReference1">
    <w:name w:val="Intense Reference1"/>
    <w:uiPriority w:val="32"/>
    <w:qFormat/>
    <w:rsid w:val="00EB23A1"/>
    <w:rPr>
      <w:b/>
      <w:bCs/>
      <w:i/>
      <w:iCs/>
      <w:caps/>
      <w:color w:val="4F81BD"/>
    </w:rPr>
  </w:style>
  <w:style w:type="character" w:styleId="BookTitle">
    <w:name w:val="Book Title"/>
    <w:uiPriority w:val="33"/>
    <w:qFormat/>
    <w:rsid w:val="00EB23A1"/>
    <w:rPr>
      <w:b/>
      <w:bCs/>
      <w:i/>
      <w:iCs/>
      <w:spacing w:val="9"/>
    </w:rPr>
  </w:style>
  <w:style w:type="paragraph" w:customStyle="1" w:styleId="TOC31">
    <w:name w:val="TOC 31"/>
    <w:basedOn w:val="Normal"/>
    <w:next w:val="Normal"/>
    <w:autoRedefine/>
    <w:uiPriority w:val="39"/>
    <w:unhideWhenUsed/>
    <w:qFormat/>
    <w:rsid w:val="00EB23A1"/>
    <w:pPr>
      <w:spacing w:after="100" w:line="276" w:lineRule="auto"/>
      <w:ind w:left="440"/>
    </w:pPr>
    <w:rPr>
      <w:rFonts w:ascii="Calibri" w:eastAsia="Calibri" w:hAnsi="Calibri"/>
      <w:szCs w:val="22"/>
    </w:rPr>
  </w:style>
  <w:style w:type="character" w:customStyle="1" w:styleId="Heading6Char1">
    <w:name w:val="Heading 6 Char1"/>
    <w:basedOn w:val="DefaultParagraphFont"/>
    <w:uiPriority w:val="9"/>
    <w:semiHidden/>
    <w:rsid w:val="00EB23A1"/>
    <w:rPr>
      <w:rFonts w:ascii="Calibri Light" w:eastAsia="Times New Roman" w:hAnsi="Calibri Light" w:cs="Times New Roman"/>
      <w:color w:val="1F4D78"/>
      <w:szCs w:val="20"/>
    </w:rPr>
  </w:style>
  <w:style w:type="character" w:customStyle="1" w:styleId="Heading8Char1">
    <w:name w:val="Heading 8 Char1"/>
    <w:basedOn w:val="DefaultParagraphFont"/>
    <w:uiPriority w:val="9"/>
    <w:semiHidden/>
    <w:rsid w:val="00EB23A1"/>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EB23A1"/>
    <w:rPr>
      <w:rFonts w:ascii="Calibri Light" w:eastAsia="Times New Roman" w:hAnsi="Calibri Light" w:cs="Times New Roman"/>
      <w:i/>
      <w:iCs/>
      <w:color w:val="272727"/>
      <w:sz w:val="21"/>
      <w:szCs w:val="21"/>
    </w:rPr>
  </w:style>
  <w:style w:type="character" w:customStyle="1" w:styleId="HeaderChar1">
    <w:name w:val="Header Char1"/>
    <w:basedOn w:val="DefaultParagraphFont"/>
    <w:uiPriority w:val="99"/>
    <w:rsid w:val="00EB23A1"/>
    <w:rPr>
      <w:rFonts w:ascii="Times New Roman" w:eastAsia="Times New Roman" w:hAnsi="Times New Roman" w:cs="Times New Roman"/>
      <w:color w:val="000000"/>
      <w:szCs w:val="20"/>
    </w:rPr>
  </w:style>
  <w:style w:type="character" w:customStyle="1" w:styleId="BalloonTextChar1">
    <w:name w:val="Balloon Text Char1"/>
    <w:basedOn w:val="DefaultParagraphFont"/>
    <w:uiPriority w:val="99"/>
    <w:semiHidden/>
    <w:rsid w:val="00EB23A1"/>
    <w:rPr>
      <w:rFonts w:ascii="Segoe UI" w:eastAsia="Times New Roman" w:hAnsi="Segoe UI" w:cs="Segoe UI"/>
      <w:color w:val="000000"/>
      <w:sz w:val="18"/>
      <w:szCs w:val="18"/>
    </w:rPr>
  </w:style>
  <w:style w:type="table" w:customStyle="1" w:styleId="LightList2">
    <w:name w:val="Light List2"/>
    <w:basedOn w:val="TableNormal"/>
    <w:next w:val="LightList"/>
    <w:uiPriority w:val="61"/>
    <w:semiHidden/>
    <w:unhideWhenUsed/>
    <w:rsid w:val="00EB23A1"/>
    <w:pPr>
      <w:spacing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2">
    <w:name w:val="Medium List 22"/>
    <w:basedOn w:val="TableNormal"/>
    <w:next w:val="MediumList2"/>
    <w:uiPriority w:val="66"/>
    <w:semiHidden/>
    <w:unhideWhenUsed/>
    <w:rsid w:val="00EB23A1"/>
    <w:pPr>
      <w:spacing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next w:val="LightGrid"/>
    <w:uiPriority w:val="62"/>
    <w:semiHidden/>
    <w:unhideWhenUsed/>
    <w:rsid w:val="00EB23A1"/>
    <w:pPr>
      <w:spacing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Quote2">
    <w:name w:val="Quote2"/>
    <w:basedOn w:val="Normal"/>
    <w:next w:val="Normal"/>
    <w:uiPriority w:val="29"/>
    <w:qFormat/>
    <w:rsid w:val="00EB23A1"/>
    <w:pPr>
      <w:suppressAutoHyphens/>
      <w:spacing w:before="200" w:after="160"/>
      <w:ind w:left="864" w:right="864"/>
      <w:jc w:val="center"/>
    </w:pPr>
    <w:rPr>
      <w:rFonts w:ascii="Calibri" w:eastAsia="MS Mincho" w:hAnsi="Calibri"/>
      <w:i/>
      <w:iCs/>
      <w:sz w:val="20"/>
      <w:szCs w:val="20"/>
    </w:rPr>
  </w:style>
  <w:style w:type="character" w:customStyle="1" w:styleId="QuoteChar1">
    <w:name w:val="Quote Char1"/>
    <w:basedOn w:val="DefaultParagraphFont"/>
    <w:uiPriority w:val="29"/>
    <w:rsid w:val="00EB23A1"/>
    <w:rPr>
      <w:rFonts w:ascii="Times New Roman" w:eastAsia="Times New Roman" w:hAnsi="Times New Roman" w:cs="Times New Roman"/>
      <w:i/>
      <w:iCs/>
      <w:color w:val="404040"/>
      <w:szCs w:val="20"/>
    </w:rPr>
  </w:style>
  <w:style w:type="paragraph" w:customStyle="1" w:styleId="IntenseQuote2">
    <w:name w:val="Intense Quote2"/>
    <w:basedOn w:val="Normal"/>
    <w:next w:val="Normal"/>
    <w:uiPriority w:val="30"/>
    <w:qFormat/>
    <w:rsid w:val="00EB23A1"/>
    <w:pPr>
      <w:pBdr>
        <w:top w:val="single" w:sz="4" w:space="10" w:color="5B9BD5"/>
        <w:bottom w:val="single" w:sz="4" w:space="10" w:color="5B9BD5"/>
      </w:pBdr>
      <w:suppressAutoHyphens/>
      <w:spacing w:before="360" w:after="360"/>
      <w:ind w:left="864" w:right="864"/>
      <w:jc w:val="center"/>
    </w:pPr>
    <w:rPr>
      <w:rFonts w:ascii="Calibri" w:eastAsia="MS Mincho" w:hAnsi="Calibri"/>
      <w:i/>
      <w:iCs/>
      <w:color w:val="4F81BD"/>
      <w:sz w:val="20"/>
      <w:szCs w:val="20"/>
    </w:rPr>
  </w:style>
  <w:style w:type="character" w:customStyle="1" w:styleId="IntenseQuoteChar1">
    <w:name w:val="Intense Quote Char1"/>
    <w:basedOn w:val="DefaultParagraphFont"/>
    <w:uiPriority w:val="30"/>
    <w:rsid w:val="00EB23A1"/>
    <w:rPr>
      <w:rFonts w:ascii="Times New Roman" w:eastAsia="Times New Roman" w:hAnsi="Times New Roman" w:cs="Times New Roman"/>
      <w:i/>
      <w:iCs/>
      <w:color w:val="5B9BD5"/>
      <w:szCs w:val="20"/>
    </w:rPr>
  </w:style>
  <w:style w:type="character" w:customStyle="1" w:styleId="SubtleReference2">
    <w:name w:val="Subtle Reference2"/>
    <w:basedOn w:val="DefaultParagraphFont"/>
    <w:uiPriority w:val="31"/>
    <w:qFormat/>
    <w:rsid w:val="00EB23A1"/>
    <w:rPr>
      <w:smallCaps/>
      <w:color w:val="5A5A5A"/>
    </w:rPr>
  </w:style>
  <w:style w:type="character" w:customStyle="1" w:styleId="IntenseReference2">
    <w:name w:val="Intense Reference2"/>
    <w:basedOn w:val="DefaultParagraphFont"/>
    <w:uiPriority w:val="32"/>
    <w:qFormat/>
    <w:rsid w:val="00EB23A1"/>
    <w:rPr>
      <w:b/>
      <w:bCs/>
      <w:smallCaps/>
      <w:color w:val="5B9BD5"/>
      <w:spacing w:val="5"/>
    </w:rPr>
  </w:style>
  <w:style w:type="table" w:styleId="LightList">
    <w:name w:val="Light List"/>
    <w:basedOn w:val="TableNormal"/>
    <w:uiPriority w:val="61"/>
    <w:semiHidden/>
    <w:unhideWhenUsed/>
    <w:rsid w:val="00EB23A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semiHidden/>
    <w:unhideWhenUsed/>
    <w:rsid w:val="00EB23A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semiHidden/>
    <w:unhideWhenUsed/>
    <w:rsid w:val="00EB23A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Quote">
    <w:name w:val="Quote"/>
    <w:basedOn w:val="Normal"/>
    <w:next w:val="Normal"/>
    <w:link w:val="QuoteChar"/>
    <w:uiPriority w:val="29"/>
    <w:qFormat/>
    <w:rsid w:val="00EB23A1"/>
    <w:pPr>
      <w:spacing w:before="200" w:after="160"/>
      <w:ind w:left="864" w:right="864"/>
      <w:jc w:val="center"/>
    </w:pPr>
    <w:rPr>
      <w:rFonts w:asciiTheme="minorHAnsi" w:eastAsia="MS Mincho" w:hAnsiTheme="minorHAnsi" w:cstheme="minorBidi"/>
      <w:i/>
      <w:iCs/>
      <w:sz w:val="20"/>
      <w:szCs w:val="20"/>
    </w:rPr>
  </w:style>
  <w:style w:type="character" w:customStyle="1" w:styleId="QuoteChar2">
    <w:name w:val="Quote Char2"/>
    <w:basedOn w:val="DefaultParagraphFont"/>
    <w:uiPriority w:val="29"/>
    <w:rsid w:val="00EB23A1"/>
    <w:rPr>
      <w:rFonts w:ascii="Times New Roman" w:eastAsia="Times New Roman" w:hAnsi="Times New Roman" w:cs="Times New Roman"/>
      <w:i/>
      <w:iCs/>
      <w:color w:val="404040" w:themeColor="text1" w:themeTint="BF"/>
      <w:sz w:val="24"/>
      <w:szCs w:val="24"/>
    </w:rPr>
  </w:style>
  <w:style w:type="paragraph" w:styleId="IntenseQuote">
    <w:name w:val="Intense Quote"/>
    <w:basedOn w:val="Normal"/>
    <w:next w:val="Normal"/>
    <w:link w:val="IntenseQuoteChar"/>
    <w:uiPriority w:val="30"/>
    <w:qFormat/>
    <w:rsid w:val="00EB23A1"/>
    <w:pPr>
      <w:pBdr>
        <w:top w:val="single" w:sz="4" w:space="10" w:color="4F81BD" w:themeColor="accent1"/>
        <w:bottom w:val="single" w:sz="4" w:space="10" w:color="4F81BD" w:themeColor="accent1"/>
      </w:pBdr>
      <w:spacing w:before="360" w:after="360"/>
      <w:ind w:left="864" w:right="864"/>
      <w:jc w:val="center"/>
    </w:pPr>
    <w:rPr>
      <w:rFonts w:asciiTheme="minorHAnsi" w:eastAsia="MS Mincho" w:hAnsiTheme="minorHAnsi" w:cstheme="minorBidi"/>
      <w:i/>
      <w:iCs/>
      <w:color w:val="4F81BD"/>
      <w:sz w:val="20"/>
      <w:szCs w:val="20"/>
    </w:rPr>
  </w:style>
  <w:style w:type="character" w:customStyle="1" w:styleId="IntenseQuoteChar2">
    <w:name w:val="Intense Quote Char2"/>
    <w:basedOn w:val="DefaultParagraphFont"/>
    <w:uiPriority w:val="30"/>
    <w:rsid w:val="00EB23A1"/>
    <w:rPr>
      <w:rFonts w:ascii="Times New Roman" w:eastAsia="Times New Roman" w:hAnsi="Times New Roman" w:cs="Times New Roman"/>
      <w:i/>
      <w:iCs/>
      <w:color w:val="4F81BD" w:themeColor="accent1"/>
      <w:sz w:val="24"/>
      <w:szCs w:val="24"/>
    </w:rPr>
  </w:style>
  <w:style w:type="character" w:styleId="SubtleReference">
    <w:name w:val="Subtle Reference"/>
    <w:basedOn w:val="DefaultParagraphFont"/>
    <w:uiPriority w:val="31"/>
    <w:qFormat/>
    <w:rsid w:val="00EB23A1"/>
    <w:rPr>
      <w:smallCaps/>
      <w:color w:val="5A5A5A" w:themeColor="text1" w:themeTint="A5"/>
    </w:rPr>
  </w:style>
  <w:style w:type="character" w:styleId="IntenseReference">
    <w:name w:val="Intense Reference"/>
    <w:basedOn w:val="DefaultParagraphFont"/>
    <w:uiPriority w:val="32"/>
    <w:qFormat/>
    <w:rsid w:val="00EB23A1"/>
    <w:rPr>
      <w:b/>
      <w:bCs/>
      <w:smallCaps/>
      <w:color w:val="4F81BD" w:themeColor="accent1"/>
      <w:spacing w:val="5"/>
    </w:rPr>
  </w:style>
  <w:style w:type="numbering" w:customStyle="1" w:styleId="NoList9">
    <w:name w:val="No List9"/>
    <w:next w:val="NoList"/>
    <w:uiPriority w:val="99"/>
    <w:semiHidden/>
    <w:unhideWhenUsed/>
    <w:rsid w:val="00A91066"/>
  </w:style>
  <w:style w:type="table" w:customStyle="1" w:styleId="TableGrid9">
    <w:name w:val="Table Grid9"/>
    <w:basedOn w:val="TableNormal"/>
    <w:next w:val="TableGrid"/>
    <w:rsid w:val="00A91066"/>
    <w:pPr>
      <w:suppressAutoHyphens/>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0B3FF3"/>
    <w:pPr>
      <w:spacing w:after="120"/>
      <w:contextualSpacing/>
      <w:jc w:val="center"/>
    </w:pPr>
    <w:rPr>
      <w:rFonts w:cs="Arial"/>
      <w:szCs w:val="20"/>
    </w:rPr>
  </w:style>
  <w:style w:type="character" w:customStyle="1" w:styleId="TableChar">
    <w:name w:val="Table Char"/>
    <w:basedOn w:val="DefaultParagraphFont"/>
    <w:link w:val="Table"/>
    <w:rsid w:val="000B3FF3"/>
    <w:rPr>
      <w:rFonts w:ascii="Times New Roman" w:eastAsia="Times New Roman" w:hAnsi="Times New Roman" w:cs="Arial"/>
      <w:szCs w:val="20"/>
    </w:rPr>
  </w:style>
  <w:style w:type="numbering" w:customStyle="1" w:styleId="NoList10">
    <w:name w:val="No List10"/>
    <w:next w:val="NoList"/>
    <w:uiPriority w:val="99"/>
    <w:semiHidden/>
    <w:unhideWhenUsed/>
    <w:rsid w:val="00CD4F62"/>
  </w:style>
  <w:style w:type="table" w:customStyle="1" w:styleId="TableGrid10">
    <w:name w:val="Table Grid10"/>
    <w:basedOn w:val="TableNormal"/>
    <w:next w:val="TableGrid"/>
    <w:rsid w:val="00CD4F62"/>
    <w:pPr>
      <w:suppressAutoHyphens/>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nhideWhenUsed/>
    <w:qFormat/>
    <w:rsid w:val="005D6B78"/>
    <w:pPr>
      <w:keepNext/>
      <w:keepLines/>
      <w:spacing w:before="240" w:after="240"/>
      <w:outlineLvl w:val="1"/>
    </w:pPr>
    <w:rPr>
      <w:b/>
      <w:bCs/>
      <w:sz w:val="32"/>
      <w:szCs w:val="26"/>
    </w:rPr>
  </w:style>
  <w:style w:type="paragraph" w:customStyle="1" w:styleId="TOC41">
    <w:name w:val="TOC 41"/>
    <w:basedOn w:val="Normal"/>
    <w:next w:val="Normal"/>
    <w:autoRedefine/>
    <w:uiPriority w:val="39"/>
    <w:unhideWhenUsed/>
    <w:rsid w:val="005D6B78"/>
    <w:pPr>
      <w:ind w:left="660"/>
    </w:pPr>
    <w:rPr>
      <w:rFonts w:asciiTheme="minorHAnsi" w:hAnsiTheme="minorHAnsi"/>
      <w:sz w:val="20"/>
      <w:szCs w:val="20"/>
    </w:rPr>
  </w:style>
  <w:style w:type="paragraph" w:customStyle="1" w:styleId="TOC51">
    <w:name w:val="TOC 51"/>
    <w:basedOn w:val="Normal"/>
    <w:next w:val="Normal"/>
    <w:autoRedefine/>
    <w:uiPriority w:val="39"/>
    <w:unhideWhenUsed/>
    <w:rsid w:val="005D6B78"/>
    <w:pPr>
      <w:ind w:left="880"/>
    </w:pPr>
    <w:rPr>
      <w:rFonts w:asciiTheme="minorHAnsi" w:hAnsiTheme="minorHAnsi"/>
      <w:sz w:val="20"/>
      <w:szCs w:val="20"/>
    </w:rPr>
  </w:style>
  <w:style w:type="paragraph" w:customStyle="1" w:styleId="TOC61">
    <w:name w:val="TOC 61"/>
    <w:basedOn w:val="Normal"/>
    <w:next w:val="Normal"/>
    <w:autoRedefine/>
    <w:uiPriority w:val="39"/>
    <w:unhideWhenUsed/>
    <w:rsid w:val="005D6B78"/>
    <w:pPr>
      <w:ind w:left="1100"/>
    </w:pPr>
    <w:rPr>
      <w:rFonts w:asciiTheme="minorHAnsi" w:hAnsiTheme="minorHAnsi"/>
      <w:sz w:val="20"/>
      <w:szCs w:val="20"/>
    </w:rPr>
  </w:style>
  <w:style w:type="paragraph" w:customStyle="1" w:styleId="TOC71">
    <w:name w:val="TOC 71"/>
    <w:basedOn w:val="Normal"/>
    <w:next w:val="Normal"/>
    <w:autoRedefine/>
    <w:uiPriority w:val="39"/>
    <w:unhideWhenUsed/>
    <w:rsid w:val="005D6B78"/>
    <w:pPr>
      <w:ind w:left="1320"/>
    </w:pPr>
    <w:rPr>
      <w:rFonts w:asciiTheme="minorHAnsi" w:hAnsiTheme="minorHAnsi"/>
      <w:sz w:val="20"/>
      <w:szCs w:val="20"/>
    </w:rPr>
  </w:style>
  <w:style w:type="paragraph" w:customStyle="1" w:styleId="TOC81">
    <w:name w:val="TOC 81"/>
    <w:basedOn w:val="Normal"/>
    <w:next w:val="Normal"/>
    <w:autoRedefine/>
    <w:uiPriority w:val="39"/>
    <w:unhideWhenUsed/>
    <w:rsid w:val="005D6B78"/>
    <w:pPr>
      <w:ind w:left="1540"/>
    </w:pPr>
    <w:rPr>
      <w:rFonts w:asciiTheme="minorHAnsi" w:hAnsiTheme="minorHAnsi"/>
      <w:sz w:val="20"/>
      <w:szCs w:val="20"/>
    </w:rPr>
  </w:style>
  <w:style w:type="paragraph" w:customStyle="1" w:styleId="TOC91">
    <w:name w:val="TOC 91"/>
    <w:basedOn w:val="Normal"/>
    <w:next w:val="Normal"/>
    <w:autoRedefine/>
    <w:uiPriority w:val="39"/>
    <w:unhideWhenUsed/>
    <w:rsid w:val="005D6B78"/>
    <w:pPr>
      <w:ind w:left="1760"/>
    </w:pPr>
    <w:rPr>
      <w:rFonts w:asciiTheme="minorHAnsi" w:hAnsiTheme="minorHAnsi"/>
      <w:sz w:val="20"/>
      <w:szCs w:val="20"/>
    </w:rPr>
  </w:style>
  <w:style w:type="numbering" w:customStyle="1" w:styleId="NoList11111">
    <w:name w:val="No List11111"/>
    <w:next w:val="NoList"/>
    <w:uiPriority w:val="99"/>
    <w:semiHidden/>
    <w:unhideWhenUsed/>
    <w:rsid w:val="005D6B78"/>
  </w:style>
  <w:style w:type="table" w:customStyle="1" w:styleId="LightList3">
    <w:name w:val="Light List3"/>
    <w:basedOn w:val="TableNormal"/>
    <w:next w:val="LightList"/>
    <w:uiPriority w:val="61"/>
    <w:semiHidden/>
    <w:unhideWhenUsed/>
    <w:rsid w:val="005D6B78"/>
    <w:pPr>
      <w:spacing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3">
    <w:name w:val="Medium List 23"/>
    <w:basedOn w:val="TableNormal"/>
    <w:next w:val="MediumList2"/>
    <w:uiPriority w:val="66"/>
    <w:semiHidden/>
    <w:unhideWhenUsed/>
    <w:rsid w:val="005D6B78"/>
    <w:pPr>
      <w:spacing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3">
    <w:name w:val="Light Grid3"/>
    <w:basedOn w:val="TableNormal"/>
    <w:next w:val="LightGrid"/>
    <w:uiPriority w:val="62"/>
    <w:semiHidden/>
    <w:unhideWhenUsed/>
    <w:rsid w:val="005D6B78"/>
    <w:pPr>
      <w:spacing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Quote3">
    <w:name w:val="Quote3"/>
    <w:basedOn w:val="Normal"/>
    <w:next w:val="Normal"/>
    <w:uiPriority w:val="29"/>
    <w:qFormat/>
    <w:rsid w:val="005D6B78"/>
    <w:pPr>
      <w:spacing w:before="200" w:after="160"/>
      <w:ind w:left="864" w:right="864"/>
      <w:jc w:val="center"/>
    </w:pPr>
    <w:rPr>
      <w:rFonts w:asciiTheme="minorHAnsi" w:eastAsia="MS Mincho" w:hAnsiTheme="minorHAnsi" w:cstheme="minorBidi"/>
      <w:i/>
      <w:iCs/>
      <w:sz w:val="20"/>
      <w:szCs w:val="20"/>
    </w:rPr>
  </w:style>
  <w:style w:type="paragraph" w:customStyle="1" w:styleId="IntenseQuote3">
    <w:name w:val="Intense Quote3"/>
    <w:basedOn w:val="Normal"/>
    <w:next w:val="Normal"/>
    <w:uiPriority w:val="30"/>
    <w:qFormat/>
    <w:rsid w:val="005D6B78"/>
    <w:pPr>
      <w:pBdr>
        <w:top w:val="single" w:sz="4" w:space="10" w:color="4F81BD"/>
        <w:bottom w:val="single" w:sz="4" w:space="10" w:color="4F81BD"/>
      </w:pBdr>
      <w:spacing w:before="360" w:after="360"/>
      <w:ind w:left="864" w:right="864"/>
      <w:jc w:val="center"/>
    </w:pPr>
    <w:rPr>
      <w:rFonts w:asciiTheme="minorHAnsi" w:eastAsia="MS Mincho" w:hAnsiTheme="minorHAnsi" w:cstheme="minorBidi"/>
      <w:i/>
      <w:iCs/>
      <w:color w:val="4F81BD"/>
      <w:sz w:val="20"/>
      <w:szCs w:val="20"/>
    </w:rPr>
  </w:style>
  <w:style w:type="character" w:customStyle="1" w:styleId="SubtleReference3">
    <w:name w:val="Subtle Reference3"/>
    <w:basedOn w:val="DefaultParagraphFont"/>
    <w:uiPriority w:val="31"/>
    <w:qFormat/>
    <w:rsid w:val="005D6B78"/>
    <w:rPr>
      <w:smallCaps/>
      <w:color w:val="5A5A5A"/>
    </w:rPr>
  </w:style>
  <w:style w:type="character" w:customStyle="1" w:styleId="IntenseReference3">
    <w:name w:val="Intense Reference3"/>
    <w:basedOn w:val="DefaultParagraphFont"/>
    <w:uiPriority w:val="32"/>
    <w:qFormat/>
    <w:rsid w:val="005D6B78"/>
    <w:rPr>
      <w:b/>
      <w:bCs/>
      <w:smallCaps/>
      <w:color w:val="4F81BD"/>
      <w:spacing w:val="5"/>
    </w:rPr>
  </w:style>
  <w:style w:type="character" w:customStyle="1" w:styleId="Heading2Char1">
    <w:name w:val="Heading 2 Char1"/>
    <w:basedOn w:val="DefaultParagraphFont"/>
    <w:uiPriority w:val="9"/>
    <w:semiHidden/>
    <w:rsid w:val="005D6B78"/>
    <w:rPr>
      <w:rFonts w:asciiTheme="majorHAnsi" w:eastAsiaTheme="majorEastAsia" w:hAnsiTheme="majorHAnsi" w:cstheme="majorBidi"/>
      <w:color w:val="365F91" w:themeColor="accent1" w:themeShade="BF"/>
      <w:sz w:val="26"/>
      <w:szCs w:val="26"/>
    </w:rPr>
  </w:style>
  <w:style w:type="character" w:customStyle="1" w:styleId="QuoteChar3">
    <w:name w:val="Quote Char3"/>
    <w:basedOn w:val="DefaultParagraphFont"/>
    <w:uiPriority w:val="29"/>
    <w:rsid w:val="005D6B78"/>
    <w:rPr>
      <w:i/>
      <w:iCs/>
      <w:color w:val="404040" w:themeColor="text1" w:themeTint="BF"/>
    </w:rPr>
  </w:style>
  <w:style w:type="character" w:customStyle="1" w:styleId="IntenseQuoteChar3">
    <w:name w:val="Intense Quote Char3"/>
    <w:basedOn w:val="DefaultParagraphFont"/>
    <w:uiPriority w:val="30"/>
    <w:rsid w:val="005D6B78"/>
    <w:rPr>
      <w:i/>
      <w:iCs/>
      <w:color w:val="4F81BD" w:themeColor="accent1"/>
    </w:rPr>
  </w:style>
  <w:style w:type="character" w:customStyle="1" w:styleId="ListParagraphChar">
    <w:name w:val="List Paragraph Char"/>
    <w:aliases w:val="NFP GP Bulleted List Char"/>
    <w:basedOn w:val="DefaultParagraphFont"/>
    <w:link w:val="ListParagraph"/>
    <w:uiPriority w:val="34"/>
    <w:rsid w:val="005D6B78"/>
    <w:rPr>
      <w:rFonts w:ascii="Times New Roman" w:eastAsia="Times New Roman" w:hAnsi="Times New Roman" w:cs="Times New Roman"/>
      <w:szCs w:val="24"/>
    </w:rPr>
  </w:style>
  <w:style w:type="paragraph" w:customStyle="1" w:styleId="Question0">
    <w:name w:val="Question"/>
    <w:basedOn w:val="Normal"/>
    <w:qFormat/>
    <w:rsid w:val="004368BF"/>
    <w:rPr>
      <w:i/>
      <w:color w:val="FF0000"/>
    </w:rPr>
  </w:style>
  <w:style w:type="character" w:customStyle="1" w:styleId="noprint">
    <w:name w:val="noprint"/>
    <w:basedOn w:val="DefaultParagraphFont"/>
    <w:rsid w:val="00E16ABA"/>
  </w:style>
  <w:style w:type="numbering" w:customStyle="1" w:styleId="NoList12">
    <w:name w:val="No List12"/>
    <w:next w:val="NoList"/>
    <w:uiPriority w:val="99"/>
    <w:semiHidden/>
    <w:unhideWhenUsed/>
    <w:rsid w:val="00E41B9B"/>
  </w:style>
  <w:style w:type="numbering" w:customStyle="1" w:styleId="NoList13">
    <w:name w:val="No List13"/>
    <w:next w:val="NoList"/>
    <w:uiPriority w:val="99"/>
    <w:semiHidden/>
    <w:unhideWhenUsed/>
    <w:rsid w:val="00E41B9B"/>
  </w:style>
  <w:style w:type="table" w:customStyle="1" w:styleId="TableGrid14">
    <w:name w:val="Table Grid14"/>
    <w:basedOn w:val="TableNormal"/>
    <w:next w:val="TableGrid"/>
    <w:uiPriority w:val="39"/>
    <w:rsid w:val="00E41B9B"/>
    <w:pPr>
      <w:spacing w:line="240" w:lineRule="auto"/>
    </w:pPr>
    <w:rPr>
      <w:rFonts w:eastAsia="SimSu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E41B9B"/>
    <w:pPr>
      <w:spacing w:line="240" w:lineRule="auto"/>
    </w:pPr>
    <w:rPr>
      <w:rFonts w:eastAsia="SimSun"/>
      <w:color w:val="365F91"/>
      <w:sz w:val="24"/>
      <w:szCs w:val="24"/>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next w:val="LightShading"/>
    <w:uiPriority w:val="60"/>
    <w:rsid w:val="00E41B9B"/>
    <w:pPr>
      <w:spacing w:line="240" w:lineRule="auto"/>
    </w:pPr>
    <w:rPr>
      <w:rFonts w:eastAsia="SimSun"/>
      <w:color w:val="000000"/>
      <w:sz w:val="24"/>
      <w:szCs w:val="24"/>
      <w:lang w:val="en-US"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Normal"/>
    <w:next w:val="LightShading-Accent6"/>
    <w:uiPriority w:val="60"/>
    <w:rsid w:val="00E41B9B"/>
    <w:pPr>
      <w:spacing w:line="240" w:lineRule="auto"/>
    </w:pPr>
    <w:rPr>
      <w:rFonts w:eastAsia="SimSun"/>
      <w:color w:val="E36C0A"/>
      <w:sz w:val="24"/>
      <w:szCs w:val="24"/>
      <w:lang w:val="en-US" w:eastAsia="ja-JP"/>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1">
    <w:name w:val="Light List - Accent 61"/>
    <w:basedOn w:val="TableNormal"/>
    <w:next w:val="LightList-Accent6"/>
    <w:uiPriority w:val="61"/>
    <w:rsid w:val="00E41B9B"/>
    <w:pPr>
      <w:spacing w:line="240" w:lineRule="auto"/>
    </w:pPr>
    <w:rPr>
      <w:rFonts w:eastAsia="SimSun"/>
      <w:sz w:val="24"/>
      <w:szCs w:val="24"/>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21">
    <w:name w:val="Light Grid - Accent 21"/>
    <w:basedOn w:val="TableNormal"/>
    <w:next w:val="LightGrid-Accent2"/>
    <w:uiPriority w:val="62"/>
    <w:rsid w:val="00E41B9B"/>
    <w:pPr>
      <w:spacing w:line="240" w:lineRule="auto"/>
    </w:pPr>
    <w:rPr>
      <w:rFonts w:eastAsia="SimSun"/>
      <w:sz w:val="24"/>
      <w:szCs w:val="24"/>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SimSun"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SimSun"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SimSun" w:hAnsi="Calibri" w:cs="Times New Roman"/>
        <w:b/>
        <w:bCs/>
      </w:rPr>
    </w:tblStylePr>
    <w:tblStylePr w:type="lastCol">
      <w:rPr>
        <w:rFonts w:ascii="Calibri" w:eastAsia="SimSun"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
    <w:name w:val="Light Grid - Accent 51"/>
    <w:basedOn w:val="TableNormal"/>
    <w:next w:val="LightGrid-Accent5"/>
    <w:uiPriority w:val="62"/>
    <w:rsid w:val="00E41B9B"/>
    <w:pPr>
      <w:spacing w:line="240" w:lineRule="auto"/>
    </w:pPr>
    <w:rPr>
      <w:rFonts w:eastAsia="SimSun"/>
      <w:sz w:val="24"/>
      <w:szCs w:val="24"/>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SimSu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SimSu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SimSun" w:hAnsi="Calibri" w:cs="Times New Roman"/>
        <w:b/>
        <w:bCs/>
      </w:rPr>
    </w:tblStylePr>
    <w:tblStylePr w:type="lastCol">
      <w:rPr>
        <w:rFonts w:ascii="Calibri" w:eastAsia="SimSu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olorfulList-Accent51">
    <w:name w:val="Colorful List - Accent 51"/>
    <w:basedOn w:val="TableNormal"/>
    <w:next w:val="ColorfulList-Accent5"/>
    <w:uiPriority w:val="72"/>
    <w:rsid w:val="00E41B9B"/>
    <w:pPr>
      <w:spacing w:line="240" w:lineRule="auto"/>
    </w:pPr>
    <w:rPr>
      <w:rFonts w:eastAsia="SimSun"/>
      <w:color w:val="000000"/>
      <w:sz w:val="24"/>
      <w:szCs w:val="24"/>
      <w:lang w:val="en-US" w:eastAsia="ja-JP"/>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MediumGrid3-Accent51">
    <w:name w:val="Medium Grid 3 - Accent 51"/>
    <w:basedOn w:val="TableNormal"/>
    <w:next w:val="MediumGrid3-Accent5"/>
    <w:uiPriority w:val="69"/>
    <w:rsid w:val="00E41B9B"/>
    <w:pPr>
      <w:spacing w:line="240" w:lineRule="auto"/>
    </w:pPr>
    <w:rPr>
      <w:rFonts w:eastAsia="SimSun"/>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Shading1-Accent51">
    <w:name w:val="Medium Shading 1 - Accent 51"/>
    <w:basedOn w:val="TableNormal"/>
    <w:next w:val="MediumShading1-Accent5"/>
    <w:uiPriority w:val="63"/>
    <w:rsid w:val="00E41B9B"/>
    <w:pPr>
      <w:spacing w:line="240" w:lineRule="auto"/>
    </w:pPr>
    <w:rPr>
      <w:rFonts w:eastAsia="SimSun"/>
      <w:sz w:val="24"/>
      <w:szCs w:val="24"/>
      <w:lang w:val="en-US"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E41B9B"/>
    <w:pPr>
      <w:spacing w:line="240" w:lineRule="auto"/>
    </w:pPr>
    <w:rPr>
      <w:rFonts w:eastAsia="SimSun"/>
      <w:sz w:val="24"/>
      <w:szCs w:val="24"/>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Shading-Accent51">
    <w:name w:val="Colorful Shading - Accent 51"/>
    <w:basedOn w:val="TableNormal"/>
    <w:next w:val="ColorfulShading-Accent5"/>
    <w:uiPriority w:val="71"/>
    <w:rsid w:val="00E41B9B"/>
    <w:pPr>
      <w:spacing w:line="240" w:lineRule="auto"/>
    </w:pPr>
    <w:rPr>
      <w:rFonts w:eastAsia="SimSun"/>
      <w:color w:val="000000"/>
      <w:sz w:val="24"/>
      <w:szCs w:val="24"/>
      <w:lang w:val="en-US"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Grid-Accent12">
    <w:name w:val="Light Grid - Accent 12"/>
    <w:basedOn w:val="TableNormal"/>
    <w:next w:val="LightGrid-Accent1"/>
    <w:uiPriority w:val="62"/>
    <w:rsid w:val="00E41B9B"/>
    <w:pPr>
      <w:spacing w:line="240" w:lineRule="auto"/>
    </w:pPr>
    <w:rPr>
      <w:rFonts w:eastAsia="SimSun"/>
      <w:sz w:val="24"/>
      <w:szCs w:val="24"/>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SimSu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SimSu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SimSun" w:hAnsi="Calibri" w:cs="Times New Roman"/>
        <w:b/>
        <w:bCs/>
      </w:rPr>
    </w:tblStylePr>
    <w:tblStylePr w:type="lastCol">
      <w:rPr>
        <w:rFonts w:ascii="Calibri" w:eastAsia="SimSu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51">
    <w:name w:val="Light Shading - Accent 51"/>
    <w:basedOn w:val="TableNormal"/>
    <w:next w:val="LightShading-Accent5"/>
    <w:uiPriority w:val="60"/>
    <w:rsid w:val="00E41B9B"/>
    <w:pPr>
      <w:spacing w:line="240" w:lineRule="auto"/>
    </w:pPr>
    <w:rPr>
      <w:rFonts w:eastAsia="SimSun"/>
      <w:color w:val="31849B"/>
      <w:sz w:val="24"/>
      <w:szCs w:val="24"/>
      <w:lang w:val="en-U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51">
    <w:name w:val="Medium Grid 1 - Accent 51"/>
    <w:basedOn w:val="TableNormal"/>
    <w:next w:val="MediumGrid1-Accent5"/>
    <w:uiPriority w:val="67"/>
    <w:rsid w:val="00E41B9B"/>
    <w:pPr>
      <w:spacing w:line="240" w:lineRule="auto"/>
    </w:pPr>
    <w:rPr>
      <w:rFonts w:eastAsia="SimSun"/>
      <w:sz w:val="24"/>
      <w:szCs w:val="24"/>
      <w:lang w:val="en-US"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Shading-Accent1">
    <w:name w:val="Light Shading Accent 1"/>
    <w:basedOn w:val="TableNormal"/>
    <w:uiPriority w:val="60"/>
    <w:semiHidden/>
    <w:unhideWhenUsed/>
    <w:rsid w:val="00E41B9B"/>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6">
    <w:name w:val="Light Shading Accent 6"/>
    <w:basedOn w:val="TableNormal"/>
    <w:uiPriority w:val="60"/>
    <w:semiHidden/>
    <w:unhideWhenUsed/>
    <w:rsid w:val="00E41B9B"/>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semiHidden/>
    <w:unhideWhenUsed/>
    <w:rsid w:val="00E41B9B"/>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2">
    <w:name w:val="Light Grid Accent 2"/>
    <w:basedOn w:val="TableNormal"/>
    <w:uiPriority w:val="62"/>
    <w:semiHidden/>
    <w:unhideWhenUsed/>
    <w:rsid w:val="00E41B9B"/>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5">
    <w:name w:val="Light Grid Accent 5"/>
    <w:basedOn w:val="TableNormal"/>
    <w:uiPriority w:val="62"/>
    <w:semiHidden/>
    <w:unhideWhenUsed/>
    <w:rsid w:val="00E41B9B"/>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List-Accent5">
    <w:name w:val="Colorful List Accent 5"/>
    <w:basedOn w:val="TableNormal"/>
    <w:uiPriority w:val="72"/>
    <w:semiHidden/>
    <w:unhideWhenUsed/>
    <w:rsid w:val="00E41B9B"/>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Accent5">
    <w:name w:val="Medium Grid 3 Accent 5"/>
    <w:basedOn w:val="TableNormal"/>
    <w:uiPriority w:val="69"/>
    <w:semiHidden/>
    <w:unhideWhenUsed/>
    <w:rsid w:val="00E41B9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semiHidden/>
    <w:unhideWhenUsed/>
    <w:rsid w:val="00E41B9B"/>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semiHidden/>
    <w:unhideWhenUsed/>
    <w:rsid w:val="00E41B9B"/>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Shading-Accent5">
    <w:name w:val="Colorful Shading Accent 5"/>
    <w:basedOn w:val="TableNormal"/>
    <w:uiPriority w:val="71"/>
    <w:semiHidden/>
    <w:unhideWhenUsed/>
    <w:rsid w:val="00E41B9B"/>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ghtShading-Accent5">
    <w:name w:val="Light Shading Accent 5"/>
    <w:basedOn w:val="TableNormal"/>
    <w:uiPriority w:val="60"/>
    <w:semiHidden/>
    <w:unhideWhenUsed/>
    <w:rsid w:val="00E41B9B"/>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5">
    <w:name w:val="Medium Grid 1 Accent 5"/>
    <w:basedOn w:val="TableNormal"/>
    <w:uiPriority w:val="67"/>
    <w:semiHidden/>
    <w:unhideWhenUsed/>
    <w:rsid w:val="00E41B9B"/>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NoList14">
    <w:name w:val="No List14"/>
    <w:next w:val="NoList"/>
    <w:uiPriority w:val="99"/>
    <w:semiHidden/>
    <w:unhideWhenUsed/>
    <w:rsid w:val="00E41B9B"/>
  </w:style>
  <w:style w:type="table" w:customStyle="1" w:styleId="TableGrid15">
    <w:name w:val="Table Grid15"/>
    <w:basedOn w:val="TableNormal"/>
    <w:next w:val="TableGrid"/>
    <w:uiPriority w:val="39"/>
    <w:rsid w:val="00E41B9B"/>
    <w:pPr>
      <w:spacing w:line="240" w:lineRule="auto"/>
    </w:pPr>
    <w:rPr>
      <w:rFonts w:eastAsia="MS Mincho"/>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E41B9B"/>
    <w:pPr>
      <w:spacing w:line="240" w:lineRule="auto"/>
    </w:pPr>
    <w:rPr>
      <w:rFonts w:eastAsia="MS Mincho"/>
      <w:color w:val="365F91"/>
      <w:sz w:val="24"/>
      <w:szCs w:val="24"/>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E41B9B"/>
    <w:pPr>
      <w:spacing w:line="240" w:lineRule="auto"/>
    </w:pPr>
    <w:rPr>
      <w:rFonts w:eastAsia="MS Mincho"/>
      <w:color w:val="000000"/>
      <w:sz w:val="24"/>
      <w:szCs w:val="24"/>
      <w:lang w:val="en-US"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Normal"/>
    <w:next w:val="LightShading-Accent6"/>
    <w:uiPriority w:val="60"/>
    <w:rsid w:val="00E41B9B"/>
    <w:pPr>
      <w:spacing w:line="240" w:lineRule="auto"/>
    </w:pPr>
    <w:rPr>
      <w:rFonts w:eastAsia="MS Mincho"/>
      <w:color w:val="E36C0A"/>
      <w:sz w:val="24"/>
      <w:szCs w:val="24"/>
      <w:lang w:val="en-US" w:eastAsia="ja-JP"/>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2">
    <w:name w:val="Light List - Accent 62"/>
    <w:basedOn w:val="TableNormal"/>
    <w:next w:val="LightList-Accent6"/>
    <w:uiPriority w:val="61"/>
    <w:rsid w:val="00E41B9B"/>
    <w:pPr>
      <w:spacing w:line="240" w:lineRule="auto"/>
    </w:pPr>
    <w:rPr>
      <w:rFonts w:eastAsia="MS Mincho"/>
      <w:sz w:val="24"/>
      <w:szCs w:val="24"/>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22">
    <w:name w:val="Light Grid - Accent 22"/>
    <w:basedOn w:val="TableNormal"/>
    <w:next w:val="LightGrid-Accent2"/>
    <w:uiPriority w:val="62"/>
    <w:rsid w:val="00E41B9B"/>
    <w:pPr>
      <w:spacing w:line="240" w:lineRule="auto"/>
    </w:pPr>
    <w:rPr>
      <w:rFonts w:eastAsia="MS Mincho"/>
      <w:sz w:val="24"/>
      <w:szCs w:val="24"/>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2">
    <w:name w:val="Light Grid - Accent 52"/>
    <w:basedOn w:val="TableNormal"/>
    <w:next w:val="LightGrid-Accent5"/>
    <w:uiPriority w:val="62"/>
    <w:rsid w:val="00E41B9B"/>
    <w:pPr>
      <w:spacing w:line="240" w:lineRule="auto"/>
    </w:pPr>
    <w:rPr>
      <w:rFonts w:eastAsia="MS Mincho"/>
      <w:sz w:val="24"/>
      <w:szCs w:val="24"/>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olorfulList-Accent52">
    <w:name w:val="Colorful List - Accent 52"/>
    <w:basedOn w:val="TableNormal"/>
    <w:next w:val="ColorfulList-Accent5"/>
    <w:uiPriority w:val="72"/>
    <w:rsid w:val="00E41B9B"/>
    <w:pPr>
      <w:spacing w:line="240" w:lineRule="auto"/>
    </w:pPr>
    <w:rPr>
      <w:rFonts w:eastAsia="MS Mincho"/>
      <w:color w:val="000000"/>
      <w:sz w:val="24"/>
      <w:szCs w:val="24"/>
      <w:lang w:val="en-US" w:eastAsia="ja-JP"/>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MediumGrid3-Accent52">
    <w:name w:val="Medium Grid 3 - Accent 52"/>
    <w:basedOn w:val="TableNormal"/>
    <w:next w:val="MediumGrid3-Accent5"/>
    <w:uiPriority w:val="69"/>
    <w:rsid w:val="00E41B9B"/>
    <w:pPr>
      <w:spacing w:line="240" w:lineRule="auto"/>
    </w:pPr>
    <w:rPr>
      <w:rFonts w:eastAsia="MS Mincho"/>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Shading1-Accent52">
    <w:name w:val="Medium Shading 1 - Accent 52"/>
    <w:basedOn w:val="TableNormal"/>
    <w:next w:val="MediumShading1-Accent5"/>
    <w:uiPriority w:val="63"/>
    <w:rsid w:val="00E41B9B"/>
    <w:pPr>
      <w:spacing w:line="240" w:lineRule="auto"/>
    </w:pPr>
    <w:rPr>
      <w:rFonts w:eastAsia="MS Mincho"/>
      <w:sz w:val="24"/>
      <w:szCs w:val="24"/>
      <w:lang w:val="en-US"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52">
    <w:name w:val="Light List - Accent 52"/>
    <w:basedOn w:val="TableNormal"/>
    <w:next w:val="LightList-Accent5"/>
    <w:uiPriority w:val="61"/>
    <w:rsid w:val="00E41B9B"/>
    <w:pPr>
      <w:spacing w:line="240" w:lineRule="auto"/>
    </w:pPr>
    <w:rPr>
      <w:rFonts w:eastAsia="MS Mincho"/>
      <w:sz w:val="24"/>
      <w:szCs w:val="24"/>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Shading-Accent52">
    <w:name w:val="Colorful Shading - Accent 52"/>
    <w:basedOn w:val="TableNormal"/>
    <w:next w:val="ColorfulShading-Accent5"/>
    <w:uiPriority w:val="71"/>
    <w:rsid w:val="00E41B9B"/>
    <w:pPr>
      <w:spacing w:line="240" w:lineRule="auto"/>
    </w:pPr>
    <w:rPr>
      <w:rFonts w:eastAsia="MS Mincho"/>
      <w:color w:val="000000"/>
      <w:sz w:val="24"/>
      <w:szCs w:val="24"/>
      <w:lang w:val="en-US"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Grid-Accent13">
    <w:name w:val="Light Grid - Accent 13"/>
    <w:basedOn w:val="TableNormal"/>
    <w:next w:val="LightGrid-Accent1"/>
    <w:uiPriority w:val="62"/>
    <w:rsid w:val="00E41B9B"/>
    <w:pPr>
      <w:spacing w:line="240" w:lineRule="auto"/>
    </w:pPr>
    <w:rPr>
      <w:rFonts w:eastAsia="MS Mincho"/>
      <w:sz w:val="24"/>
      <w:szCs w:val="24"/>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52">
    <w:name w:val="Light Shading - Accent 52"/>
    <w:basedOn w:val="TableNormal"/>
    <w:next w:val="LightShading-Accent5"/>
    <w:uiPriority w:val="60"/>
    <w:rsid w:val="00E41B9B"/>
    <w:pPr>
      <w:spacing w:line="240" w:lineRule="auto"/>
    </w:pPr>
    <w:rPr>
      <w:rFonts w:eastAsia="MS Mincho"/>
      <w:color w:val="31849B"/>
      <w:sz w:val="24"/>
      <w:szCs w:val="24"/>
      <w:lang w:val="en-U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52">
    <w:name w:val="Medium Grid 1 - Accent 52"/>
    <w:basedOn w:val="TableNormal"/>
    <w:next w:val="MediumGrid1-Accent5"/>
    <w:uiPriority w:val="67"/>
    <w:rsid w:val="00E41B9B"/>
    <w:pPr>
      <w:spacing w:line="240" w:lineRule="auto"/>
    </w:pPr>
    <w:rPr>
      <w:rFonts w:eastAsia="MS Mincho"/>
      <w:sz w:val="24"/>
      <w:szCs w:val="24"/>
      <w:lang w:val="en-US"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PlaceholderText">
    <w:name w:val="Placeholder Text"/>
    <w:basedOn w:val="DefaultParagraphFont"/>
    <w:uiPriority w:val="99"/>
    <w:semiHidden/>
    <w:rsid w:val="00E41B9B"/>
    <w:rPr>
      <w:rFonts w:cs="Times New Roman"/>
      <w:color w:val="808080"/>
    </w:rPr>
  </w:style>
  <w:style w:type="paragraph" w:customStyle="1" w:styleId="tabletxt">
    <w:name w:val="table txt"/>
    <w:basedOn w:val="Normal"/>
    <w:qFormat/>
    <w:rsid w:val="00E41B9B"/>
    <w:pPr>
      <w:spacing w:before="120"/>
    </w:pPr>
    <w:rPr>
      <w:rFonts w:eastAsia="Cambria" w:cs="Calibri"/>
      <w:color w:val="000000"/>
      <w:sz w:val="20"/>
      <w:lang w:eastAsia="en-AU"/>
    </w:rPr>
  </w:style>
  <w:style w:type="paragraph" w:customStyle="1" w:styleId="Figureheading">
    <w:name w:val="Figure heading"/>
    <w:basedOn w:val="Normal"/>
    <w:qFormat/>
    <w:rsid w:val="00E41B9B"/>
    <w:pPr>
      <w:spacing w:before="240"/>
    </w:pPr>
    <w:rPr>
      <w:rFonts w:eastAsia="Cambria"/>
      <w:sz w:val="24"/>
      <w:lang w:eastAsia="en-AU"/>
    </w:rPr>
  </w:style>
  <w:style w:type="paragraph" w:customStyle="1" w:styleId="Date1">
    <w:name w:val="Date1"/>
    <w:basedOn w:val="Normal"/>
    <w:next w:val="Normal"/>
    <w:uiPriority w:val="99"/>
    <w:semiHidden/>
    <w:unhideWhenUsed/>
    <w:rsid w:val="00E41B9B"/>
    <w:rPr>
      <w:rFonts w:asciiTheme="minorHAnsi" w:eastAsia="MS Mincho" w:hAnsiTheme="minorHAnsi" w:cstheme="minorBidi"/>
      <w:sz w:val="24"/>
      <w:lang w:eastAsia="ja-JP"/>
    </w:rPr>
  </w:style>
  <w:style w:type="character" w:customStyle="1" w:styleId="DateChar">
    <w:name w:val="Date Char"/>
    <w:basedOn w:val="DefaultParagraphFont"/>
    <w:link w:val="Date"/>
    <w:uiPriority w:val="99"/>
    <w:semiHidden/>
    <w:rsid w:val="00E41B9B"/>
  </w:style>
  <w:style w:type="table" w:customStyle="1" w:styleId="PlainTable41">
    <w:name w:val="Plain Table 41"/>
    <w:basedOn w:val="TableNormal"/>
    <w:next w:val="PlainTable4"/>
    <w:uiPriority w:val="44"/>
    <w:rsid w:val="00E41B9B"/>
    <w:pPr>
      <w:spacing w:line="240" w:lineRule="auto"/>
    </w:pPr>
    <w:rPr>
      <w:rFonts w:eastAsia="MS Mincho"/>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43"/>
    <w:rsid w:val="00E41B9B"/>
    <w:pPr>
      <w:spacing w:line="240" w:lineRule="auto"/>
    </w:pPr>
    <w:rPr>
      <w:rFonts w:eastAsia="MS Mincho"/>
      <w:sz w:val="24"/>
      <w:szCs w:val="24"/>
      <w:lang w:val="en-US"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xl63">
    <w:name w:val="xl63"/>
    <w:basedOn w:val="Normal"/>
    <w:rsid w:val="00E41B9B"/>
    <w:pPr>
      <w:spacing w:before="100" w:beforeAutospacing="1" w:after="100" w:afterAutospacing="1"/>
      <w:jc w:val="center"/>
    </w:pPr>
    <w:rPr>
      <w:sz w:val="24"/>
      <w:lang w:val="en-US" w:eastAsia="zh-CN"/>
    </w:rPr>
  </w:style>
  <w:style w:type="paragraph" w:styleId="Date">
    <w:name w:val="Date"/>
    <w:basedOn w:val="Normal"/>
    <w:next w:val="Normal"/>
    <w:link w:val="DateChar"/>
    <w:uiPriority w:val="99"/>
    <w:semiHidden/>
    <w:unhideWhenUsed/>
    <w:rsid w:val="00E41B9B"/>
    <w:pPr>
      <w:spacing w:after="160" w:line="259" w:lineRule="auto"/>
    </w:pPr>
    <w:rPr>
      <w:rFonts w:asciiTheme="minorHAnsi" w:eastAsiaTheme="minorHAnsi" w:hAnsiTheme="minorHAnsi" w:cstheme="minorBidi"/>
      <w:szCs w:val="22"/>
    </w:rPr>
  </w:style>
  <w:style w:type="character" w:customStyle="1" w:styleId="DateChar1">
    <w:name w:val="Date Char1"/>
    <w:basedOn w:val="DefaultParagraphFont"/>
    <w:uiPriority w:val="99"/>
    <w:semiHidden/>
    <w:rsid w:val="00E41B9B"/>
    <w:rPr>
      <w:rFonts w:ascii="Times New Roman" w:eastAsia="Times New Roman" w:hAnsi="Times New Roman" w:cs="Times New Roman"/>
      <w:szCs w:val="24"/>
    </w:rPr>
  </w:style>
  <w:style w:type="table" w:styleId="PlainTable4">
    <w:name w:val="Plain Table 4"/>
    <w:basedOn w:val="TableNormal"/>
    <w:uiPriority w:val="44"/>
    <w:rsid w:val="00E41B9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41B9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tion1">
    <w:name w:val="Mention1"/>
    <w:basedOn w:val="DefaultParagraphFont"/>
    <w:uiPriority w:val="99"/>
    <w:semiHidden/>
    <w:unhideWhenUsed/>
    <w:rsid w:val="00E41B9B"/>
    <w:rPr>
      <w:color w:val="2B579A"/>
      <w:shd w:val="clear" w:color="auto" w:fill="E6E6E6"/>
    </w:rPr>
  </w:style>
  <w:style w:type="character" w:customStyle="1" w:styleId="Mention10">
    <w:name w:val="Mention1"/>
    <w:basedOn w:val="DefaultParagraphFont"/>
    <w:uiPriority w:val="99"/>
    <w:semiHidden/>
    <w:unhideWhenUsed/>
    <w:rsid w:val="006735E9"/>
    <w:rPr>
      <w:color w:val="2B579A"/>
      <w:shd w:val="clear" w:color="auto" w:fill="E6E6E6"/>
    </w:rPr>
  </w:style>
  <w:style w:type="paragraph" w:customStyle="1" w:styleId="ReportTitle0">
    <w:name w:val="ReportTitle"/>
    <w:basedOn w:val="Normal"/>
    <w:rsid w:val="00E378B5"/>
    <w:pPr>
      <w:suppressAutoHyphens/>
      <w:spacing w:after="220"/>
      <w:ind w:left="4536" w:right="-567"/>
    </w:pPr>
    <w:rPr>
      <w:rFonts w:ascii="Arial Black" w:hAnsi="Arial Black"/>
      <w:b/>
      <w:color w:val="000000"/>
      <w:sz w:val="60"/>
      <w:szCs w:val="20"/>
    </w:rPr>
  </w:style>
  <w:style w:type="paragraph" w:customStyle="1" w:styleId="Questions">
    <w:name w:val="Questions"/>
    <w:basedOn w:val="Normal"/>
    <w:qFormat/>
    <w:rsid w:val="00E378B5"/>
    <w:pPr>
      <w:contextualSpacing/>
    </w:pPr>
    <w:rPr>
      <w:i/>
      <w:color w:val="FF0000"/>
      <w:szCs w:val="22"/>
      <w:lang w:eastAsia="en-AU"/>
    </w:rPr>
  </w:style>
  <w:style w:type="paragraph" w:styleId="TableofFigures">
    <w:name w:val="table of figures"/>
    <w:basedOn w:val="Normal"/>
    <w:next w:val="Normal"/>
    <w:uiPriority w:val="99"/>
    <w:unhideWhenUsed/>
    <w:rsid w:val="00E378B5"/>
    <w:pPr>
      <w:spacing w:line="259" w:lineRule="auto"/>
    </w:pPr>
    <w:rPr>
      <w:rFonts w:eastAsiaTheme="minorHAnsi"/>
      <w:szCs w:val="22"/>
    </w:rPr>
  </w:style>
  <w:style w:type="paragraph" w:styleId="Bibliography">
    <w:name w:val="Bibliography"/>
    <w:basedOn w:val="Normal"/>
    <w:next w:val="Normal"/>
    <w:uiPriority w:val="37"/>
    <w:unhideWhenUsed/>
    <w:rsid w:val="000D28B8"/>
    <w:pPr>
      <w:spacing w:after="160" w:line="259" w:lineRule="auto"/>
    </w:pPr>
    <w:rPr>
      <w:rFonts w:ascii="Arial" w:eastAsiaTheme="minorHAnsi" w:hAnsi="Arial" w:cstheme="minorBidi"/>
      <w:szCs w:val="22"/>
    </w:rPr>
  </w:style>
  <w:style w:type="character" w:customStyle="1" w:styleId="Mention2">
    <w:name w:val="Mention2"/>
    <w:basedOn w:val="DefaultParagraphFont"/>
    <w:uiPriority w:val="99"/>
    <w:semiHidden/>
    <w:unhideWhenUsed/>
    <w:rsid w:val="000D28B8"/>
    <w:rPr>
      <w:color w:val="2B579A"/>
      <w:shd w:val="clear" w:color="auto" w:fill="E6E6E6"/>
    </w:rPr>
  </w:style>
  <w:style w:type="character" w:customStyle="1" w:styleId="Mention3">
    <w:name w:val="Mention3"/>
    <w:basedOn w:val="DefaultParagraphFont"/>
    <w:uiPriority w:val="99"/>
    <w:semiHidden/>
    <w:unhideWhenUsed/>
    <w:rsid w:val="000D28B8"/>
    <w:rPr>
      <w:color w:val="2B579A"/>
      <w:shd w:val="clear" w:color="auto" w:fill="E6E6E6"/>
    </w:rPr>
  </w:style>
  <w:style w:type="character" w:customStyle="1" w:styleId="UnresolvedMention1">
    <w:name w:val="Unresolved Mention1"/>
    <w:basedOn w:val="DefaultParagraphFont"/>
    <w:uiPriority w:val="99"/>
    <w:semiHidden/>
    <w:unhideWhenUsed/>
    <w:rsid w:val="00C1096A"/>
    <w:rPr>
      <w:color w:val="808080"/>
      <w:shd w:val="clear" w:color="auto" w:fill="E6E6E6"/>
    </w:rPr>
  </w:style>
  <w:style w:type="paragraph" w:customStyle="1" w:styleId="xl32">
    <w:name w:val="xl32"/>
    <w:basedOn w:val="Normal"/>
    <w:rsid w:val="002B5A16"/>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lang w:val="en-US"/>
    </w:rPr>
  </w:style>
  <w:style w:type="character" w:customStyle="1" w:styleId="apple-converted-space">
    <w:name w:val="apple-converted-space"/>
    <w:basedOn w:val="DefaultParagraphFont"/>
    <w:rsid w:val="002B5A16"/>
  </w:style>
  <w:style w:type="character" w:customStyle="1" w:styleId="UnresolvedMention">
    <w:name w:val="Unresolved Mention"/>
    <w:basedOn w:val="DefaultParagraphFont"/>
    <w:uiPriority w:val="99"/>
    <w:semiHidden/>
    <w:unhideWhenUsed/>
    <w:rsid w:val="004251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78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frdc.com.au/about_frdc/Documents/Annual_Report/FRDC_Annual_Report_2016.pdf" TargetMode="External"/><Relationship Id="rId26" Type="http://schemas.openxmlformats.org/officeDocument/2006/relationships/chart" Target="charts/chart1.xml"/><Relationship Id="rId39" Type="http://schemas.openxmlformats.org/officeDocument/2006/relationships/footer" Target="footer4.xml"/><Relationship Id="rId21" Type="http://schemas.openxmlformats.org/officeDocument/2006/relationships/hyperlink" Target="http://www.ruralrdc.com.au/wp-content/uploads/2016/04/CRRDC-Impact-Assessment-Guidelines-V.1-070514.pdf" TargetMode="External"/><Relationship Id="rId34" Type="http://schemas.openxmlformats.org/officeDocument/2006/relationships/hyperlink" Target="http://science.gov.au/scienceGov/ScienceAndResearchPriorities/Pages/default.aspx" TargetMode="External"/><Relationship Id="rId42" Type="http://schemas.openxmlformats.org/officeDocument/2006/relationships/hyperlink" Target="https://publications.qld.gov.au/dataset/agbiz-tools-plants-vegetables/resource/cb917e46-dcd8-4510-b7ee-1ed2a8fc1a42" TargetMode="External"/><Relationship Id="rId47" Type="http://schemas.openxmlformats.org/officeDocument/2006/relationships/chart" Target="charts/chart3.xml"/><Relationship Id="rId50" Type="http://schemas.openxmlformats.org/officeDocument/2006/relationships/hyperlink" Target="http://www.agriculture.gov.au/ag-farm-food/innovation/priorities"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fish.gov.au/report/41-MUD-CRABS-2016" TargetMode="External"/><Relationship Id="rId25" Type="http://schemas.openxmlformats.org/officeDocument/2006/relationships/image" Target="media/image6.png"/><Relationship Id="rId33" Type="http://schemas.openxmlformats.org/officeDocument/2006/relationships/hyperlink" Target="http://www.mdpi.com/2077-0472/5/3/778/htm" TargetMode="External"/><Relationship Id="rId38" Type="http://schemas.openxmlformats.org/officeDocument/2006/relationships/hyperlink" Target="https://www.youtube.com/user/QldAgriculture/videos" TargetMode="External"/><Relationship Id="rId46" Type="http://schemas.openxmlformats.org/officeDocument/2006/relationships/hyperlink" Target="http://www.chiefscientist.qld.gov.au/images/documents/chiefscientist/pubs/reports-" TargetMode="External"/><Relationship Id="rId2" Type="http://schemas.openxmlformats.org/officeDocument/2006/relationships/numbering" Target="numbering.xml"/><Relationship Id="rId16" Type="http://schemas.openxmlformats.org/officeDocument/2006/relationships/hyperlink" Target="http://www.agriculture.gov.au/ag-farm-food/innovation/priorities" TargetMode="External"/><Relationship Id="rId20" Type="http://schemas.openxmlformats.org/officeDocument/2006/relationships/image" Target="media/image5.emf"/><Relationship Id="rId29" Type="http://schemas.openxmlformats.org/officeDocument/2006/relationships/hyperlink" Target="http://dairyinfo.biz/wp-content/uploads/2014/10/The_Northern_Dairy_Industry_factsheet.pdf" TargetMode="External"/><Relationship Id="rId41" Type="http://schemas.openxmlformats.org/officeDocument/2006/relationships/hyperlink" Target="http://www.ruralrdc.com.au/wp-content/uploads/2016/04/CRRDC-Impact-Assessment-Guidelines-V.1-070514.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cience.gov.au/scienceGov/ScienceAndResearchPriorities/Pages/default.aspx" TargetMode="External"/><Relationship Id="rId32" Type="http://schemas.openxmlformats.org/officeDocument/2006/relationships/hyperlink" Target="http://dairyinfo.biz/wp-" TargetMode="External"/><Relationship Id="rId37" Type="http://schemas.openxmlformats.org/officeDocument/2006/relationships/hyperlink" Target="http://dairyinfo.biz/wp-content/uploads/2014/10/NDI_SP_Aug_2010_Final.pdf" TargetMode="External"/><Relationship Id="rId40" Type="http://schemas.openxmlformats.org/officeDocument/2006/relationships/chart" Target="charts/chart2.xml"/><Relationship Id="rId45" Type="http://schemas.openxmlformats.org/officeDocument/2006/relationships/hyperlink" Target="http://science.gov.au/scienceGov/ScienceAndResearchPriorities/Pages/default.aspx"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ruralrdc.com.au/wp-content/uploads/2016/04/CRRDC-Impact-Assessment-Guidelines-V.1-070514.pdf" TargetMode="External"/><Relationship Id="rId23" Type="http://schemas.openxmlformats.org/officeDocument/2006/relationships/hyperlink" Target="http://horticulture.com.au/wp-content/uploads/2016/10/Hort-Innovation-Annual-" TargetMode="External"/><Relationship Id="rId28" Type="http://schemas.openxmlformats.org/officeDocument/2006/relationships/hyperlink" Target="http://pandora.nla.gov.au/pan/30839/20161004-0002/16.6.pdf" TargetMode="External"/><Relationship Id="rId36" Type="http://schemas.openxmlformats.org/officeDocument/2006/relationships/hyperlink" Target="http://www.parliament.qld.gov.au/documents/committees/AEC/2016/13-FairMilkPriceLogos2016/trns-ph-1Mar2017.pdf" TargetMode="External"/><Relationship Id="rId49" Type="http://schemas.openxmlformats.org/officeDocument/2006/relationships/hyperlink" Target="https://www.daf.qld.gov.au/plants/fruit-and-vegetables/fruit-and-nuts/stonefruit/harvesting-and-yields" TargetMode="External"/><Relationship Id="rId10" Type="http://schemas.openxmlformats.org/officeDocument/2006/relationships/footer" Target="footer3.xml"/><Relationship Id="rId19" Type="http://schemas.openxmlformats.org/officeDocument/2006/relationships/hyperlink" Target="http://science.gov.au/scienceGov/ScienceAndResearchPriorities/Pages/default.aspx" TargetMode="External"/><Relationship Id="rId31" Type="http://schemas.openxmlformats.org/officeDocument/2006/relationships/hyperlink" Target="http://dairyinfo.biz/wp-content/uploads/2014/11/Tropical_feedbase_manual.pdf" TargetMode="External"/><Relationship Id="rId44" Type="http://schemas.openxmlformats.org/officeDocument/2006/relationships/hyperlink" Target="http://horticulture.com.au/wp-content/uploads/2016/10/Hort-Innovation-Annual-" TargetMode="External"/><Relationship Id="rId52" Type="http://schemas.openxmlformats.org/officeDocument/2006/relationships/hyperlink" Target="http://science.gov.au/scienceGov/ScienceAndResearchPriorities/Pages/default.asp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hyperlink" Target="http://www.agriculture.gov.au/ag-farm-food/innovation/priorities" TargetMode="External"/><Relationship Id="rId27" Type="http://schemas.openxmlformats.org/officeDocument/2006/relationships/image" Target="media/image7.png"/><Relationship Id="rId30" Type="http://schemas.openxmlformats.org/officeDocument/2006/relationships/hyperlink" Target="http://www.agriculture.gov.au/ag-farm-food/innovation/priorities" TargetMode="External"/><Relationship Id="rId35" Type="http://schemas.openxmlformats.org/officeDocument/2006/relationships/hyperlink" Target="http://www.chiefscientist.qld.gov.au/images/documents/chiefscientist/pubs/reports-other/qld-science-n-research-priorities-2015-2016.pdf" TargetMode="External"/><Relationship Id="rId43" Type="http://schemas.openxmlformats.org/officeDocument/2006/relationships/hyperlink" Target="http://www.agriculture.gov.au/ag-farm-food/innovation/priorities" TargetMode="External"/><Relationship Id="rId48" Type="http://schemas.openxmlformats.org/officeDocument/2006/relationships/hyperlink" Target="http://www.ruralrdc.com.au/wp-content/uploads/2016/04/CRRDC-Impact-Assessment-Guidelines-V.1-070514.pdf" TargetMode="External"/><Relationship Id="rId8" Type="http://schemas.openxmlformats.org/officeDocument/2006/relationships/footer" Target="footer1.xml"/><Relationship Id="rId51" Type="http://schemas.openxmlformats.org/officeDocument/2006/relationships/hyperlink" Target="http://horticulture.com.au/wp-content/uploads/2016/10/Hort-Innovation-Annua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Peter-HPPC\Agtrans%20Data\QDAF%206%20Assessments%202017\Cotton\Working%20Files\170602%20CBA%20for%20DAQ1401%20(draft)%20with%20MIRR%20(comments%20incorpora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hael\Documents\AgEconPlus\PROJECTS\PROJECTS%2017\AEP%20405%20QDAF%20Economic%20Evaluations\Sweet%20Potato\Report\170705%20DAF%20Sweet%20Potato%20Impact%20Assess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eter-HPPC\Agtrans%20Data\QDAF%206%20Assessments%202017\Plums\Working%20files\20170613%20Plum%20breeding%20(adjusted%20graph%20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'CBA DAF Cotton'!$A$262</c:f>
              <c:strCache>
                <c:ptCount val="1"/>
                <c:pt idx="0">
                  <c:v>Net Benefits</c:v>
                </c:pt>
              </c:strCache>
            </c:strRef>
          </c:tx>
          <c:spPr>
            <a:ln w="28575" cap="rnd">
              <a:solidFill>
                <a:schemeClr val="accent1"/>
              </a:solidFill>
              <a:round/>
            </a:ln>
            <a:effectLst/>
          </c:spPr>
          <c:marker>
            <c:symbol val="none"/>
          </c:marker>
          <c:cat>
            <c:numRef>
              <c:f>'CBA DAF Cotton'!$D$2:$AK$2</c:f>
              <c:numCache>
                <c:formatCode>General</c:formatCode>
                <c:ptCount val="34"/>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numCache>
            </c:numRef>
          </c:cat>
          <c:val>
            <c:numRef>
              <c:f>'CBA DAF Cotton'!$D$262:$AK$262</c:f>
              <c:numCache>
                <c:formatCode>_(* #,##0.00_);_(* \(#,##0.00\);_(* "-"??_);_(@_)</c:formatCode>
                <c:ptCount val="34"/>
                <c:pt idx="0">
                  <c:v>0</c:v>
                </c:pt>
                <c:pt idx="1">
                  <c:v>0</c:v>
                </c:pt>
                <c:pt idx="2">
                  <c:v>0</c:v>
                </c:pt>
                <c:pt idx="3">
                  <c:v>0</c:v>
                </c:pt>
                <c:pt idx="4">
                  <c:v>0.831366195050946</c:v>
                </c:pt>
                <c:pt idx="5">
                  <c:v>2.4507092292767489</c:v>
                </c:pt>
                <c:pt idx="6">
                  <c:v>3.8000754243276953</c:v>
                </c:pt>
                <c:pt idx="7">
                  <c:v>3.8000754243276953</c:v>
                </c:pt>
                <c:pt idx="8">
                  <c:v>3.8000754243276953</c:v>
                </c:pt>
                <c:pt idx="9">
                  <c:v>3.5300985851528384</c:v>
                </c:pt>
                <c:pt idx="10">
                  <c:v>3.5300985851528384</c:v>
                </c:pt>
                <c:pt idx="11">
                  <c:v>2.6987323901018923</c:v>
                </c:pt>
                <c:pt idx="12">
                  <c:v>1.3493661950509463</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numCache>
            </c:numRef>
          </c:val>
          <c:smooth val="0"/>
          <c:extLst xmlns:c16r2="http://schemas.microsoft.com/office/drawing/2015/06/chart">
            <c:ext xmlns:c16="http://schemas.microsoft.com/office/drawing/2014/chart" uri="{C3380CC4-5D6E-409C-BE32-E72D297353CC}">
              <c16:uniqueId val="{00000000-5E19-4CD6-A6CF-7FFDACCC8F25}"/>
            </c:ext>
          </c:extLst>
        </c:ser>
        <c:ser>
          <c:idx val="1"/>
          <c:order val="1"/>
          <c:tx>
            <c:strRef>
              <c:f>'CBA DAF Cotton'!$A$263</c:f>
              <c:strCache>
                <c:ptCount val="1"/>
                <c:pt idx="0">
                  <c:v>Investment Costs</c:v>
                </c:pt>
              </c:strCache>
            </c:strRef>
          </c:tx>
          <c:spPr>
            <a:ln w="28575" cap="rnd">
              <a:solidFill>
                <a:schemeClr val="accent2"/>
              </a:solidFill>
              <a:round/>
            </a:ln>
            <a:effectLst/>
          </c:spPr>
          <c:marker>
            <c:symbol val="none"/>
          </c:marker>
          <c:cat>
            <c:numRef>
              <c:f>'CBA DAF Cotton'!$D$2:$AK$2</c:f>
              <c:numCache>
                <c:formatCode>General</c:formatCode>
                <c:ptCount val="34"/>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numCache>
            </c:numRef>
          </c:cat>
          <c:val>
            <c:numRef>
              <c:f>'CBA DAF Cotton'!$D$263:$AK$263</c:f>
              <c:numCache>
                <c:formatCode>_(* #,##0.00_);_(* \(#,##0.00\);_(* "-"??_);_(@_)</c:formatCode>
                <c:ptCount val="34"/>
                <c:pt idx="0">
                  <c:v>0.32749884191156903</c:v>
                </c:pt>
                <c:pt idx="1">
                  <c:v>0.33936442767649894</c:v>
                </c:pt>
                <c:pt idx="2">
                  <c:v>0.30498102511741992</c:v>
                </c:pt>
                <c:pt idx="3">
                  <c:v>0.10806306199394035</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numCache>
            </c:numRef>
          </c:val>
          <c:smooth val="0"/>
          <c:extLst xmlns:c16r2="http://schemas.microsoft.com/office/drawing/2015/06/chart">
            <c:ext xmlns:c16="http://schemas.microsoft.com/office/drawing/2014/chart" uri="{C3380CC4-5D6E-409C-BE32-E72D297353CC}">
              <c16:uniqueId val="{00000001-5E19-4CD6-A6CF-7FFDACCC8F25}"/>
            </c:ext>
          </c:extLst>
        </c:ser>
        <c:dLbls>
          <c:showLegendKey val="0"/>
          <c:showVal val="0"/>
          <c:showCatName val="0"/>
          <c:showSerName val="0"/>
          <c:showPercent val="0"/>
          <c:showBubbleSize val="0"/>
        </c:dLbls>
        <c:smooth val="0"/>
        <c:axId val="409150384"/>
        <c:axId val="409149600"/>
      </c:lineChart>
      <c:catAx>
        <c:axId val="409150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149600"/>
        <c:crosses val="autoZero"/>
        <c:auto val="1"/>
        <c:lblAlgn val="ctr"/>
        <c:lblOffset val="100"/>
        <c:noMultiLvlLbl val="0"/>
      </c:catAx>
      <c:valAx>
        <c:axId val="4091496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million</a:t>
                </a:r>
              </a:p>
            </c:rich>
          </c:tx>
          <c:layout>
            <c:manualLayout>
              <c:xMode val="edge"/>
              <c:yMode val="edge"/>
              <c:x val="2.2222222222222223E-2"/>
              <c:y val="0.410918270632837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out"/>
        <c:minorTickMark val="out"/>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150384"/>
        <c:crosses val="autoZero"/>
        <c:crossBetween val="midCat"/>
        <c:majorUnit val="0.25"/>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0593044345447"/>
          <c:y val="5.4395562002345535E-2"/>
          <c:w val="0.81142340505975363"/>
          <c:h val="0.78330427134127523"/>
        </c:manualLayout>
      </c:layout>
      <c:lineChart>
        <c:grouping val="standard"/>
        <c:varyColors val="0"/>
        <c:ser>
          <c:idx val="0"/>
          <c:order val="0"/>
          <c:tx>
            <c:strRef>
              <c:f>'Sweet Potato'!$K$107</c:f>
              <c:strCache>
                <c:ptCount val="1"/>
                <c:pt idx="0">
                  <c:v>Gross Benefits</c:v>
                </c:pt>
              </c:strCache>
            </c:strRef>
          </c:tx>
          <c:cat>
            <c:strRef>
              <c:f>'Sweet Potato'!$L$106:$BI$106</c:f>
              <c:strCache>
                <c:ptCount val="4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pt idx="27">
                  <c:v>2025</c:v>
                </c:pt>
                <c:pt idx="28">
                  <c:v>2026</c:v>
                </c:pt>
                <c:pt idx="29">
                  <c:v>2027</c:v>
                </c:pt>
                <c:pt idx="30">
                  <c:v>2028</c:v>
                </c:pt>
                <c:pt idx="31">
                  <c:v>2029</c:v>
                </c:pt>
                <c:pt idx="32">
                  <c:v>2030</c:v>
                </c:pt>
                <c:pt idx="33">
                  <c:v>2031</c:v>
                </c:pt>
                <c:pt idx="34">
                  <c:v>2032</c:v>
                </c:pt>
                <c:pt idx="35">
                  <c:v>2033</c:v>
                </c:pt>
                <c:pt idx="36">
                  <c:v>2034</c:v>
                </c:pt>
                <c:pt idx="37">
                  <c:v>2035</c:v>
                </c:pt>
                <c:pt idx="38">
                  <c:v>2036</c:v>
                </c:pt>
                <c:pt idx="39">
                  <c:v>2037</c:v>
                </c:pt>
                <c:pt idx="40">
                  <c:v>2038</c:v>
                </c:pt>
                <c:pt idx="41">
                  <c:v>2039</c:v>
                </c:pt>
                <c:pt idx="42">
                  <c:v>2040</c:v>
                </c:pt>
                <c:pt idx="43">
                  <c:v>2041</c:v>
                </c:pt>
              </c:strCache>
            </c:strRef>
          </c:cat>
          <c:val>
            <c:numRef>
              <c:f>'Sweet Potato'!$L$107:$BI$107</c:f>
              <c:numCache>
                <c:formatCode>#,##0.00</c:formatCode>
                <c:ptCount val="50"/>
                <c:pt idx="0">
                  <c:v>0</c:v>
                </c:pt>
                <c:pt idx="1">
                  <c:v>0</c:v>
                </c:pt>
                <c:pt idx="2">
                  <c:v>5.6165024999999995E-3</c:v>
                </c:pt>
                <c:pt idx="3">
                  <c:v>0.28701550500000012</c:v>
                </c:pt>
                <c:pt idx="4">
                  <c:v>0.5684145075</c:v>
                </c:pt>
                <c:pt idx="5">
                  <c:v>0.84981351000000005</c:v>
                </c:pt>
                <c:pt idx="6">
                  <c:v>1.1312125124999999</c:v>
                </c:pt>
                <c:pt idx="7">
                  <c:v>1.4126115149999994</c:v>
                </c:pt>
                <c:pt idx="8">
                  <c:v>1.6940105174999995</c:v>
                </c:pt>
                <c:pt idx="9">
                  <c:v>1.9835829278999995</c:v>
                </c:pt>
                <c:pt idx="10">
                  <c:v>2.2733799984000003</c:v>
                </c:pt>
                <c:pt idx="11">
                  <c:v>2.5634017290000011</c:v>
                </c:pt>
                <c:pt idx="12">
                  <c:v>2.8536481197000008</c:v>
                </c:pt>
                <c:pt idx="13">
                  <c:v>3.1441191705000011</c:v>
                </c:pt>
                <c:pt idx="14">
                  <c:v>3.4348148814000012</c:v>
                </c:pt>
                <c:pt idx="15">
                  <c:v>3.7257352524000016</c:v>
                </c:pt>
                <c:pt idx="16">
                  <c:v>4.0168802835000017</c:v>
                </c:pt>
                <c:pt idx="17">
                  <c:v>4.3082499747000016</c:v>
                </c:pt>
                <c:pt idx="18">
                  <c:v>4.5998443260000021</c:v>
                </c:pt>
                <c:pt idx="19">
                  <c:v>4.6568981025000005</c:v>
                </c:pt>
                <c:pt idx="20">
                  <c:v>4.7516360850000003</c:v>
                </c:pt>
                <c:pt idx="21">
                  <c:v>4.8418236562499999</c:v>
                </c:pt>
                <c:pt idx="22">
                  <c:v>4.8435528750000003</c:v>
                </c:pt>
                <c:pt idx="23">
                  <c:v>4.8435528750000003</c:v>
                </c:pt>
                <c:pt idx="24">
                  <c:v>4.8435528750000003</c:v>
                </c:pt>
                <c:pt idx="25">
                  <c:v>4.8435528750000003</c:v>
                </c:pt>
                <c:pt idx="26">
                  <c:v>4.8435528750000003</c:v>
                </c:pt>
                <c:pt idx="27">
                  <c:v>4.8435528750000003</c:v>
                </c:pt>
                <c:pt idx="28">
                  <c:v>4.8435528750000003</c:v>
                </c:pt>
                <c:pt idx="29">
                  <c:v>4.8435528750000003</c:v>
                </c:pt>
                <c:pt idx="30">
                  <c:v>4.8435528750000003</c:v>
                </c:pt>
                <c:pt idx="31">
                  <c:v>4.8435528750000003</c:v>
                </c:pt>
                <c:pt idx="32">
                  <c:v>4.8435528750000003</c:v>
                </c:pt>
                <c:pt idx="33">
                  <c:v>4.8435528750000003</c:v>
                </c:pt>
                <c:pt idx="34">
                  <c:v>4.8435528750000003</c:v>
                </c:pt>
                <c:pt idx="35">
                  <c:v>4.8435528750000003</c:v>
                </c:pt>
                <c:pt idx="36">
                  <c:v>4.8435528750000003</c:v>
                </c:pt>
                <c:pt idx="37">
                  <c:v>4.8435528750000003</c:v>
                </c:pt>
                <c:pt idx="38">
                  <c:v>4.8435528750000003</c:v>
                </c:pt>
                <c:pt idx="39">
                  <c:v>4.8435528750000003</c:v>
                </c:pt>
                <c:pt idx="40">
                  <c:v>4.8435528750000003</c:v>
                </c:pt>
                <c:pt idx="41">
                  <c:v>4.8435528750000003</c:v>
                </c:pt>
                <c:pt idx="42">
                  <c:v>4.8435528750000003</c:v>
                </c:pt>
                <c:pt idx="43">
                  <c:v>4.8435528750000003</c:v>
                </c:pt>
              </c:numCache>
            </c:numRef>
          </c:val>
          <c:smooth val="0"/>
          <c:extLst xmlns:c16r2="http://schemas.microsoft.com/office/drawing/2015/06/chart">
            <c:ext xmlns:c16="http://schemas.microsoft.com/office/drawing/2014/chart" uri="{C3380CC4-5D6E-409C-BE32-E72D297353CC}">
              <c16:uniqueId val="{00000000-FB5C-43EF-B168-E986307309C8}"/>
            </c:ext>
          </c:extLst>
        </c:ser>
        <c:ser>
          <c:idx val="1"/>
          <c:order val="1"/>
          <c:tx>
            <c:strRef>
              <c:f>'Sweet Potato'!$K$108</c:f>
              <c:strCache>
                <c:ptCount val="1"/>
                <c:pt idx="0">
                  <c:v>Investment costs</c:v>
                </c:pt>
              </c:strCache>
            </c:strRef>
          </c:tx>
          <c:cat>
            <c:strRef>
              <c:f>'Sweet Potato'!$L$106:$BI$106</c:f>
              <c:strCache>
                <c:ptCount val="4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pt idx="27">
                  <c:v>2025</c:v>
                </c:pt>
                <c:pt idx="28">
                  <c:v>2026</c:v>
                </c:pt>
                <c:pt idx="29">
                  <c:v>2027</c:v>
                </c:pt>
                <c:pt idx="30">
                  <c:v>2028</c:v>
                </c:pt>
                <c:pt idx="31">
                  <c:v>2029</c:v>
                </c:pt>
                <c:pt idx="32">
                  <c:v>2030</c:v>
                </c:pt>
                <c:pt idx="33">
                  <c:v>2031</c:v>
                </c:pt>
                <c:pt idx="34">
                  <c:v>2032</c:v>
                </c:pt>
                <c:pt idx="35">
                  <c:v>2033</c:v>
                </c:pt>
                <c:pt idx="36">
                  <c:v>2034</c:v>
                </c:pt>
                <c:pt idx="37">
                  <c:v>2035</c:v>
                </c:pt>
                <c:pt idx="38">
                  <c:v>2036</c:v>
                </c:pt>
                <c:pt idx="39">
                  <c:v>2037</c:v>
                </c:pt>
                <c:pt idx="40">
                  <c:v>2038</c:v>
                </c:pt>
                <c:pt idx="41">
                  <c:v>2039</c:v>
                </c:pt>
                <c:pt idx="42">
                  <c:v>2040</c:v>
                </c:pt>
                <c:pt idx="43">
                  <c:v>2041</c:v>
                </c:pt>
              </c:strCache>
            </c:strRef>
          </c:cat>
          <c:val>
            <c:numRef>
              <c:f>'Sweet Potato'!$L$108:$BI$108</c:f>
              <c:numCache>
                <c:formatCode>#,##0.00</c:formatCode>
                <c:ptCount val="50"/>
                <c:pt idx="0">
                  <c:v>0.25456469494290379</c:v>
                </c:pt>
                <c:pt idx="1">
                  <c:v>0.24762588818181819</c:v>
                </c:pt>
                <c:pt idx="2">
                  <c:v>0.24680046389857369</c:v>
                </c:pt>
                <c:pt idx="3">
                  <c:v>0</c:v>
                </c:pt>
                <c:pt idx="4">
                  <c:v>0.46497519188235292</c:v>
                </c:pt>
                <c:pt idx="5">
                  <c:v>0.65593260462196867</c:v>
                </c:pt>
                <c:pt idx="6">
                  <c:v>0.65937497635359121</c:v>
                </c:pt>
                <c:pt idx="7">
                  <c:v>0.63661155685752335</c:v>
                </c:pt>
                <c:pt idx="8">
                  <c:v>0.65679497084917615</c:v>
                </c:pt>
                <c:pt idx="9">
                  <c:v>1.6842829571014493</c:v>
                </c:pt>
                <c:pt idx="10">
                  <c:v>1.4230192048036954</c:v>
                </c:pt>
                <c:pt idx="11">
                  <c:v>1.1632973978854626</c:v>
                </c:pt>
                <c:pt idx="12">
                  <c:v>0.95315594248366009</c:v>
                </c:pt>
                <c:pt idx="13">
                  <c:v>1.3717076242299797</c:v>
                </c:pt>
                <c:pt idx="14">
                  <c:v>1.1274768569014082</c:v>
                </c:pt>
                <c:pt idx="15">
                  <c:v>0.85318733679758318</c:v>
                </c:pt>
                <c:pt idx="16">
                  <c:v>0.84863737882820256</c:v>
                </c:pt>
                <c:pt idx="17">
                  <c:v>0.62228983152000006</c:v>
                </c:pt>
                <c:pt idx="18">
                  <c:v>0.5330489317269077</c:v>
                </c:pt>
                <c:pt idx="19">
                  <c:v>0.54643436000000001</c:v>
                </c:pt>
                <c:pt idx="20">
                  <c:v>0.29860024000000002</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numCache>
            </c:numRef>
          </c:val>
          <c:smooth val="0"/>
          <c:extLst xmlns:c16r2="http://schemas.microsoft.com/office/drawing/2015/06/chart">
            <c:ext xmlns:c16="http://schemas.microsoft.com/office/drawing/2014/chart" uri="{C3380CC4-5D6E-409C-BE32-E72D297353CC}">
              <c16:uniqueId val="{00000001-FB5C-43EF-B168-E986307309C8}"/>
            </c:ext>
          </c:extLst>
        </c:ser>
        <c:dLbls>
          <c:showLegendKey val="0"/>
          <c:showVal val="0"/>
          <c:showCatName val="0"/>
          <c:showSerName val="0"/>
          <c:showPercent val="0"/>
          <c:showBubbleSize val="0"/>
        </c:dLbls>
        <c:marker val="1"/>
        <c:smooth val="0"/>
        <c:axId val="459434848"/>
        <c:axId val="459434456"/>
      </c:lineChart>
      <c:catAx>
        <c:axId val="459434848"/>
        <c:scaling>
          <c:orientation val="minMax"/>
        </c:scaling>
        <c:delete val="0"/>
        <c:axPos val="b"/>
        <c:numFmt formatCode="General" sourceLinked="0"/>
        <c:majorTickMark val="none"/>
        <c:minorTickMark val="none"/>
        <c:tickLblPos val="nextTo"/>
        <c:crossAx val="459434456"/>
        <c:crosses val="autoZero"/>
        <c:auto val="1"/>
        <c:lblAlgn val="ctr"/>
        <c:lblOffset val="100"/>
        <c:noMultiLvlLbl val="0"/>
      </c:catAx>
      <c:valAx>
        <c:axId val="459434456"/>
        <c:scaling>
          <c:orientation val="minMax"/>
        </c:scaling>
        <c:delete val="0"/>
        <c:axPos val="l"/>
        <c:majorGridlines/>
        <c:title>
          <c:tx>
            <c:rich>
              <a:bodyPr/>
              <a:lstStyle/>
              <a:p>
                <a:pPr>
                  <a:defRPr/>
                </a:pPr>
                <a:r>
                  <a:rPr lang="en-US"/>
                  <a:t>$' million</a:t>
                </a:r>
              </a:p>
            </c:rich>
          </c:tx>
          <c:overlay val="0"/>
        </c:title>
        <c:numFmt formatCode="#,##0.00" sourceLinked="1"/>
        <c:majorTickMark val="none"/>
        <c:minorTickMark val="none"/>
        <c:tickLblPos val="nextTo"/>
        <c:crossAx val="459434848"/>
        <c:crosses val="autoZero"/>
        <c:crossBetween val="between"/>
      </c:valAx>
    </c:plotArea>
    <c:legend>
      <c:legendPos val="r"/>
      <c:layout>
        <c:manualLayout>
          <c:xMode val="edge"/>
          <c:yMode val="edge"/>
          <c:x val="0.54897637795275589"/>
          <c:y val="0.27912127337818654"/>
          <c:w val="0.27565827757960315"/>
          <c:h val="0.17719045120671564"/>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1824213863363"/>
          <c:y val="5.3526620479119422E-2"/>
          <c:w val="0.74555867476459081"/>
          <c:h val="0.76406948240338701"/>
        </c:manualLayout>
      </c:layout>
      <c:lineChart>
        <c:grouping val="standard"/>
        <c:varyColors val="0"/>
        <c:ser>
          <c:idx val="1"/>
          <c:order val="1"/>
          <c:tx>
            <c:v>R&amp;D Costs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BASE!$E$3:$BL$3</c:f>
              <c:numCache>
                <c:formatCode>General</c:formatCode>
                <c:ptCount val="6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pt idx="40">
                  <c:v>2021</c:v>
                </c:pt>
                <c:pt idx="41">
                  <c:v>2022</c:v>
                </c:pt>
                <c:pt idx="42">
                  <c:v>2023</c:v>
                </c:pt>
                <c:pt idx="43">
                  <c:v>2024</c:v>
                </c:pt>
                <c:pt idx="44">
                  <c:v>2025</c:v>
                </c:pt>
                <c:pt idx="45">
                  <c:v>2026</c:v>
                </c:pt>
                <c:pt idx="46">
                  <c:v>2027</c:v>
                </c:pt>
                <c:pt idx="47">
                  <c:v>2028</c:v>
                </c:pt>
                <c:pt idx="48">
                  <c:v>2029</c:v>
                </c:pt>
                <c:pt idx="49">
                  <c:v>2030</c:v>
                </c:pt>
                <c:pt idx="50">
                  <c:v>2031</c:v>
                </c:pt>
                <c:pt idx="51">
                  <c:v>2032</c:v>
                </c:pt>
                <c:pt idx="52">
                  <c:v>2033</c:v>
                </c:pt>
                <c:pt idx="53">
                  <c:v>2034</c:v>
                </c:pt>
                <c:pt idx="54">
                  <c:v>2035</c:v>
                </c:pt>
                <c:pt idx="55">
                  <c:v>2036</c:v>
                </c:pt>
                <c:pt idx="56">
                  <c:v>2037</c:v>
                </c:pt>
              </c:numCache>
            </c:numRef>
          </c:cat>
          <c:val>
            <c:numRef>
              <c:f>BASE!$E$102:$BL$102</c:f>
              <c:numCache>
                <c:formatCode>#,##0.00</c:formatCode>
                <c:ptCount val="60"/>
                <c:pt idx="0">
                  <c:v>0.16145790715502559</c:v>
                </c:pt>
                <c:pt idx="1">
                  <c:v>0.16091908392857143</c:v>
                </c:pt>
                <c:pt idx="2">
                  <c:v>0.15348745563770796</c:v>
                </c:pt>
                <c:pt idx="3">
                  <c:v>0.14941546230323116</c:v>
                </c:pt>
                <c:pt idx="4">
                  <c:v>0.16788379523809524</c:v>
                </c:pt>
                <c:pt idx="5">
                  <c:v>0.17081004626865673</c:v>
                </c:pt>
                <c:pt idx="6">
                  <c:v>0.16661140116279069</c:v>
                </c:pt>
                <c:pt idx="7">
                  <c:v>0.16124942537960957</c:v>
                </c:pt>
                <c:pt idx="8">
                  <c:v>0.15557566607142859</c:v>
                </c:pt>
                <c:pt idx="9">
                  <c:v>0.15359541308411218</c:v>
                </c:pt>
                <c:pt idx="10">
                  <c:v>0.16463205898366606</c:v>
                </c:pt>
                <c:pt idx="11">
                  <c:v>0.30610825352678578</c:v>
                </c:pt>
                <c:pt idx="12">
                  <c:v>0.29936212121010641</c:v>
                </c:pt>
                <c:pt idx="13">
                  <c:v>0.31067317239631587</c:v>
                </c:pt>
                <c:pt idx="14">
                  <c:v>0.4973441003259006</c:v>
                </c:pt>
                <c:pt idx="15">
                  <c:v>0.48389275906780943</c:v>
                </c:pt>
                <c:pt idx="16">
                  <c:v>0.47750473584579212</c:v>
                </c:pt>
                <c:pt idx="17">
                  <c:v>0.50634405220228396</c:v>
                </c:pt>
                <c:pt idx="18">
                  <c:v>0.40686875649350651</c:v>
                </c:pt>
                <c:pt idx="19">
                  <c:v>0.39719675752773376</c:v>
                </c:pt>
                <c:pt idx="20">
                  <c:v>8.2894493192133142E-2</c:v>
                </c:pt>
                <c:pt idx="21">
                  <c:v>8.0578323529411758E-2</c:v>
                </c:pt>
                <c:pt idx="22">
                  <c:v>0.1611667617689016</c:v>
                </c:pt>
                <c:pt idx="23">
                  <c:v>0.16106966850828733</c:v>
                </c:pt>
                <c:pt idx="24">
                  <c:v>0.13215571238348869</c:v>
                </c:pt>
                <c:pt idx="25">
                  <c:v>5.9658707224334605E-2</c:v>
                </c:pt>
                <c:pt idx="26">
                  <c:v>6.0006956521739138E-2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extLst xmlns:c16r2="http://schemas.microsoft.com/office/drawing/2015/06/chart">
            <c:ext xmlns:c16="http://schemas.microsoft.com/office/drawing/2014/chart" uri="{C3380CC4-5D6E-409C-BE32-E72D297353CC}">
              <c16:uniqueId val="{00000000-9525-4E58-8E51-61FF086B36F8}"/>
            </c:ext>
          </c:extLst>
        </c:ser>
        <c:dLbls>
          <c:showLegendKey val="0"/>
          <c:showVal val="0"/>
          <c:showCatName val="0"/>
          <c:showSerName val="0"/>
          <c:showPercent val="0"/>
          <c:showBubbleSize val="0"/>
        </c:dLbls>
        <c:marker val="1"/>
        <c:smooth val="0"/>
        <c:axId val="409149992"/>
        <c:axId val="458109960"/>
      </c:lineChart>
      <c:lineChart>
        <c:grouping val="standard"/>
        <c:varyColors val="0"/>
        <c:ser>
          <c:idx val="0"/>
          <c:order val="0"/>
          <c:tx>
            <c:v>Benefits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BASE!$E$3:$BL$3</c:f>
              <c:numCache>
                <c:formatCode>General</c:formatCode>
                <c:ptCount val="6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pt idx="40">
                  <c:v>2021</c:v>
                </c:pt>
                <c:pt idx="41">
                  <c:v>2022</c:v>
                </c:pt>
                <c:pt idx="42">
                  <c:v>2023</c:v>
                </c:pt>
                <c:pt idx="43">
                  <c:v>2024</c:v>
                </c:pt>
                <c:pt idx="44">
                  <c:v>2025</c:v>
                </c:pt>
                <c:pt idx="45">
                  <c:v>2026</c:v>
                </c:pt>
                <c:pt idx="46">
                  <c:v>2027</c:v>
                </c:pt>
                <c:pt idx="47">
                  <c:v>2028</c:v>
                </c:pt>
                <c:pt idx="48">
                  <c:v>2029</c:v>
                </c:pt>
                <c:pt idx="49">
                  <c:v>2030</c:v>
                </c:pt>
                <c:pt idx="50">
                  <c:v>2031</c:v>
                </c:pt>
                <c:pt idx="51">
                  <c:v>2032</c:v>
                </c:pt>
                <c:pt idx="52">
                  <c:v>2033</c:v>
                </c:pt>
                <c:pt idx="53">
                  <c:v>2034</c:v>
                </c:pt>
                <c:pt idx="54">
                  <c:v>2035</c:v>
                </c:pt>
                <c:pt idx="55">
                  <c:v>2036</c:v>
                </c:pt>
                <c:pt idx="56">
                  <c:v>2037</c:v>
                </c:pt>
              </c:numCache>
            </c:numRef>
          </c:cat>
          <c:val>
            <c:numRef>
              <c:f>BASE!$E$101:$BL$101</c:f>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-1.2516</c:v>
                </c:pt>
                <c:pt idx="30">
                  <c:v>-6.0839489999999996</c:v>
                </c:pt>
                <c:pt idx="31">
                  <c:v>-3.6187290000000001</c:v>
                </c:pt>
                <c:pt idx="32">
                  <c:v>-1.8652874999999995</c:v>
                </c:pt>
                <c:pt idx="33">
                  <c:v>4.6526832000000011</c:v>
                </c:pt>
                <c:pt idx="34">
                  <c:v>4.5829746000000027</c:v>
                </c:pt>
                <c:pt idx="35">
                  <c:v>-5.4166247999999984</c:v>
                </c:pt>
                <c:pt idx="36">
                  <c:v>-2.276524799999998</c:v>
                </c:pt>
                <c:pt idx="37">
                  <c:v>-4.674157799999997</c:v>
                </c:pt>
                <c:pt idx="38">
                  <c:v>9.8614842000000067</c:v>
                </c:pt>
                <c:pt idx="39">
                  <c:v>13.133158200000009</c:v>
                </c:pt>
                <c:pt idx="40">
                  <c:v>21.13805820000001</c:v>
                </c:pt>
                <c:pt idx="41">
                  <c:v>23.973058200000011</c:v>
                </c:pt>
                <c:pt idx="42">
                  <c:v>26.808058200000012</c:v>
                </c:pt>
                <c:pt idx="43">
                  <c:v>26.808058200000012</c:v>
                </c:pt>
                <c:pt idx="44">
                  <c:v>26.808058200000012</c:v>
                </c:pt>
                <c:pt idx="45">
                  <c:v>26.808058200000012</c:v>
                </c:pt>
                <c:pt idx="46">
                  <c:v>26.808058200000012</c:v>
                </c:pt>
                <c:pt idx="47">
                  <c:v>26.808058200000012</c:v>
                </c:pt>
                <c:pt idx="48">
                  <c:v>26.808058200000012</c:v>
                </c:pt>
                <c:pt idx="49">
                  <c:v>26.808058200000012</c:v>
                </c:pt>
                <c:pt idx="50">
                  <c:v>26.808058200000012</c:v>
                </c:pt>
                <c:pt idx="51">
                  <c:v>26.808058200000012</c:v>
                </c:pt>
                <c:pt idx="52">
                  <c:v>26.808058200000012</c:v>
                </c:pt>
                <c:pt idx="53">
                  <c:v>26.808058200000012</c:v>
                </c:pt>
                <c:pt idx="54">
                  <c:v>26.808058200000012</c:v>
                </c:pt>
                <c:pt idx="55">
                  <c:v>26.808058200000012</c:v>
                </c:pt>
                <c:pt idx="56">
                  <c:v>26.808058200000012</c:v>
                </c:pt>
              </c:numCache>
            </c:numRef>
          </c:val>
          <c:smooth val="0"/>
          <c:extLst xmlns:c16r2="http://schemas.microsoft.com/office/drawing/2015/06/chart">
            <c:ext xmlns:c16="http://schemas.microsoft.com/office/drawing/2014/chart" uri="{C3380CC4-5D6E-409C-BE32-E72D297353CC}">
              <c16:uniqueId val="{00000001-9525-4E58-8E51-61FF086B36F8}"/>
            </c:ext>
          </c:extLst>
        </c:ser>
        <c:dLbls>
          <c:showLegendKey val="0"/>
          <c:showVal val="0"/>
          <c:showCatName val="0"/>
          <c:showSerName val="0"/>
          <c:showPercent val="0"/>
          <c:showBubbleSize val="0"/>
        </c:dLbls>
        <c:marker val="1"/>
        <c:smooth val="0"/>
        <c:axId val="494242216"/>
        <c:axId val="494241824"/>
      </c:lineChart>
      <c:catAx>
        <c:axId val="409149992"/>
        <c:scaling>
          <c:orientation val="minMax"/>
        </c:scaling>
        <c:delete val="0"/>
        <c:axPos val="b"/>
        <c:title>
          <c:tx>
            <c:rich>
              <a:bodyPr/>
              <a:lstStyle/>
              <a:p>
                <a:pPr>
                  <a:defRPr/>
                </a:pPr>
                <a:r>
                  <a:rPr lang="en-US"/>
                  <a:t>Year</a:t>
                </a:r>
              </a:p>
            </c:rich>
          </c:tx>
          <c:layout>
            <c:manualLayout>
              <c:xMode val="edge"/>
              <c:yMode val="edge"/>
              <c:x val="0.48668326496856851"/>
              <c:y val="0.90056193357509717"/>
            </c:manualLayout>
          </c:layout>
          <c:overlay val="0"/>
        </c:title>
        <c:numFmt formatCode="General" sourceLinked="1"/>
        <c:majorTickMark val="out"/>
        <c:minorTickMark val="none"/>
        <c:tickLblPos val="nextTo"/>
        <c:spPr>
          <a:noFill/>
          <a:ln w="9525" cap="flat" cmpd="sng" algn="ctr">
            <a:solidFill>
              <a:sysClr val="windowText" lastClr="000000">
                <a:lumMod val="15000"/>
                <a:lumOff val="85000"/>
              </a:sysClr>
            </a:solidFill>
            <a:round/>
          </a:ln>
          <a:effectLst/>
        </c:spPr>
        <c:txPr>
          <a:bodyPr rot="54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458109960"/>
        <c:crosses val="autoZero"/>
        <c:auto val="1"/>
        <c:lblAlgn val="ctr"/>
        <c:lblOffset val="100"/>
        <c:noMultiLvlLbl val="0"/>
      </c:catAx>
      <c:valAx>
        <c:axId val="458109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R&amp;D</a:t>
                </a:r>
                <a:r>
                  <a:rPr lang="en-AU" baseline="0"/>
                  <a:t> Costs ($m)</a:t>
                </a:r>
                <a:endParaRPr lang="en-AU"/>
              </a:p>
            </c:rich>
          </c:tx>
          <c:layout>
            <c:manualLayout>
              <c:xMode val="edge"/>
              <c:yMode val="edge"/>
              <c:x val="2.058201067432492E-2"/>
              <c:y val="0.35821228453313564"/>
            </c:manualLayout>
          </c:layout>
          <c:overlay val="0"/>
        </c:title>
        <c:numFmt formatCode="#,##0.00" sourceLinked="1"/>
        <c:majorTickMark val="out"/>
        <c:minorTickMark val="none"/>
        <c:tickLblPos val="nextTo"/>
        <c:spPr>
          <a:noFill/>
          <a:ln>
            <a:solidFill>
              <a:sysClr val="windowText" lastClr="000000">
                <a:lumMod val="15000"/>
                <a:lumOff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149992"/>
        <c:crosses val="autoZero"/>
        <c:crossBetween val="midCat"/>
      </c:valAx>
      <c:valAx>
        <c:axId val="494241824"/>
        <c:scaling>
          <c:orientation val="minMax"/>
        </c:scaling>
        <c:delete val="0"/>
        <c:axPos val="r"/>
        <c:title>
          <c:tx>
            <c:rich>
              <a:bodyPr/>
              <a:lstStyle/>
              <a:p>
                <a:pPr>
                  <a:defRPr/>
                </a:pPr>
                <a:r>
                  <a:rPr lang="en-AU"/>
                  <a:t>Benefits ($m)</a:t>
                </a:r>
              </a:p>
            </c:rich>
          </c:tx>
          <c:layout>
            <c:manualLayout>
              <c:xMode val="edge"/>
              <c:yMode val="edge"/>
              <c:x val="0.95069815807701641"/>
              <c:y val="0.33070972998604181"/>
            </c:manualLayout>
          </c:layout>
          <c:overlay val="0"/>
        </c:title>
        <c:numFmt formatCode="#,##0.00" sourceLinked="1"/>
        <c:majorTickMark val="out"/>
        <c:minorTickMark val="none"/>
        <c:tickLblPos val="nextTo"/>
        <c:spPr>
          <a:ln>
            <a:solidFill>
              <a:sysClr val="window" lastClr="FFFFFF">
                <a:lumMod val="85000"/>
              </a:sysClr>
            </a:solidFill>
          </a:ln>
        </c:spPr>
        <c:crossAx val="494242216"/>
        <c:crosses val="max"/>
        <c:crossBetween val="between"/>
      </c:valAx>
      <c:catAx>
        <c:axId val="494242216"/>
        <c:scaling>
          <c:orientation val="minMax"/>
        </c:scaling>
        <c:delete val="1"/>
        <c:axPos val="b"/>
        <c:numFmt formatCode="General" sourceLinked="1"/>
        <c:majorTickMark val="out"/>
        <c:minorTickMark val="none"/>
        <c:tickLblPos val="nextTo"/>
        <c:crossAx val="494241824"/>
        <c:crosses val="autoZero"/>
        <c:auto val="1"/>
        <c:lblAlgn val="ctr"/>
        <c:lblOffset val="100"/>
        <c:noMultiLvlLbl val="0"/>
      </c:catAx>
    </c:plotArea>
    <c:legend>
      <c:legendPos val="b"/>
      <c:layout>
        <c:manualLayout>
          <c:xMode val="edge"/>
          <c:yMode val="edge"/>
          <c:x val="0.345612238310672"/>
          <c:y val="0.93256957384143779"/>
          <c:w val="0.30877552337865588"/>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nchor="b" anchorCtr="1"/>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3B2E8-6C7C-4DC9-A004-EF6C9799A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51774</Words>
  <Characters>295118</Characters>
  <Application>Microsoft Office Word</Application>
  <DocSecurity>0</DocSecurity>
  <Lines>2459</Lines>
  <Paragraphs>692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Clarke</dc:creator>
  <cp:lastModifiedBy>HALL Wayne</cp:lastModifiedBy>
  <cp:revision>2</cp:revision>
  <cp:lastPrinted>2017-08-08T20:57:00Z</cp:lastPrinted>
  <dcterms:created xsi:type="dcterms:W3CDTF">2017-08-15T08:35:00Z</dcterms:created>
  <dcterms:modified xsi:type="dcterms:W3CDTF">2017-08-15T08:35:00Z</dcterms:modified>
</cp:coreProperties>
</file>