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1EF51" w14:textId="625973A9" w:rsidR="00617E3B" w:rsidRPr="00FA03CA" w:rsidRDefault="002E3E30" w:rsidP="008C21AF">
      <w:pPr>
        <w:spacing w:before="120" w:line="360" w:lineRule="auto"/>
        <w:jc w:val="both"/>
        <w:rPr>
          <w:rFonts w:eastAsia="Cambria"/>
          <w:b/>
          <w:bCs/>
          <w:szCs w:val="20"/>
          <w:lang w:val="en-US"/>
        </w:rPr>
      </w:pPr>
      <w:bookmarkStart w:id="0" w:name="_GoBack"/>
      <w:bookmarkEnd w:id="0"/>
      <w:r w:rsidRPr="00FA03CA">
        <w:rPr>
          <w:rFonts w:eastAsia="Cambria"/>
          <w:b/>
          <w:bCs/>
          <w:szCs w:val="20"/>
          <w:lang w:val="en-US"/>
        </w:rPr>
        <w:t xml:space="preserve">Supplementary Material </w:t>
      </w:r>
      <w:r w:rsidR="00617E3B" w:rsidRPr="00FA03CA">
        <w:rPr>
          <w:rFonts w:eastAsia="Cambria"/>
          <w:b/>
          <w:bCs/>
          <w:szCs w:val="20"/>
          <w:lang w:val="en-US"/>
        </w:rPr>
        <w:t>Appendix A: Method to predict continental carp biomass</w:t>
      </w:r>
    </w:p>
    <w:p w14:paraId="1C870315" w14:textId="4BC5F878" w:rsidR="00450E25" w:rsidRPr="00FA03CA" w:rsidRDefault="00450E25" w:rsidP="008C21AF">
      <w:pPr>
        <w:spacing w:before="120" w:line="360" w:lineRule="auto"/>
        <w:jc w:val="both"/>
        <w:rPr>
          <w:rFonts w:eastAsia="Cambria"/>
          <w:szCs w:val="20"/>
          <w:lang w:val="en-US"/>
        </w:rPr>
      </w:pPr>
      <w:r w:rsidRPr="00FA03CA">
        <w:rPr>
          <w:rFonts w:eastAsia="Cambria"/>
          <w:szCs w:val="20"/>
          <w:lang w:val="en-US"/>
        </w:rPr>
        <w:t xml:space="preserve">Carp biomass was estimated by using models that linked historic and contemporary catch data with catch efficiency rates for different aquatic habitat types. </w:t>
      </w:r>
      <w:r w:rsidR="00617E3B" w:rsidRPr="00FA03CA">
        <w:rPr>
          <w:rFonts w:eastAsia="Cambria"/>
          <w:szCs w:val="20"/>
          <w:lang w:val="en-US"/>
        </w:rPr>
        <w:t>T</w:t>
      </w:r>
      <w:r w:rsidRPr="00FA03CA">
        <w:rPr>
          <w:rFonts w:eastAsia="Cambria"/>
          <w:szCs w:val="20"/>
          <w:lang w:val="en-US"/>
        </w:rPr>
        <w:t xml:space="preserve">he </w:t>
      </w:r>
      <w:r w:rsidR="004F612D" w:rsidRPr="00FA03CA">
        <w:rPr>
          <w:rFonts w:eastAsia="Cambria"/>
          <w:szCs w:val="20"/>
          <w:lang w:val="en-US"/>
        </w:rPr>
        <w:t>eight</w:t>
      </w:r>
      <w:r w:rsidR="005B5880" w:rsidRPr="00FA03CA">
        <w:rPr>
          <w:rFonts w:eastAsia="Cambria"/>
          <w:szCs w:val="20"/>
          <w:lang w:val="en-US"/>
        </w:rPr>
        <w:t>-</w:t>
      </w:r>
      <w:r w:rsidR="00617E3B" w:rsidRPr="00FA03CA">
        <w:rPr>
          <w:rFonts w:eastAsia="Cambria"/>
          <w:szCs w:val="20"/>
          <w:lang w:val="en-US"/>
        </w:rPr>
        <w:t xml:space="preserve">step </w:t>
      </w:r>
      <w:r w:rsidRPr="00FA03CA">
        <w:rPr>
          <w:rFonts w:eastAsia="Cambria"/>
          <w:szCs w:val="20"/>
          <w:lang w:val="en-US"/>
        </w:rPr>
        <w:t xml:space="preserve">methodological approach </w:t>
      </w:r>
      <w:r w:rsidR="00617E3B" w:rsidRPr="00FA03CA">
        <w:rPr>
          <w:rFonts w:eastAsia="Cambria"/>
          <w:szCs w:val="20"/>
          <w:lang w:val="en-US"/>
        </w:rPr>
        <w:t xml:space="preserve">for rivers, wetlands, lakes and </w:t>
      </w:r>
      <w:r w:rsidR="00167883" w:rsidRPr="00FA03CA">
        <w:rPr>
          <w:rFonts w:eastAsia="Cambria"/>
          <w:szCs w:val="20"/>
          <w:lang w:val="en-US"/>
        </w:rPr>
        <w:t xml:space="preserve">storages (i.e. including </w:t>
      </w:r>
      <w:r w:rsidR="00617E3B" w:rsidRPr="00FA03CA">
        <w:rPr>
          <w:rFonts w:eastAsia="Cambria"/>
          <w:szCs w:val="20"/>
          <w:lang w:val="en-US"/>
        </w:rPr>
        <w:t>impound</w:t>
      </w:r>
      <w:r w:rsidR="00B20A3C" w:rsidRPr="00FA03CA">
        <w:rPr>
          <w:rFonts w:eastAsia="Cambria"/>
          <w:szCs w:val="20"/>
          <w:lang w:val="en-US"/>
        </w:rPr>
        <w:t>ment</w:t>
      </w:r>
      <w:r w:rsidR="00167883" w:rsidRPr="00FA03CA">
        <w:rPr>
          <w:rFonts w:eastAsia="Cambria"/>
          <w:szCs w:val="20"/>
          <w:lang w:val="en-US"/>
        </w:rPr>
        <w:t>s and</w:t>
      </w:r>
      <w:r w:rsidR="00B20A3C" w:rsidRPr="00FA03CA">
        <w:rPr>
          <w:rFonts w:eastAsia="Cambria"/>
          <w:szCs w:val="20"/>
          <w:lang w:val="en-US"/>
        </w:rPr>
        <w:t xml:space="preserve"> reservoirs) </w:t>
      </w:r>
      <w:r w:rsidR="00617E3B" w:rsidRPr="00FA03CA">
        <w:rPr>
          <w:rFonts w:eastAsia="Cambria"/>
          <w:szCs w:val="20"/>
          <w:lang w:val="en-US"/>
        </w:rPr>
        <w:t>is summari</w:t>
      </w:r>
      <w:r w:rsidR="00C75474" w:rsidRPr="00FA03CA">
        <w:rPr>
          <w:rFonts w:eastAsia="Cambria"/>
          <w:szCs w:val="20"/>
          <w:lang w:val="en-US"/>
        </w:rPr>
        <w:t>s</w:t>
      </w:r>
      <w:r w:rsidR="00617E3B" w:rsidRPr="00FA03CA">
        <w:rPr>
          <w:rFonts w:eastAsia="Cambria"/>
          <w:szCs w:val="20"/>
          <w:lang w:val="en-US"/>
        </w:rPr>
        <w:t xml:space="preserve">ed in </w:t>
      </w:r>
      <w:r w:rsidR="00D22239" w:rsidRPr="00FA03CA">
        <w:rPr>
          <w:rFonts w:eastAsia="Cambria"/>
          <w:szCs w:val="20"/>
          <w:lang w:val="en-US"/>
        </w:rPr>
        <w:t xml:space="preserve">Supplementary </w:t>
      </w:r>
      <w:r w:rsidR="00617E3B" w:rsidRPr="00FA03CA">
        <w:rPr>
          <w:rFonts w:eastAsia="Cambria"/>
          <w:szCs w:val="20"/>
          <w:lang w:val="en-US"/>
        </w:rPr>
        <w:t xml:space="preserve">Table </w:t>
      </w:r>
      <w:r w:rsidR="00D17443" w:rsidRPr="00FA03CA">
        <w:rPr>
          <w:rFonts w:eastAsia="Cambria"/>
          <w:szCs w:val="20"/>
          <w:lang w:val="en-US"/>
        </w:rPr>
        <w:t xml:space="preserve">A1, with major methodological assumptions recapped in </w:t>
      </w:r>
      <w:r w:rsidR="00D22239" w:rsidRPr="00FA03CA">
        <w:rPr>
          <w:rFonts w:eastAsia="Cambria"/>
          <w:szCs w:val="20"/>
          <w:lang w:val="en-US"/>
        </w:rPr>
        <w:t xml:space="preserve">Supplementary </w:t>
      </w:r>
      <w:r w:rsidR="00D17443" w:rsidRPr="00FA03CA">
        <w:rPr>
          <w:rFonts w:eastAsia="Cambria"/>
          <w:szCs w:val="20"/>
          <w:lang w:val="en-US"/>
        </w:rPr>
        <w:t>Table A2,</w:t>
      </w:r>
      <w:r w:rsidR="00617E3B" w:rsidRPr="00FA03CA">
        <w:rPr>
          <w:rFonts w:eastAsia="Cambria"/>
          <w:szCs w:val="20"/>
          <w:lang w:val="en-US"/>
        </w:rPr>
        <w:t xml:space="preserve"> and further details </w:t>
      </w:r>
      <w:r w:rsidR="00D17443" w:rsidRPr="00FA03CA">
        <w:rPr>
          <w:rFonts w:eastAsia="Cambria"/>
          <w:szCs w:val="20"/>
          <w:lang w:val="en-US"/>
        </w:rPr>
        <w:t>below</w:t>
      </w:r>
      <w:r w:rsidR="00617E3B" w:rsidRPr="00FA03CA">
        <w:rPr>
          <w:rFonts w:eastAsia="Cambria"/>
          <w:szCs w:val="20"/>
          <w:lang w:val="en-US"/>
        </w:rPr>
        <w:t>.</w:t>
      </w:r>
      <w:r w:rsidRPr="00FA03CA">
        <w:rPr>
          <w:rFonts w:eastAsia="Cambria"/>
          <w:szCs w:val="20"/>
          <w:lang w:val="en-US"/>
        </w:rPr>
        <w:t xml:space="preserve"> </w:t>
      </w:r>
    </w:p>
    <w:p w14:paraId="2589C376" w14:textId="77777777" w:rsidR="00450E25" w:rsidRPr="00FA03CA" w:rsidRDefault="00450E25" w:rsidP="008C21AF">
      <w:pPr>
        <w:spacing w:before="120" w:line="360" w:lineRule="auto"/>
        <w:jc w:val="both"/>
        <w:rPr>
          <w:rFonts w:eastAsia="Cambria"/>
          <w:szCs w:val="20"/>
          <w:lang w:val="en-US"/>
        </w:rPr>
      </w:pPr>
    </w:p>
    <w:p w14:paraId="5A2DDDB2" w14:textId="78B19B91" w:rsidR="004F612D" w:rsidRPr="00FA03CA" w:rsidRDefault="004F612D" w:rsidP="004F612D">
      <w:pPr>
        <w:spacing w:before="120" w:line="360" w:lineRule="auto"/>
        <w:jc w:val="both"/>
        <w:rPr>
          <w:rFonts w:eastAsia="Cambria"/>
          <w:b/>
          <w:bCs/>
          <w:szCs w:val="20"/>
          <w:lang w:val="en-US"/>
        </w:rPr>
      </w:pPr>
      <w:r w:rsidRPr="00FA03CA">
        <w:rPr>
          <w:i/>
          <w:iCs/>
        </w:rPr>
        <w:t>Step 1: Classify aquatic habitat types and develop a map of carp-occupied habitats</w:t>
      </w:r>
    </w:p>
    <w:p w14:paraId="2C9ECADC" w14:textId="61B0F74E" w:rsidR="004F612D" w:rsidRPr="00FA03CA" w:rsidRDefault="004F612D" w:rsidP="004F612D">
      <w:pPr>
        <w:spacing w:line="360" w:lineRule="auto"/>
        <w:jc w:val="both"/>
      </w:pPr>
      <w:r w:rsidRPr="00FA03CA">
        <w:t xml:space="preserve">A map of aquatic habitats across the range of carp in Australia was built </w:t>
      </w:r>
      <w:r w:rsidR="00CD10A4" w:rsidRPr="00FA03CA">
        <w:t xml:space="preserve">using </w:t>
      </w:r>
      <w:r w:rsidR="00DE58D9" w:rsidRPr="00FA03CA">
        <w:t>GIS to</w:t>
      </w:r>
      <w:r w:rsidRPr="00FA03CA">
        <w:t xml:space="preserve"> integrate</w:t>
      </w:r>
      <w:r w:rsidR="00CD10A4" w:rsidRPr="00FA03CA">
        <w:t xml:space="preserve"> existing spatial data</w:t>
      </w:r>
      <w:r w:rsidR="00BF27D9" w:rsidRPr="00FA03CA">
        <w:t>,</w:t>
      </w:r>
      <w:r w:rsidR="00CD10A4" w:rsidRPr="00FA03CA">
        <w:t xml:space="preserve"> including </w:t>
      </w:r>
      <w:r w:rsidRPr="00FA03CA">
        <w:t xml:space="preserve">the </w:t>
      </w:r>
      <w:r w:rsidRPr="00FA03CA">
        <w:rPr>
          <w:rFonts w:eastAsia="Arial"/>
        </w:rPr>
        <w:t>Australian National Aquatic Ecosystem</w:t>
      </w:r>
      <w:r w:rsidR="00B720CD" w:rsidRPr="00FA03CA">
        <w:rPr>
          <w:rFonts w:eastAsia="Arial"/>
        </w:rPr>
        <w:t xml:space="preserve"> mapping of the Murray-Darling Basin, </w:t>
      </w:r>
      <w:r w:rsidR="00B720CD" w:rsidRPr="00FA03CA">
        <w:t xml:space="preserve">the Australian </w:t>
      </w:r>
      <w:r w:rsidRPr="00FA03CA">
        <w:t>Geofabric</w:t>
      </w:r>
      <w:r w:rsidR="00B720CD" w:rsidRPr="00FA03CA">
        <w:t>, and jurisdiction</w:t>
      </w:r>
      <w:r w:rsidR="00BF27D9" w:rsidRPr="00FA03CA">
        <w:t>al</w:t>
      </w:r>
      <w:r w:rsidR="00B720CD" w:rsidRPr="00FA03CA">
        <w:t xml:space="preserve"> wetland mapping (</w:t>
      </w:r>
      <w:r w:rsidRPr="00FA03CA">
        <w:t>Aquatic Ecosystems Task Group</w:t>
      </w:r>
      <w:r w:rsidR="00157FBB" w:rsidRPr="00FA03CA">
        <w:t>,</w:t>
      </w:r>
      <w:r w:rsidRPr="00FA03CA">
        <w:t xml:space="preserve"> 2012; BOM 2014; Brooks et al.</w:t>
      </w:r>
      <w:r w:rsidR="00157FBB" w:rsidRPr="00FA03CA">
        <w:t>,</w:t>
      </w:r>
      <w:r w:rsidRPr="00FA03CA">
        <w:t xml:space="preserve"> 2014</w:t>
      </w:r>
      <w:r w:rsidR="004D5606" w:rsidRPr="005D473B">
        <w:t>;</w:t>
      </w:r>
      <w:r w:rsidRPr="005D473B">
        <w:t xml:space="preserve"> </w:t>
      </w:r>
      <w:r w:rsidR="005B314F" w:rsidRPr="005D473B">
        <w:t xml:space="preserve">Brooks </w:t>
      </w:r>
      <w:r w:rsidRPr="005D473B">
        <w:t>2017</w:t>
      </w:r>
      <w:r w:rsidRPr="00FA03CA">
        <w:t>; Geosciences Australia</w:t>
      </w:r>
      <w:r w:rsidR="00157FBB" w:rsidRPr="00FA03CA">
        <w:t>,</w:t>
      </w:r>
      <w:r w:rsidRPr="00FA03CA">
        <w:t xml:space="preserve"> 2018).  </w:t>
      </w:r>
      <w:r w:rsidR="002E5277" w:rsidRPr="00FA03CA">
        <w:rPr>
          <w:rFonts w:eastAsia="Cambria"/>
          <w:szCs w:val="20"/>
        </w:rPr>
        <w:t xml:space="preserve">Where data gaps were identified, habitat area was estimated using imagery from Google Earth to measure the wetted channel width at 1,233 randomly selected locations across 28 irrigation districts.  The distribution of wetted widths and mapped length was then used to calculate the surface area of each channel.  </w:t>
      </w:r>
      <w:r w:rsidRPr="00FA03CA">
        <w:t xml:space="preserve">Two new GIS layers were developed: (i) rivers </w:t>
      </w:r>
      <w:r w:rsidR="00DE3A19" w:rsidRPr="00FA03CA">
        <w:t xml:space="preserve">(including estuaries) </w:t>
      </w:r>
      <w:r w:rsidRPr="00FA03CA">
        <w:t>and (ii) standing waterbodies</w:t>
      </w:r>
      <w:r w:rsidR="00BF27D9" w:rsidRPr="00FA03CA">
        <w:t>,</w:t>
      </w:r>
      <w:r w:rsidRPr="00FA03CA">
        <w:t xml:space="preserve"> that </w:t>
      </w:r>
      <w:r w:rsidR="00CD10A4" w:rsidRPr="00FA03CA">
        <w:t xml:space="preserve">each mapped </w:t>
      </w:r>
      <w:r w:rsidRPr="00FA03CA">
        <w:t xml:space="preserve">carp-occupied habitat and enabled an estimation of their surface areas.  </w:t>
      </w:r>
      <w:r w:rsidR="00431121" w:rsidRPr="00FA03CA">
        <w:t>Rivers were divided into Geofabric segments that typically represent</w:t>
      </w:r>
      <w:r w:rsidR="004D5606" w:rsidRPr="00FA03CA">
        <w:t>ed</w:t>
      </w:r>
      <w:r w:rsidR="00431121" w:rsidRPr="00FA03CA">
        <w:t xml:space="preserve"> sections between river junctions (BOM</w:t>
      </w:r>
      <w:r w:rsidR="00287615" w:rsidRPr="00FA03CA">
        <w:t>,</w:t>
      </w:r>
      <w:r w:rsidR="00431121" w:rsidRPr="00FA03CA">
        <w:t xml:space="preserve"> 2014).</w:t>
      </w:r>
    </w:p>
    <w:p w14:paraId="3EE910F0" w14:textId="220707FC" w:rsidR="004F612D" w:rsidRPr="00FA03CA" w:rsidRDefault="00CD10A4" w:rsidP="004F612D">
      <w:pPr>
        <w:spacing w:line="360" w:lineRule="auto"/>
        <w:jc w:val="both"/>
        <w:rPr>
          <w:rFonts w:eastAsia="Arial"/>
        </w:rPr>
      </w:pPr>
      <w:r w:rsidRPr="00FA03CA">
        <w:t>W</w:t>
      </w:r>
      <w:r w:rsidR="004F612D" w:rsidRPr="00FA03CA">
        <w:t xml:space="preserve">e categorised eight aquatic habitat types: (i) </w:t>
      </w:r>
      <w:r w:rsidR="00287615" w:rsidRPr="00FA03CA">
        <w:t>non-perennial rivers</w:t>
      </w:r>
      <w:r w:rsidR="004F612D" w:rsidRPr="00FA03CA">
        <w:t xml:space="preserve">, (ii) perennial rivers, (iii) waterholes, </w:t>
      </w:r>
      <w:r w:rsidR="00287615" w:rsidRPr="00FA03CA">
        <w:t xml:space="preserve">(iv) estuaries, </w:t>
      </w:r>
      <w:r w:rsidR="004F612D" w:rsidRPr="00FA03CA">
        <w:t xml:space="preserve">(v) lakes, (vi) storages, </w:t>
      </w:r>
      <w:r w:rsidR="00287615" w:rsidRPr="00FA03CA">
        <w:t xml:space="preserve">(vii) wetlands </w:t>
      </w:r>
      <w:r w:rsidR="004F612D" w:rsidRPr="00FA03CA">
        <w:t>and (viii) irrigation networks (</w:t>
      </w:r>
      <w:r w:rsidR="00D22239" w:rsidRPr="00FA03CA">
        <w:rPr>
          <w:rFonts w:eastAsia="Cambria"/>
          <w:szCs w:val="20"/>
          <w:lang w:val="en-US"/>
        </w:rPr>
        <w:t>Supplementary</w:t>
      </w:r>
      <w:r w:rsidR="00D22239" w:rsidRPr="00FA03CA">
        <w:t xml:space="preserve"> </w:t>
      </w:r>
      <w:r w:rsidR="004F612D" w:rsidRPr="00FA03CA">
        <w:t xml:space="preserve">Table A3). The </w:t>
      </w:r>
      <w:r w:rsidR="00230DF1" w:rsidRPr="00FA03CA">
        <w:t xml:space="preserve">area of each habitat type was considered to be </w:t>
      </w:r>
      <w:r w:rsidR="00132FAD" w:rsidRPr="00FA03CA">
        <w:t>indicative</w:t>
      </w:r>
      <w:r w:rsidR="00230DF1" w:rsidRPr="00FA03CA">
        <w:t xml:space="preserve"> of an </w:t>
      </w:r>
      <w:r w:rsidR="004F612D" w:rsidRPr="00FA03CA">
        <w:t>‘average’ hydrological year</w:t>
      </w:r>
      <w:r w:rsidR="00DE3A19" w:rsidRPr="00FA03CA">
        <w:t xml:space="preserve"> (Supplementary Table A2)</w:t>
      </w:r>
      <w:r w:rsidR="00230DF1" w:rsidRPr="00FA03CA">
        <w:t xml:space="preserve">.  </w:t>
      </w:r>
      <w:r w:rsidR="00132FAD" w:rsidRPr="00FA03CA">
        <w:t>A comparative carp biomass estimate for a ‘wet’ hydrological scenario was also modelled</w:t>
      </w:r>
      <w:r w:rsidR="00287615" w:rsidRPr="00FA03CA">
        <w:t>,</w:t>
      </w:r>
      <w:r w:rsidR="00230DF1" w:rsidRPr="00FA03CA">
        <w:t xml:space="preserve"> by including </w:t>
      </w:r>
      <w:r w:rsidR="00132FAD" w:rsidRPr="00FA03CA">
        <w:t>additional area of ephemeral floodplain lakes and wetlands</w:t>
      </w:r>
      <w:r w:rsidR="004F612D" w:rsidRPr="00FA03CA">
        <w:t xml:space="preserve"> (Todd et al.</w:t>
      </w:r>
      <w:r w:rsidR="00287615" w:rsidRPr="00FA03CA">
        <w:t>,</w:t>
      </w:r>
      <w:r w:rsidR="004F612D" w:rsidRPr="00FA03CA">
        <w:t xml:space="preserve"> 2019). </w:t>
      </w:r>
    </w:p>
    <w:p w14:paraId="50088202" w14:textId="77777777" w:rsidR="004F612D" w:rsidRPr="00FA03CA" w:rsidRDefault="004F612D" w:rsidP="004F612D">
      <w:pPr>
        <w:spacing w:line="360" w:lineRule="auto"/>
        <w:jc w:val="both"/>
      </w:pPr>
    </w:p>
    <w:p w14:paraId="71A3FDCC" w14:textId="08405E2F" w:rsidR="00617E3B" w:rsidRPr="00FA03CA" w:rsidRDefault="00617E3B" w:rsidP="00617E3B">
      <w:pPr>
        <w:spacing w:after="200" w:line="360" w:lineRule="auto"/>
        <w:jc w:val="both"/>
        <w:rPr>
          <w:bCs/>
          <w:i/>
          <w:iCs/>
        </w:rPr>
      </w:pPr>
      <w:r w:rsidRPr="00FA03CA">
        <w:rPr>
          <w:bCs/>
          <w:i/>
          <w:iCs/>
        </w:rPr>
        <w:t xml:space="preserve">Step </w:t>
      </w:r>
      <w:r w:rsidR="004F612D" w:rsidRPr="00FA03CA">
        <w:rPr>
          <w:bCs/>
          <w:i/>
          <w:iCs/>
        </w:rPr>
        <w:t>2</w:t>
      </w:r>
      <w:r w:rsidRPr="00FA03CA">
        <w:rPr>
          <w:bCs/>
          <w:i/>
          <w:iCs/>
        </w:rPr>
        <w:t xml:space="preserve">: </w:t>
      </w:r>
      <w:r w:rsidR="00DD7E90" w:rsidRPr="00FA03CA">
        <w:rPr>
          <w:bCs/>
          <w:i/>
          <w:iCs/>
        </w:rPr>
        <w:t>Assemble c</w:t>
      </w:r>
      <w:r w:rsidR="004F612D" w:rsidRPr="00FA03CA">
        <w:rPr>
          <w:bCs/>
          <w:i/>
          <w:iCs/>
        </w:rPr>
        <w:t xml:space="preserve">arp database and </w:t>
      </w:r>
      <w:r w:rsidR="00DD7E90" w:rsidRPr="00FA03CA">
        <w:rPr>
          <w:bCs/>
          <w:i/>
          <w:iCs/>
        </w:rPr>
        <w:t xml:space="preserve">undertake </w:t>
      </w:r>
      <w:r w:rsidR="004F612D" w:rsidRPr="00FA03CA">
        <w:rPr>
          <w:bCs/>
          <w:i/>
          <w:iCs/>
        </w:rPr>
        <w:t>contemporary sampling</w:t>
      </w:r>
    </w:p>
    <w:p w14:paraId="745F70DE" w14:textId="5ED7AD58" w:rsidR="00450E25" w:rsidRPr="00FA03CA" w:rsidRDefault="00976595" w:rsidP="00B72BB2">
      <w:pPr>
        <w:spacing w:line="360" w:lineRule="auto"/>
        <w:jc w:val="both"/>
      </w:pPr>
      <w:r w:rsidRPr="00FA03CA">
        <w:t xml:space="preserve">A </w:t>
      </w:r>
      <w:r w:rsidR="005C0807" w:rsidRPr="00FA03CA">
        <w:t xml:space="preserve">carp </w:t>
      </w:r>
      <w:r w:rsidRPr="00FA03CA">
        <w:t>database was compiled from the literature, jurisdiction</w:t>
      </w:r>
      <w:r w:rsidR="00DD7E90" w:rsidRPr="00FA03CA">
        <w:t>al</w:t>
      </w:r>
      <w:r w:rsidRPr="00FA03CA">
        <w:t xml:space="preserve"> databases and </w:t>
      </w:r>
      <w:r w:rsidR="005C0807" w:rsidRPr="00FA03CA">
        <w:t>from carp density records</w:t>
      </w:r>
      <w:r w:rsidRPr="00FA03CA">
        <w:t xml:space="preserve"> from wetland and lake management projects (e.g. lakes and wetlands that were temporarily drained to eliminate carp).  The resulting database </w:t>
      </w:r>
      <w:r w:rsidR="00617E3B" w:rsidRPr="00FA03CA">
        <w:t>comprised data from 153 projects and 4</w:t>
      </w:r>
      <w:r w:rsidR="00BB3D94" w:rsidRPr="00FA03CA">
        <w:t>831</w:t>
      </w:r>
      <w:r w:rsidR="00617E3B" w:rsidRPr="00FA03CA">
        <w:t xml:space="preserve"> individual sites</w:t>
      </w:r>
      <w:r w:rsidRPr="00FA03CA">
        <w:t xml:space="preserve"> collected over a 24</w:t>
      </w:r>
      <w:r w:rsidR="00807EC4" w:rsidRPr="00FA03CA">
        <w:t>-</w:t>
      </w:r>
      <w:r w:rsidRPr="00FA03CA">
        <w:t>year period</w:t>
      </w:r>
      <w:r w:rsidR="000F1EC9" w:rsidRPr="00FA03CA">
        <w:t xml:space="preserve"> in six Australian states and territories</w:t>
      </w:r>
      <w:r w:rsidRPr="00FA03CA">
        <w:t xml:space="preserve">.  </w:t>
      </w:r>
      <w:r w:rsidR="00807EC4" w:rsidRPr="00FA03CA">
        <w:t>D</w:t>
      </w:r>
      <w:r w:rsidRPr="00FA03CA">
        <w:t xml:space="preserve">ata </w:t>
      </w:r>
      <w:r w:rsidR="00617E3B" w:rsidRPr="00FA03CA">
        <w:t>included relative abundance (CPUE data from electrofishing</w:t>
      </w:r>
      <w:r w:rsidR="00C95E2E" w:rsidRPr="00FA03CA">
        <w:t>:</w:t>
      </w:r>
      <w:r w:rsidR="00617E3B" w:rsidRPr="00FA03CA">
        <w:t xml:space="preserve"> </w:t>
      </w:r>
      <w:r w:rsidR="00617E3B" w:rsidRPr="00FA03CA">
        <w:rPr>
          <w:i/>
          <w:iCs/>
        </w:rPr>
        <w:t>ef</w:t>
      </w:r>
      <w:r w:rsidR="00617E3B" w:rsidRPr="00FA03CA">
        <w:t>CPUE</w:t>
      </w:r>
      <w:r w:rsidR="007032C0" w:rsidRPr="00FA03CA">
        <w:t xml:space="preserve">, standardised to </w:t>
      </w:r>
      <w:r w:rsidR="00FC7384" w:rsidRPr="00FA03CA">
        <w:t>n</w:t>
      </w:r>
      <w:r w:rsidR="007032C0" w:rsidRPr="00FA03CA">
        <w:t>o/h</w:t>
      </w:r>
      <w:r w:rsidR="00617E3B" w:rsidRPr="00FA03CA">
        <w:t>), fish length (fork length; FL</w:t>
      </w:r>
      <w:r w:rsidR="00D75F1A" w:rsidRPr="00FA03CA">
        <w:t>, mm</w:t>
      </w:r>
      <w:r w:rsidR="00617E3B" w:rsidRPr="00FA03CA">
        <w:t xml:space="preserve">), </w:t>
      </w:r>
      <w:r w:rsidR="00115747" w:rsidRPr="00FA03CA">
        <w:t xml:space="preserve">individual </w:t>
      </w:r>
      <w:r w:rsidR="00617E3B" w:rsidRPr="00FA03CA">
        <w:t xml:space="preserve">mass (g), and </w:t>
      </w:r>
      <w:r w:rsidR="00DD7E90" w:rsidRPr="00FA03CA">
        <w:t xml:space="preserve">estimates of </w:t>
      </w:r>
      <w:r w:rsidR="005C0807" w:rsidRPr="00FA03CA">
        <w:t xml:space="preserve">absolute </w:t>
      </w:r>
      <w:r w:rsidR="00617E3B" w:rsidRPr="00FA03CA">
        <w:t>carp density (e.g. from wetland drying events and mark-recapture</w:t>
      </w:r>
      <w:r w:rsidR="00115747" w:rsidRPr="00FA03CA">
        <w:t xml:space="preserve"> data</w:t>
      </w:r>
      <w:r w:rsidR="00617E3B" w:rsidRPr="00FA03CA">
        <w:t xml:space="preserve">).  </w:t>
      </w:r>
      <w:r w:rsidR="006C372F" w:rsidRPr="00FA03CA">
        <w:t>These maps were then checked by jurisdictional experts to ensure accuracy and e</w:t>
      </w:r>
      <w:r w:rsidR="000F1EC9" w:rsidRPr="00FA03CA">
        <w:t xml:space="preserve">xamination of the spatial </w:t>
      </w:r>
      <w:r w:rsidR="00617E3B" w:rsidRPr="00FA03CA">
        <w:t xml:space="preserve">distribution of </w:t>
      </w:r>
      <w:r w:rsidR="000F1EC9" w:rsidRPr="00FA03CA">
        <w:t xml:space="preserve">carp </w:t>
      </w:r>
      <w:r w:rsidR="00617E3B" w:rsidRPr="00FA03CA">
        <w:t>data</w:t>
      </w:r>
      <w:r w:rsidR="000F1EC9" w:rsidRPr="00FA03CA">
        <w:t xml:space="preserve"> revealed some data</w:t>
      </w:r>
      <w:r w:rsidR="00DD7E90" w:rsidRPr="00FA03CA">
        <w:t>-</w:t>
      </w:r>
      <w:r w:rsidR="000F1EC9" w:rsidRPr="00FA03CA">
        <w:t xml:space="preserve">poor areas, </w:t>
      </w:r>
      <w:r w:rsidR="00617E3B" w:rsidRPr="00FA03CA">
        <w:t>particularly within estuarine habitats and in isolated far western rivers of Victoria and NSW</w:t>
      </w:r>
      <w:r w:rsidR="009441BD" w:rsidRPr="00FA03CA">
        <w:t xml:space="preserve">.  Hence, </w:t>
      </w:r>
      <w:r w:rsidR="009441BD" w:rsidRPr="00FA03CA">
        <w:lastRenderedPageBreak/>
        <w:t>contemporary sampling using the</w:t>
      </w:r>
      <w:r w:rsidR="00617E3B" w:rsidRPr="00FA03CA">
        <w:t xml:space="preserve"> </w:t>
      </w:r>
      <w:r w:rsidR="00157FBB" w:rsidRPr="00FA03CA">
        <w:t>Sustainable Rivers Audit (SRA)</w:t>
      </w:r>
      <w:r w:rsidR="00617E3B" w:rsidRPr="00FA03CA">
        <w:t xml:space="preserve"> </w:t>
      </w:r>
      <w:r w:rsidR="00115747" w:rsidRPr="00FA03CA">
        <w:t xml:space="preserve">boat electrofishing protocol </w:t>
      </w:r>
      <w:r w:rsidR="00617E3B" w:rsidRPr="00FA03CA">
        <w:t>(Davies et al.</w:t>
      </w:r>
      <w:r w:rsidR="00157FBB" w:rsidRPr="00FA03CA">
        <w:t>,</w:t>
      </w:r>
      <w:r w:rsidR="00617E3B" w:rsidRPr="00FA03CA">
        <w:t xml:space="preserve"> 2010) was undertaken to supplement the </w:t>
      </w:r>
      <w:r w:rsidR="000F1EC9" w:rsidRPr="00FA03CA">
        <w:t xml:space="preserve">catch </w:t>
      </w:r>
      <w:r w:rsidR="00617E3B" w:rsidRPr="00FA03CA">
        <w:t>database</w:t>
      </w:r>
      <w:r w:rsidR="00B72BB2" w:rsidRPr="00FA03CA">
        <w:t>.</w:t>
      </w:r>
    </w:p>
    <w:p w14:paraId="7D942094" w14:textId="77777777" w:rsidR="00B72BB2" w:rsidRPr="00FA03CA" w:rsidRDefault="00B72BB2" w:rsidP="009A3FBB">
      <w:pPr>
        <w:spacing w:after="200" w:line="360" w:lineRule="auto"/>
        <w:jc w:val="both"/>
        <w:rPr>
          <w:bCs/>
          <w:i/>
          <w:iCs/>
        </w:rPr>
      </w:pPr>
    </w:p>
    <w:p w14:paraId="1C7213B2" w14:textId="70DA30EE" w:rsidR="009A3FBB" w:rsidRPr="00FA03CA" w:rsidRDefault="00617E3B" w:rsidP="009A3FBB">
      <w:pPr>
        <w:spacing w:after="200" w:line="360" w:lineRule="auto"/>
        <w:jc w:val="both"/>
        <w:rPr>
          <w:bCs/>
          <w:i/>
          <w:iCs/>
        </w:rPr>
      </w:pPr>
      <w:r w:rsidRPr="00FA03CA">
        <w:rPr>
          <w:bCs/>
          <w:i/>
          <w:iCs/>
        </w:rPr>
        <w:t>Step 3:</w:t>
      </w:r>
      <w:r w:rsidR="009A3FBB" w:rsidRPr="00FA03CA">
        <w:rPr>
          <w:bCs/>
          <w:i/>
          <w:iCs/>
        </w:rPr>
        <w:t xml:space="preserve"> </w:t>
      </w:r>
      <w:r w:rsidR="00AB1538" w:rsidRPr="00FA03CA">
        <w:rPr>
          <w:bCs/>
          <w:i/>
          <w:iCs/>
        </w:rPr>
        <w:t>Model and m</w:t>
      </w:r>
      <w:r w:rsidR="004F612D" w:rsidRPr="00FA03CA">
        <w:rPr>
          <w:rFonts w:eastAsia="Arial"/>
          <w:i/>
        </w:rPr>
        <w:t xml:space="preserve">ap predicted </w:t>
      </w:r>
      <w:r w:rsidR="007032C0" w:rsidRPr="00FA03CA">
        <w:rPr>
          <w:rFonts w:eastAsia="Arial"/>
          <w:i/>
        </w:rPr>
        <w:t>ef</w:t>
      </w:r>
      <w:r w:rsidR="004F612D" w:rsidRPr="00FA03CA">
        <w:rPr>
          <w:rFonts w:eastAsia="Arial"/>
          <w:i/>
        </w:rPr>
        <w:t>CPUE and the average individual carp mass</w:t>
      </w:r>
      <w:r w:rsidR="004F612D" w:rsidRPr="00FA03CA">
        <w:rPr>
          <w:bCs/>
          <w:i/>
          <w:iCs/>
        </w:rPr>
        <w:t xml:space="preserve"> </w:t>
      </w:r>
    </w:p>
    <w:p w14:paraId="5F6A64CF" w14:textId="5D10D47D" w:rsidR="009A3FBB" w:rsidRPr="00FA03CA" w:rsidRDefault="00431121" w:rsidP="009A3FBB">
      <w:pPr>
        <w:spacing w:after="200" w:line="360" w:lineRule="auto"/>
        <w:jc w:val="both"/>
      </w:pPr>
      <w:r w:rsidRPr="00FA03CA">
        <w:t xml:space="preserve">Carp sampling locations were matched to the </w:t>
      </w:r>
      <w:r w:rsidR="000F1EC9" w:rsidRPr="00FA03CA">
        <w:t xml:space="preserve">habitat mapping </w:t>
      </w:r>
      <w:r w:rsidR="00AB1538" w:rsidRPr="00FA03CA">
        <w:t xml:space="preserve">by </w:t>
      </w:r>
      <w:r w:rsidR="000F1EC9" w:rsidRPr="00FA03CA">
        <w:t>using GIS</w:t>
      </w:r>
      <w:r w:rsidR="009A3FBB" w:rsidRPr="00FA03CA">
        <w:t xml:space="preserve">. For each </w:t>
      </w:r>
      <w:r w:rsidR="000F1EC9" w:rsidRPr="00FA03CA">
        <w:t xml:space="preserve">fish record, </w:t>
      </w:r>
      <w:r w:rsidR="009A3FBB" w:rsidRPr="00FA03CA">
        <w:t xml:space="preserve">the closest river </w:t>
      </w:r>
      <w:r w:rsidR="000F1EC9" w:rsidRPr="00FA03CA">
        <w:t xml:space="preserve">segment </w:t>
      </w:r>
      <w:r w:rsidR="009A3FBB" w:rsidRPr="00FA03CA">
        <w:t xml:space="preserve">(if a river site) or waterbody (if a waterbody site) </w:t>
      </w:r>
      <w:r w:rsidR="00810F6B" w:rsidRPr="00FA03CA">
        <w:t>within 500</w:t>
      </w:r>
      <w:r w:rsidR="00AB1538" w:rsidRPr="00FA03CA">
        <w:t xml:space="preserve"> </w:t>
      </w:r>
      <w:r w:rsidR="00810F6B" w:rsidRPr="00FA03CA">
        <w:t xml:space="preserve">m </w:t>
      </w:r>
      <w:r w:rsidR="00CD6291" w:rsidRPr="00FA03CA">
        <w:t>was identified</w:t>
      </w:r>
      <w:r w:rsidR="000F1EC9" w:rsidRPr="00FA03CA">
        <w:t xml:space="preserve">.  Fish catch records </w:t>
      </w:r>
      <w:r w:rsidRPr="00FA03CA">
        <w:t xml:space="preserve">with location data that mapped more than </w:t>
      </w:r>
      <w:r w:rsidR="000F1EC9" w:rsidRPr="00FA03CA">
        <w:t>500</w:t>
      </w:r>
      <w:r w:rsidR="00AB1538" w:rsidRPr="00FA03CA">
        <w:t xml:space="preserve"> </w:t>
      </w:r>
      <w:r w:rsidR="000F1EC9" w:rsidRPr="00FA03CA">
        <w:t xml:space="preserve">m from any mapped </w:t>
      </w:r>
      <w:r w:rsidRPr="00FA03CA">
        <w:t>habitat feature</w:t>
      </w:r>
      <w:r w:rsidR="000F1EC9" w:rsidRPr="00FA03CA">
        <w:t xml:space="preserve"> were excluded</w:t>
      </w:r>
      <w:r w:rsidRPr="00FA03CA">
        <w:t xml:space="preserve"> as they could not reliably be assigned to a habitat class</w:t>
      </w:r>
      <w:r w:rsidR="000F1EC9" w:rsidRPr="00FA03CA">
        <w:t>.</w:t>
      </w:r>
      <w:r w:rsidR="009A3FBB" w:rsidRPr="00FA03CA">
        <w:t xml:space="preserve"> Overall</w:t>
      </w:r>
      <w:r w:rsidR="00807EC4" w:rsidRPr="00FA03CA">
        <w:t>,</w:t>
      </w:r>
      <w:r w:rsidR="009A3FBB" w:rsidRPr="00FA03CA">
        <w:t xml:space="preserve"> there were 4</w:t>
      </w:r>
      <w:r w:rsidR="00BB3D94" w:rsidRPr="00FA03CA">
        <w:t>831</w:t>
      </w:r>
      <w:r w:rsidR="009A3FBB" w:rsidRPr="00FA03CA">
        <w:t xml:space="preserve"> sites in the database, and 73.8% were linked to an aquatic spatial object. </w:t>
      </w:r>
    </w:p>
    <w:p w14:paraId="0FAA4E8A" w14:textId="13220341" w:rsidR="009A3FBB" w:rsidRPr="00FA03CA" w:rsidRDefault="009A3FBB" w:rsidP="009A3FBB">
      <w:pPr>
        <w:spacing w:after="200" w:line="360" w:lineRule="auto"/>
        <w:jc w:val="both"/>
      </w:pPr>
      <w:r w:rsidRPr="00FA03CA">
        <w:t>For river sites</w:t>
      </w:r>
      <w:r w:rsidR="00CD6291" w:rsidRPr="00FA03CA">
        <w:t xml:space="preserve">, </w:t>
      </w:r>
      <w:r w:rsidRPr="00FA03CA">
        <w:t xml:space="preserve">two analyses </w:t>
      </w:r>
      <w:r w:rsidR="00CD6291" w:rsidRPr="00FA03CA">
        <w:t xml:space="preserve">were conducted </w:t>
      </w:r>
      <w:r w:rsidRPr="00FA03CA">
        <w:t xml:space="preserve">to predict </w:t>
      </w:r>
      <w:r w:rsidR="003251A5" w:rsidRPr="00FA03CA">
        <w:rPr>
          <w:i/>
          <w:iCs/>
        </w:rPr>
        <w:t>ef</w:t>
      </w:r>
      <w:r w:rsidRPr="00FA03CA">
        <w:t xml:space="preserve">CPUEs and average body mass of carp </w:t>
      </w:r>
      <w:r w:rsidR="00810F6B" w:rsidRPr="00FA03CA">
        <w:t xml:space="preserve">in </w:t>
      </w:r>
      <w:r w:rsidRPr="00FA03CA">
        <w:t xml:space="preserve">the </w:t>
      </w:r>
      <w:r w:rsidR="00810F6B" w:rsidRPr="00FA03CA">
        <w:t>mapped habitats</w:t>
      </w:r>
      <w:r w:rsidRPr="00FA03CA">
        <w:t xml:space="preserve">. For </w:t>
      </w:r>
      <w:r w:rsidR="003251A5" w:rsidRPr="00FA03CA">
        <w:rPr>
          <w:i/>
          <w:iCs/>
        </w:rPr>
        <w:t>ef</w:t>
      </w:r>
      <w:r w:rsidRPr="00FA03CA">
        <w:t>CPUE</w:t>
      </w:r>
      <w:r w:rsidR="00CD6291" w:rsidRPr="00FA03CA">
        <w:t xml:space="preserve">, </w:t>
      </w:r>
      <w:r w:rsidRPr="00FA03CA">
        <w:t xml:space="preserve">a boosted regression tree (BRT) approach </w:t>
      </w:r>
      <w:r w:rsidR="00CD6291" w:rsidRPr="00FA03CA">
        <w:t xml:space="preserve">was implemented </w:t>
      </w:r>
      <w:r w:rsidRPr="00FA03CA">
        <w:t>which uses machine learning to improve predictions (Elith et al.</w:t>
      </w:r>
      <w:r w:rsidR="00157FBB" w:rsidRPr="00FA03CA">
        <w:t>,</w:t>
      </w:r>
      <w:r w:rsidRPr="00FA03CA">
        <w:t xml:space="preserve"> 2008). The response variable was </w:t>
      </w:r>
      <w:r w:rsidRPr="00FA03CA">
        <w:rPr>
          <w:i/>
          <w:iCs/>
        </w:rPr>
        <w:t>ef</w:t>
      </w:r>
      <w:r w:rsidRPr="00FA03CA">
        <w:t>CPUE (</w:t>
      </w:r>
      <w:r w:rsidR="007032C0" w:rsidRPr="00FA03CA">
        <w:t>no/h</w:t>
      </w:r>
      <w:r w:rsidRPr="00FA03CA">
        <w:t xml:space="preserve">) for </w:t>
      </w:r>
      <w:r w:rsidR="000635A2" w:rsidRPr="00FA03CA">
        <w:t>c</w:t>
      </w:r>
      <w:r w:rsidRPr="00FA03CA">
        <w:t>arp &gt; 150 mm FL.  Predictor variables in the models were river attributes (relating to climate, flow, terrain), time (year and month) and major spatial region (Murray, Darling, Northern Basin (waterhole), Lachlan</w:t>
      </w:r>
      <w:r w:rsidR="000635A2" w:rsidRPr="00FA03CA">
        <w:t xml:space="preserve"> systems</w:t>
      </w:r>
      <w:r w:rsidRPr="00FA03CA">
        <w:t xml:space="preserve">, and </w:t>
      </w:r>
      <w:r w:rsidR="000635A2" w:rsidRPr="00FA03CA">
        <w:t>c</w:t>
      </w:r>
      <w:r w:rsidRPr="00FA03CA">
        <w:t>oastal areas</w:t>
      </w:r>
      <w:r w:rsidR="00D22239" w:rsidRPr="00FA03CA">
        <w:t>; Supplementary Table A4, Supplementary Fig</w:t>
      </w:r>
      <w:r w:rsidR="00CA4564" w:rsidRPr="00FA03CA">
        <w:t>.</w:t>
      </w:r>
      <w:r w:rsidR="00D22239" w:rsidRPr="00FA03CA">
        <w:t xml:space="preserve"> A1</w:t>
      </w:r>
      <w:r w:rsidRPr="00FA03CA">
        <w:t xml:space="preserve">).  </w:t>
      </w:r>
    </w:p>
    <w:p w14:paraId="1393C8D8" w14:textId="66147545" w:rsidR="009A3FBB" w:rsidRPr="00FA03CA" w:rsidRDefault="009A3FBB" w:rsidP="009A3FBB">
      <w:pPr>
        <w:spacing w:after="200" w:line="360" w:lineRule="auto"/>
        <w:jc w:val="both"/>
      </w:pPr>
      <w:r w:rsidRPr="00FA03CA">
        <w:t>For individual carp mass</w:t>
      </w:r>
      <w:r w:rsidR="00AB1538" w:rsidRPr="00FA03CA">
        <w:t xml:space="preserve"> in rivers</w:t>
      </w:r>
      <w:r w:rsidRPr="00FA03CA">
        <w:t xml:space="preserve">, a Bayesian general additive mixed model (bGAMM) </w:t>
      </w:r>
      <w:r w:rsidR="00CD6291" w:rsidRPr="00FA03CA">
        <w:t xml:space="preserve">was fitted </w:t>
      </w:r>
      <w:r w:rsidRPr="00FA03CA">
        <w:t xml:space="preserve">assuming a Gaussian distribution.  The response variable was the average mass of individual fish per survey (log-transformed; for </w:t>
      </w:r>
      <w:r w:rsidR="000635A2" w:rsidRPr="00FA03CA">
        <w:t>c</w:t>
      </w:r>
      <w:r w:rsidRPr="00FA03CA">
        <w:t xml:space="preserve">arp </w:t>
      </w:r>
      <w:r w:rsidR="00F66335" w:rsidRPr="00FA03CA">
        <w:t>≥</w:t>
      </w:r>
      <w:r w:rsidRPr="00FA03CA">
        <w:t xml:space="preserve"> 150 mm</w:t>
      </w:r>
      <w:r w:rsidR="00F66335" w:rsidRPr="00FA03CA">
        <w:t xml:space="preserve"> F</w:t>
      </w:r>
      <w:r w:rsidR="00157FBB" w:rsidRPr="00FA03CA">
        <w:t>L</w:t>
      </w:r>
      <w:r w:rsidRPr="00FA03CA">
        <w:t>, length was converted to mass).  The final model included</w:t>
      </w:r>
      <w:r w:rsidR="00AB1538" w:rsidRPr="00FA03CA">
        <w:t>:</w:t>
      </w:r>
      <w:r w:rsidRPr="00FA03CA">
        <w:t xml:space="preserve"> river attributes relating to climate, flow and terrain which were all continuous factors as splines</w:t>
      </w:r>
      <w:r w:rsidR="00AB1538" w:rsidRPr="00FA03CA">
        <w:t>;</w:t>
      </w:r>
      <w:r w:rsidRPr="00FA03CA">
        <w:t xml:space="preserve"> time as year and month also as splines</w:t>
      </w:r>
      <w:r w:rsidR="00AB1538" w:rsidRPr="00FA03CA">
        <w:t xml:space="preserve">; and </w:t>
      </w:r>
      <w:r w:rsidRPr="00FA03CA">
        <w:t xml:space="preserve">major spatial region as a fixed effect.  As yearly patterns may differ for different spatial regions, yearly trends were modelled for the major spatial regions and river basin </w:t>
      </w:r>
      <w:r w:rsidR="00AB1538" w:rsidRPr="00FA03CA">
        <w:t xml:space="preserve">was </w:t>
      </w:r>
      <w:r w:rsidRPr="00FA03CA">
        <w:t xml:space="preserve">included as a random effect. </w:t>
      </w:r>
      <w:r w:rsidR="00CD6291" w:rsidRPr="00FA03CA">
        <w:t xml:space="preserve"> </w:t>
      </w:r>
      <w:r w:rsidRPr="00FA03CA">
        <w:t xml:space="preserve">Site was also included as a random effect if there were repeated measures at multiple sites. The model for average </w:t>
      </w:r>
      <w:r w:rsidR="005B544B" w:rsidRPr="00FA03CA">
        <w:t xml:space="preserve">individual </w:t>
      </w:r>
      <w:r w:rsidRPr="00FA03CA">
        <w:t xml:space="preserve">fish mass also included </w:t>
      </w:r>
      <w:r w:rsidRPr="00FA03CA">
        <w:rPr>
          <w:i/>
          <w:iCs/>
        </w:rPr>
        <w:t>ef</w:t>
      </w:r>
      <w:r w:rsidRPr="00FA03CA">
        <w:t>CPUE as a predictor, because we expected a high</w:t>
      </w:r>
      <w:r w:rsidR="00AB1538" w:rsidRPr="00FA03CA">
        <w:t>er</w:t>
      </w:r>
      <w:r w:rsidRPr="00FA03CA">
        <w:t xml:space="preserve"> </w:t>
      </w:r>
      <w:r w:rsidRPr="00FA03CA">
        <w:rPr>
          <w:i/>
          <w:iCs/>
        </w:rPr>
        <w:t>ef</w:t>
      </w:r>
      <w:r w:rsidRPr="00FA03CA">
        <w:t>CPUE to reflect high recruitment and hence low average mass.</w:t>
      </w:r>
    </w:p>
    <w:p w14:paraId="278CCF9A" w14:textId="7636EE62" w:rsidR="009A3FBB" w:rsidRPr="00FA03CA" w:rsidRDefault="009A3FBB" w:rsidP="009A3FBB">
      <w:pPr>
        <w:spacing w:after="200" w:line="360" w:lineRule="auto"/>
        <w:jc w:val="both"/>
      </w:pPr>
      <w:r w:rsidRPr="00FA03CA">
        <w:t xml:space="preserve">For waterbodies, a similar approach was used in which bGLMM were conducted for both </w:t>
      </w:r>
      <w:r w:rsidR="003251A5" w:rsidRPr="00FA03CA">
        <w:rPr>
          <w:i/>
          <w:iCs/>
        </w:rPr>
        <w:t>ef</w:t>
      </w:r>
      <w:r w:rsidRPr="00FA03CA">
        <w:t xml:space="preserve">CPUE and average </w:t>
      </w:r>
      <w:r w:rsidR="005B544B" w:rsidRPr="00FA03CA">
        <w:t xml:space="preserve">individual </w:t>
      </w:r>
      <w:r w:rsidRPr="00FA03CA">
        <w:t>fish mass, except that the predictor variables were waterbody type (lake, storage, wetland</w:t>
      </w:r>
      <w:r w:rsidR="003251A5" w:rsidRPr="00FA03CA">
        <w:t>; fixed factors</w:t>
      </w:r>
      <w:r w:rsidRPr="00FA03CA">
        <w:t xml:space="preserve">), spatial region (fixed), river basin (random), and year (spline).  Again, </w:t>
      </w:r>
      <w:r w:rsidRPr="00FA03CA">
        <w:rPr>
          <w:i/>
          <w:iCs/>
        </w:rPr>
        <w:t>ef</w:t>
      </w:r>
      <w:r w:rsidRPr="00FA03CA">
        <w:t xml:space="preserve">CPUE was included for the </w:t>
      </w:r>
      <w:r w:rsidR="00AB1538" w:rsidRPr="00FA03CA">
        <w:t xml:space="preserve">fish </w:t>
      </w:r>
      <w:r w:rsidRPr="00FA03CA">
        <w:t xml:space="preserve">mass model.  </w:t>
      </w:r>
      <w:r w:rsidR="008A5216" w:rsidRPr="00FA03CA">
        <w:t xml:space="preserve">For all models, a 10-fold cross-validation approach </w:t>
      </w:r>
      <w:r w:rsidR="00DE3A19" w:rsidRPr="00FA03CA">
        <w:t xml:space="preserve">was performed </w:t>
      </w:r>
      <w:r w:rsidR="008A5216" w:rsidRPr="00FA03CA">
        <w:t>to assess predictive performance</w:t>
      </w:r>
      <w:r w:rsidR="00DE3A19" w:rsidRPr="00FA03CA">
        <w:t xml:space="preserve"> and</w:t>
      </w:r>
      <w:r w:rsidR="001D6667" w:rsidRPr="00FA03CA">
        <w:t xml:space="preserve"> </w:t>
      </w:r>
      <w:r w:rsidR="00DE3A19" w:rsidRPr="00FA03CA">
        <w:t>w</w:t>
      </w:r>
      <w:r w:rsidR="001D6667" w:rsidRPr="00FA03CA">
        <w:t xml:space="preserve">e calculated the Pearson correlation between </w:t>
      </w:r>
      <w:r w:rsidR="005541BE" w:rsidRPr="00FA03CA">
        <w:t>model predictions and test data for each run</w:t>
      </w:r>
      <w:r w:rsidR="001D6667" w:rsidRPr="00FA03CA">
        <w:t>.</w:t>
      </w:r>
    </w:p>
    <w:p w14:paraId="7AE0CB69" w14:textId="1C6D37A0" w:rsidR="00F83799" w:rsidRPr="00FA03CA" w:rsidRDefault="00F83799" w:rsidP="009A3FBB">
      <w:pPr>
        <w:spacing w:after="200" w:line="360" w:lineRule="auto"/>
        <w:jc w:val="both"/>
      </w:pPr>
    </w:p>
    <w:p w14:paraId="40559F82" w14:textId="77777777" w:rsidR="00B72BB2" w:rsidRPr="00FA03CA" w:rsidRDefault="00B72BB2">
      <w:pPr>
        <w:spacing w:after="160" w:line="259" w:lineRule="auto"/>
        <w:rPr>
          <w:i/>
          <w:iCs/>
        </w:rPr>
      </w:pPr>
      <w:r w:rsidRPr="00FA03CA">
        <w:rPr>
          <w:i/>
          <w:iCs/>
        </w:rPr>
        <w:br w:type="page"/>
      </w:r>
    </w:p>
    <w:p w14:paraId="6679A9C3" w14:textId="307980F9" w:rsidR="00CD6291" w:rsidRPr="00FA03CA" w:rsidRDefault="00CD6291" w:rsidP="009A3FBB">
      <w:pPr>
        <w:spacing w:after="200" w:line="360" w:lineRule="auto"/>
        <w:jc w:val="both"/>
        <w:rPr>
          <w:i/>
          <w:iCs/>
        </w:rPr>
      </w:pPr>
      <w:r w:rsidRPr="00FA03CA">
        <w:rPr>
          <w:i/>
          <w:iCs/>
        </w:rPr>
        <w:lastRenderedPageBreak/>
        <w:t>Step 4:</w:t>
      </w:r>
      <w:r w:rsidR="009A3FBB" w:rsidRPr="00FA03CA">
        <w:rPr>
          <w:i/>
          <w:iCs/>
        </w:rPr>
        <w:t xml:space="preserve"> Convert predicted efCPUE to density (</w:t>
      </w:r>
      <w:r w:rsidR="004F612D" w:rsidRPr="00FA03CA">
        <w:rPr>
          <w:i/>
          <w:iCs/>
        </w:rPr>
        <w:t>no</w:t>
      </w:r>
      <w:r w:rsidR="009A3FBB" w:rsidRPr="00FA03CA">
        <w:rPr>
          <w:i/>
          <w:iCs/>
        </w:rPr>
        <w:t>/ha)</w:t>
      </w:r>
      <w:r w:rsidR="00862CC1" w:rsidRPr="00FA03CA">
        <w:rPr>
          <w:i/>
          <w:iCs/>
        </w:rPr>
        <w:t xml:space="preserve"> </w:t>
      </w:r>
    </w:p>
    <w:p w14:paraId="634C3BF6" w14:textId="482C9664" w:rsidR="00115747" w:rsidRPr="00FA03CA" w:rsidRDefault="009A3FBB" w:rsidP="00115747">
      <w:pPr>
        <w:spacing w:after="200" w:line="360" w:lineRule="auto"/>
        <w:jc w:val="both"/>
      </w:pPr>
      <w:r w:rsidRPr="00FA03CA">
        <w:t xml:space="preserve">As </w:t>
      </w:r>
      <w:r w:rsidRPr="00FA03CA">
        <w:rPr>
          <w:i/>
          <w:iCs/>
        </w:rPr>
        <w:t>ef</w:t>
      </w:r>
      <w:r w:rsidRPr="00FA03CA">
        <w:t>CPUE is a relative abundance measure</w:t>
      </w:r>
      <w:r w:rsidR="000E6862" w:rsidRPr="00FA03CA">
        <w:t>,</w:t>
      </w:r>
      <w:r w:rsidRPr="00FA03CA">
        <w:t xml:space="preserve"> a conversion factor (i.e. a calibration approach: Driver et al., 2005) </w:t>
      </w:r>
      <w:r w:rsidR="00CD6291" w:rsidRPr="00FA03CA">
        <w:t xml:space="preserve">was developed </w:t>
      </w:r>
      <w:r w:rsidRPr="00FA03CA">
        <w:t xml:space="preserve">to convert </w:t>
      </w:r>
      <w:r w:rsidRPr="00FA03CA">
        <w:rPr>
          <w:i/>
          <w:iCs/>
        </w:rPr>
        <w:t>ef</w:t>
      </w:r>
      <w:r w:rsidRPr="00FA03CA">
        <w:t>CPUE</w:t>
      </w:r>
      <w:r w:rsidR="007032C0" w:rsidRPr="00FA03CA">
        <w:t xml:space="preserve"> (no/h)</w:t>
      </w:r>
      <w:r w:rsidRPr="00FA03CA">
        <w:t xml:space="preserve"> to </w:t>
      </w:r>
      <w:r w:rsidR="00157FBB" w:rsidRPr="00FA03CA">
        <w:t xml:space="preserve">carp </w:t>
      </w:r>
      <w:r w:rsidRPr="00FA03CA">
        <w:t>density (</w:t>
      </w:r>
      <w:r w:rsidR="00FC7384" w:rsidRPr="00FA03CA">
        <w:t>n</w:t>
      </w:r>
      <w:r w:rsidR="00157FBB" w:rsidRPr="00FA03CA">
        <w:t>o</w:t>
      </w:r>
      <w:r w:rsidRPr="00FA03CA">
        <w:t xml:space="preserve">/ha) for the suite of aquatic habitat types.  As sampling efficiency likely varies by habitat and spatial regions, </w:t>
      </w:r>
      <w:r w:rsidR="00CD6291" w:rsidRPr="00FA03CA">
        <w:t>a series of</w:t>
      </w:r>
      <w:r w:rsidRPr="00FA03CA">
        <w:t xml:space="preserve"> </w:t>
      </w:r>
      <w:r w:rsidR="00810F6B" w:rsidRPr="00FA03CA">
        <w:t xml:space="preserve">31 </w:t>
      </w:r>
      <w:r w:rsidRPr="00FA03CA">
        <w:t xml:space="preserve">field studies </w:t>
      </w:r>
      <w:r w:rsidR="00CD6291" w:rsidRPr="00FA03CA">
        <w:t xml:space="preserve">were carried out </w:t>
      </w:r>
      <w:r w:rsidRPr="00FA03CA">
        <w:t xml:space="preserve">across five states/territories (QLD, NSW, VIC, SA and ACT), </w:t>
      </w:r>
      <w:r w:rsidR="00810F6B" w:rsidRPr="00FA03CA">
        <w:t xml:space="preserve">including 20 riverine sites in </w:t>
      </w:r>
      <w:r w:rsidR="000E6862" w:rsidRPr="00FA03CA">
        <w:t xml:space="preserve">rivers of </w:t>
      </w:r>
      <w:r w:rsidRPr="00FA03CA">
        <w:t>various sizes (4 m to 170 m</w:t>
      </w:r>
      <w:r w:rsidR="00CD6291" w:rsidRPr="00FA03CA">
        <w:t xml:space="preserve"> wide</w:t>
      </w:r>
      <w:r w:rsidRPr="00FA03CA">
        <w:t xml:space="preserve">) and </w:t>
      </w:r>
      <w:r w:rsidR="00810F6B" w:rsidRPr="00FA03CA">
        <w:t xml:space="preserve">11 </w:t>
      </w:r>
      <w:r w:rsidRPr="00FA03CA">
        <w:t xml:space="preserve">wetland </w:t>
      </w:r>
      <w:r w:rsidR="00810F6B" w:rsidRPr="00FA03CA">
        <w:t xml:space="preserve">sites </w:t>
      </w:r>
      <w:r w:rsidRPr="00FA03CA">
        <w:t xml:space="preserve">(up to 12 ha) and spanning various depths and turbidity conditions. For each of these sites, the </w:t>
      </w:r>
      <w:r w:rsidR="00115747" w:rsidRPr="00FA03CA">
        <w:t>standard</w:t>
      </w:r>
      <w:r w:rsidRPr="00FA03CA">
        <w:t xml:space="preserve"> </w:t>
      </w:r>
      <w:r w:rsidR="00157FBB" w:rsidRPr="00FA03CA">
        <w:t xml:space="preserve">SRA </w:t>
      </w:r>
      <w:r w:rsidRPr="00FA03CA">
        <w:t>electrofishing protocol (</w:t>
      </w:r>
      <w:r w:rsidR="00CD6291" w:rsidRPr="00FA03CA">
        <w:t>Davies et al.</w:t>
      </w:r>
      <w:r w:rsidR="00157FBB" w:rsidRPr="00FA03CA">
        <w:t>,</w:t>
      </w:r>
      <w:r w:rsidR="00CD6291" w:rsidRPr="00FA03CA">
        <w:t xml:space="preserve"> 2010</w:t>
      </w:r>
      <w:r w:rsidRPr="00FA03CA">
        <w:t xml:space="preserve">) was </w:t>
      </w:r>
      <w:r w:rsidR="00810F6B" w:rsidRPr="00FA03CA">
        <w:t xml:space="preserve">used </w:t>
      </w:r>
      <w:r w:rsidRPr="00FA03CA">
        <w:t xml:space="preserve">to obtain </w:t>
      </w:r>
      <w:r w:rsidRPr="00FA03CA">
        <w:rPr>
          <w:i/>
          <w:iCs/>
        </w:rPr>
        <w:t>ef</w:t>
      </w:r>
      <w:r w:rsidRPr="00FA03CA">
        <w:t xml:space="preserve">CPUE (fish </w:t>
      </w:r>
      <w:r w:rsidR="00F66335" w:rsidRPr="00FA03CA">
        <w:t>≥</w:t>
      </w:r>
      <w:r w:rsidRPr="00FA03CA">
        <w:t xml:space="preserve"> 150 mm FL) and the density of </w:t>
      </w:r>
      <w:r w:rsidR="00115747" w:rsidRPr="00FA03CA">
        <w:t>c</w:t>
      </w:r>
      <w:r w:rsidRPr="00FA03CA">
        <w:t xml:space="preserve">arp </w:t>
      </w:r>
      <w:r w:rsidR="00F66335" w:rsidRPr="00FA03CA">
        <w:t>≥</w:t>
      </w:r>
      <w:r w:rsidRPr="00FA03CA">
        <w:t xml:space="preserve"> 150 mm </w:t>
      </w:r>
      <w:r w:rsidR="00115747" w:rsidRPr="00FA03CA">
        <w:t>FL</w:t>
      </w:r>
      <w:r w:rsidRPr="00FA03CA">
        <w:t xml:space="preserve"> was estimated by using one of </w:t>
      </w:r>
      <w:r w:rsidR="00115747" w:rsidRPr="00FA03CA">
        <w:t xml:space="preserve">four methods: mark-recapture (mid-size rivers, waterholes, and large wetlands), depletion sampling (small rivers), </w:t>
      </w:r>
      <w:r w:rsidR="000D565E" w:rsidRPr="00FA03CA">
        <w:t xml:space="preserve">mark-recapture (i.e. </w:t>
      </w:r>
      <w:r w:rsidR="00115747" w:rsidRPr="00FA03CA">
        <w:t>radio-tags</w:t>
      </w:r>
      <w:r w:rsidR="000D565E" w:rsidRPr="00FA03CA">
        <w:t xml:space="preserve"> in</w:t>
      </w:r>
      <w:r w:rsidR="00115747" w:rsidRPr="00FA03CA">
        <w:t xml:space="preserve"> large rivers</w:t>
      </w:r>
      <w:r w:rsidR="00FE11EF" w:rsidRPr="00FA03CA">
        <w:t xml:space="preserve"> – see below</w:t>
      </w:r>
      <w:r w:rsidR="00115747" w:rsidRPr="00FA03CA">
        <w:t>), and for small wetlands there was chemical treatment (rotenone) or draining (</w:t>
      </w:r>
      <w:r w:rsidR="00CA4564" w:rsidRPr="00FA03CA">
        <w:rPr>
          <w:rFonts w:eastAsia="Cambria"/>
          <w:szCs w:val="20"/>
          <w:lang w:val="en-US"/>
        </w:rPr>
        <w:t>Supplementary</w:t>
      </w:r>
      <w:r w:rsidR="00CA4564" w:rsidRPr="00FA03CA">
        <w:t xml:space="preserve"> </w:t>
      </w:r>
      <w:r w:rsidR="00115747" w:rsidRPr="00FA03CA">
        <w:t xml:space="preserve">Table </w:t>
      </w:r>
      <w:r w:rsidR="00D17443" w:rsidRPr="00FA03CA">
        <w:t>A</w:t>
      </w:r>
      <w:r w:rsidR="00D22239" w:rsidRPr="00FA03CA">
        <w:t>5</w:t>
      </w:r>
      <w:r w:rsidR="00115747" w:rsidRPr="00FA03CA">
        <w:t xml:space="preserve">).  In mid-sized rivers and large wetlands, to ‘close’ the site, stop-nets (or natural barriers) were deployed to preclude fish movement.  </w:t>
      </w:r>
      <w:r w:rsidR="000E6862" w:rsidRPr="00FA03CA">
        <w:t xml:space="preserve">The </w:t>
      </w:r>
      <w:r w:rsidR="00157FBB" w:rsidRPr="00FA03CA">
        <w:t xml:space="preserve">SRA </w:t>
      </w:r>
      <w:r w:rsidR="00115747" w:rsidRPr="00FA03CA">
        <w:t xml:space="preserve">standard boat or backpack electrofishing protocol was then implemented to obtain </w:t>
      </w:r>
      <w:r w:rsidR="00115747" w:rsidRPr="00FA03CA">
        <w:rPr>
          <w:i/>
          <w:iCs/>
        </w:rPr>
        <w:t>ef</w:t>
      </w:r>
      <w:r w:rsidR="00115747" w:rsidRPr="00FA03CA">
        <w:t>CPUE (Davies et al.</w:t>
      </w:r>
      <w:r w:rsidR="00157FBB" w:rsidRPr="00FA03CA">
        <w:t>,</w:t>
      </w:r>
      <w:r w:rsidR="00115747" w:rsidRPr="00FA03CA">
        <w:t xml:space="preserve"> 2010).  Subsequently, to catch</w:t>
      </w:r>
      <w:r w:rsidR="000D565E" w:rsidRPr="00FA03CA">
        <w:t xml:space="preserve"> and tag</w:t>
      </w:r>
      <w:r w:rsidR="00115747" w:rsidRPr="00FA03CA">
        <w:t xml:space="preserve"> as many fish as possible, a minimum of three high</w:t>
      </w:r>
      <w:r w:rsidR="000E6862" w:rsidRPr="00FA03CA">
        <w:t>-</w:t>
      </w:r>
      <w:r w:rsidR="00115747" w:rsidRPr="00FA03CA">
        <w:t>intensity electrofishing passes were conducted over multiple days.  All passes had similar sampl</w:t>
      </w:r>
      <w:r w:rsidR="00107B44" w:rsidRPr="00FA03CA">
        <w:t>ing</w:t>
      </w:r>
      <w:r w:rsidR="00115747" w:rsidRPr="00FA03CA">
        <w:t xml:space="preserve"> effort with all carp removed.  Power analysis indicated that, after three passes, if the percentage of tagged fish exceeded 40% of the total catch the population estimate should have a %CV less than 20%. Thus, sampling </w:t>
      </w:r>
      <w:r w:rsidR="000E6862" w:rsidRPr="00FA03CA">
        <w:t xml:space="preserve">was </w:t>
      </w:r>
      <w:r w:rsidR="00115747" w:rsidRPr="00FA03CA">
        <w:t>terminated whe</w:t>
      </w:r>
      <w:r w:rsidR="000E6862" w:rsidRPr="00FA03CA">
        <w:t>n</w:t>
      </w:r>
      <w:r w:rsidR="00115747" w:rsidRPr="00FA03CA">
        <w:t xml:space="preserve"> the catch was &gt;40% tagged fish or sampling time was five days.  For isolated water holes, there was a slightly modified technique where</w:t>
      </w:r>
      <w:r w:rsidR="000E6862" w:rsidRPr="00FA03CA">
        <w:t>by</w:t>
      </w:r>
      <w:r w:rsidR="00115747" w:rsidRPr="00FA03CA">
        <w:t xml:space="preserve"> fish were tagged in the first week and recaptured in the second.</w:t>
      </w:r>
    </w:p>
    <w:p w14:paraId="4A9862BF" w14:textId="286E6FA6" w:rsidR="003B3229" w:rsidRPr="00FA03CA" w:rsidRDefault="003B3229" w:rsidP="003B3229">
      <w:pPr>
        <w:spacing w:after="200" w:line="360" w:lineRule="auto"/>
        <w:jc w:val="both"/>
      </w:pPr>
      <w:r w:rsidRPr="00FA03CA">
        <w:t xml:space="preserve">To estimate site density, an estimated population size was needed, </w:t>
      </w:r>
      <w:r w:rsidR="004D5606" w:rsidRPr="00FA03CA">
        <w:t>s</w:t>
      </w:r>
      <w:r w:rsidRPr="00FA03CA">
        <w:t>tate-space models were used which provide flexibility in structure to manage time-varying catchabilities and incorporation of factors that affect catchability (K</w:t>
      </w:r>
      <w:r w:rsidRPr="00FA03CA">
        <w:rPr>
          <w:rFonts w:hint="eastAsia"/>
        </w:rPr>
        <w:t>é</w:t>
      </w:r>
      <w:r w:rsidRPr="00FA03CA">
        <w:t>ry and Schaub, 2011). Models were constructed using JAGS software (Plummer 2003) in junction with the R2jags package (Su and Yajima, 2015).  Population size estimation was obtained through data augmentation whereby the models assumed constant catchability between mark and re-capture sessions which were compared with models assuming time-varying catchability.  The waterhole models had a single mark and single recapture period. Posterior sampling was used to obtain credible estimates for population size and catchability. Density was obtained by dividing the total estimated population size by total area sampled (i.e. fish/ha).  Four models were compared: null model, the avoidance model, the effort model, and the avoidance and effort model. The model with the lowest deviance information criterion was selected, and to assess model fit we used a Freeman-Tukey statistic (K</w:t>
      </w:r>
      <w:r w:rsidRPr="00FA03CA">
        <w:rPr>
          <w:rFonts w:hint="eastAsia"/>
        </w:rPr>
        <w:t>é</w:t>
      </w:r>
      <w:r w:rsidRPr="00FA03CA">
        <w:t xml:space="preserve">ry and Schaub, 2011) as a goodness-of-fit statistic and we then compared the fit of the real data to </w:t>
      </w:r>
      <w:r w:rsidR="005C0807" w:rsidRPr="00FA03CA">
        <w:t xml:space="preserve">the </w:t>
      </w:r>
      <w:r w:rsidRPr="00FA03CA">
        <w:t>simulated data from the model.</w:t>
      </w:r>
    </w:p>
    <w:p w14:paraId="5F90F582" w14:textId="7A9313DB" w:rsidR="009A3FBB" w:rsidRPr="00FA03CA" w:rsidRDefault="009A3FBB" w:rsidP="009A3FBB">
      <w:pPr>
        <w:spacing w:after="200" w:line="360" w:lineRule="auto"/>
        <w:jc w:val="both"/>
      </w:pPr>
      <w:r w:rsidRPr="00FA03CA">
        <w:t xml:space="preserve">For large permanent rivers, it was not possible to close the site to fish movement. Therefore, a 1-km </w:t>
      </w:r>
      <w:r w:rsidR="00377DF4" w:rsidRPr="00FA03CA">
        <w:t xml:space="preserve">case-study </w:t>
      </w:r>
      <w:r w:rsidRPr="00FA03CA">
        <w:t xml:space="preserve">site immediately downstream of Lock 10 on the lower Murray River was sampled using the </w:t>
      </w:r>
      <w:r w:rsidR="00157FBB" w:rsidRPr="00FA03CA">
        <w:t xml:space="preserve">SRA </w:t>
      </w:r>
      <w:r w:rsidRPr="00FA03CA">
        <w:t>boat electrofishing protocol (Davies et al.</w:t>
      </w:r>
      <w:r w:rsidR="00157FBB" w:rsidRPr="00FA03CA">
        <w:t>,</w:t>
      </w:r>
      <w:r w:rsidRPr="00FA03CA">
        <w:t xml:space="preserve"> 2010). </w:t>
      </w:r>
      <w:r w:rsidR="00F83799" w:rsidRPr="00FA03CA">
        <w:t xml:space="preserve"> A total of</w:t>
      </w:r>
      <w:r w:rsidRPr="00FA03CA">
        <w:t xml:space="preserve"> 64 carp were radio-tagged and released</w:t>
      </w:r>
      <w:r w:rsidR="000E6862" w:rsidRPr="00FA03CA">
        <w:t>,</w:t>
      </w:r>
      <w:r w:rsidRPr="00FA03CA">
        <w:t xml:space="preserve"> and </w:t>
      </w:r>
      <w:r w:rsidR="000E6862" w:rsidRPr="00FA03CA">
        <w:t xml:space="preserve">the reach was </w:t>
      </w:r>
      <w:r w:rsidRPr="00FA03CA">
        <w:t xml:space="preserve">re-sampled a total of four times (e.g. at 1 week, 2 weeks, 3 weeks, 8 weeks after tagging). During each re-sampling event, an independent radio-tracking team first </w:t>
      </w:r>
      <w:r w:rsidRPr="00FA03CA">
        <w:lastRenderedPageBreak/>
        <w:t>determined how many radio-tagged carp were within the sample reach (Lyon et al.</w:t>
      </w:r>
      <w:r w:rsidR="00157FBB" w:rsidRPr="00FA03CA">
        <w:t>,</w:t>
      </w:r>
      <w:r w:rsidRPr="00FA03CA">
        <w:t xml:space="preserve"> 2014). </w:t>
      </w:r>
      <w:r w:rsidR="000E6862" w:rsidRPr="00FA03CA">
        <w:t>This was f</w:t>
      </w:r>
      <w:r w:rsidR="00F83799" w:rsidRPr="00FA03CA">
        <w:t>ollowed by a</w:t>
      </w:r>
      <w:r w:rsidRPr="00FA03CA">
        <w:t xml:space="preserve"> standard boat electrofishing </w:t>
      </w:r>
      <w:r w:rsidR="00F83799" w:rsidRPr="00FA03CA">
        <w:t>protocol</w:t>
      </w:r>
      <w:r w:rsidRPr="00FA03CA">
        <w:t xml:space="preserve"> without knowledge of the number of tagged fish present, and the number of radio-tagged fish caught were recorded.</w:t>
      </w:r>
      <w:r w:rsidR="003C37B9" w:rsidRPr="00FA03CA">
        <w:t xml:space="preserve">  </w:t>
      </w:r>
      <w:r w:rsidRPr="00FA03CA">
        <w:t xml:space="preserve">Due to very low recapture rates, the approach used </w:t>
      </w:r>
      <w:r w:rsidR="00F83799" w:rsidRPr="00FA03CA">
        <w:t>by</w:t>
      </w:r>
      <w:r w:rsidRPr="00FA03CA">
        <w:t xml:space="preserve"> Lyon et al. (2014) </w:t>
      </w:r>
      <w:r w:rsidR="00F83799" w:rsidRPr="00FA03CA">
        <w:t xml:space="preserve">to estimate density could not be replicated </w:t>
      </w:r>
      <w:r w:rsidRPr="00FA03CA">
        <w:t xml:space="preserve">and </w:t>
      </w:r>
      <w:r w:rsidR="00F83799" w:rsidRPr="00FA03CA">
        <w:t xml:space="preserve">so </w:t>
      </w:r>
      <w:r w:rsidRPr="00FA03CA">
        <w:t xml:space="preserve">a simple Bayesian General Linear Model (bGLM) </w:t>
      </w:r>
      <w:r w:rsidR="00F83799" w:rsidRPr="00FA03CA">
        <w:t xml:space="preserve">was performed </w:t>
      </w:r>
      <w:r w:rsidRPr="00FA03CA">
        <w:t>assuming a binomial distribution.</w:t>
      </w:r>
      <w:r w:rsidR="00F83799" w:rsidRPr="00FA03CA">
        <w:t xml:space="preserve"> </w:t>
      </w:r>
      <w:r w:rsidRPr="00FA03CA">
        <w:t xml:space="preserve"> For each week,</w:t>
      </w:r>
      <w:r w:rsidR="00F83799" w:rsidRPr="00FA03CA">
        <w:t xml:space="preserve"> </w:t>
      </w:r>
      <w:r w:rsidRPr="00FA03CA">
        <w:t xml:space="preserve">the total number of tagged </w:t>
      </w:r>
      <w:r w:rsidR="00F83799" w:rsidRPr="00FA03CA">
        <w:t>carp</w:t>
      </w:r>
      <w:r w:rsidRPr="00FA03CA">
        <w:t xml:space="preserve"> caught </w:t>
      </w:r>
      <w:r w:rsidR="00F83799" w:rsidRPr="00FA03CA">
        <w:t xml:space="preserve">were summed </w:t>
      </w:r>
      <w:r w:rsidRPr="00FA03CA">
        <w:t>in relation to the number of tagged fish counted by radio-tracking. No predictors were included in the model</w:t>
      </w:r>
      <w:r w:rsidR="00F83799" w:rsidRPr="00FA03CA">
        <w:t xml:space="preserve"> and</w:t>
      </w:r>
      <w:r w:rsidRPr="00FA03CA">
        <w:t xml:space="preserve"> </w:t>
      </w:r>
      <w:r w:rsidR="00F83799" w:rsidRPr="00FA03CA">
        <w:t>the density</w:t>
      </w:r>
      <w:r w:rsidRPr="00FA03CA">
        <w:t xml:space="preserve"> estimate was the inverse of the detection probability estimate from the model.</w:t>
      </w:r>
    </w:p>
    <w:p w14:paraId="56C95C2D" w14:textId="389C747B" w:rsidR="00010E85" w:rsidRPr="00FA03CA" w:rsidRDefault="003C37B9" w:rsidP="00010E85">
      <w:pPr>
        <w:spacing w:after="200" w:line="360" w:lineRule="auto"/>
        <w:jc w:val="both"/>
      </w:pPr>
      <w:r w:rsidRPr="00FA03CA">
        <w:t xml:space="preserve">Using the </w:t>
      </w:r>
      <w:r w:rsidRPr="00FA03CA">
        <w:rPr>
          <w:i/>
          <w:iCs/>
        </w:rPr>
        <w:t>ef</w:t>
      </w:r>
      <w:r w:rsidRPr="00FA03CA">
        <w:t xml:space="preserve">CPUE and density estimate at each </w:t>
      </w:r>
      <w:r w:rsidR="000E6862" w:rsidRPr="00FA03CA">
        <w:t xml:space="preserve">of the field-study </w:t>
      </w:r>
      <w:r w:rsidRPr="00FA03CA">
        <w:t>site</w:t>
      </w:r>
      <w:r w:rsidR="000E6862" w:rsidRPr="00FA03CA">
        <w:t>s</w:t>
      </w:r>
      <w:r w:rsidRPr="00FA03CA">
        <w:t xml:space="preserve">, </w:t>
      </w:r>
      <w:r w:rsidR="000E6862" w:rsidRPr="00FA03CA">
        <w:t>a</w:t>
      </w:r>
      <w:r w:rsidRPr="00FA03CA">
        <w:t xml:space="preserve"> conversion factor was calculated as the ratio of density to </w:t>
      </w:r>
      <w:r w:rsidRPr="00FA03CA">
        <w:rPr>
          <w:i/>
          <w:iCs/>
        </w:rPr>
        <w:t>ef</w:t>
      </w:r>
      <w:r w:rsidRPr="00FA03CA">
        <w:t xml:space="preserve">CPUE (i.e. conversion factor = density / </w:t>
      </w:r>
      <w:r w:rsidRPr="00FA03CA">
        <w:rPr>
          <w:i/>
          <w:iCs/>
        </w:rPr>
        <w:t>ef</w:t>
      </w:r>
      <w:r w:rsidRPr="00FA03CA">
        <w:t xml:space="preserve">CPUE).  </w:t>
      </w:r>
      <w:r w:rsidR="00EE1E95" w:rsidRPr="00FA03CA">
        <w:t>T</w:t>
      </w:r>
      <w:r w:rsidRPr="00FA03CA">
        <w:t xml:space="preserve">he relationship between the conversion factor and habitat groups was </w:t>
      </w:r>
      <w:r w:rsidR="00EE1E95" w:rsidRPr="00FA03CA">
        <w:t xml:space="preserve">then </w:t>
      </w:r>
      <w:r w:rsidRPr="00FA03CA">
        <w:t>modelled using a Bayesian general</w:t>
      </w:r>
      <w:r w:rsidR="00EE1E95" w:rsidRPr="00FA03CA">
        <w:t>ised</w:t>
      </w:r>
      <w:r w:rsidRPr="00FA03CA">
        <w:t xml:space="preserve"> linear model (bGLM).  The response variable was the natural log of the conversion factor and a Gaussian distribution was assumed for the error distribution.  Four habitat groupings were used: (1) rivers with river width ≤ 50 m, (2) rivers with width &gt; 50 m, (3) waterholes, and (4) wetlands</w:t>
      </w:r>
      <w:r w:rsidR="00DE3A19" w:rsidRPr="00FA03CA">
        <w:t xml:space="preserve"> and large estuaries</w:t>
      </w:r>
      <w:r w:rsidR="00EE1E95" w:rsidRPr="00FA03CA">
        <w:t>,</w:t>
      </w:r>
      <w:r w:rsidRPr="00FA03CA">
        <w:t xml:space="preserve"> and these were included as a predictor in the model.  </w:t>
      </w:r>
      <w:r w:rsidR="00010E85" w:rsidRPr="00FA03CA">
        <w:t>Model fit was assessed through graphical plots of model residuals and posterior predictive plots</w:t>
      </w:r>
      <w:r w:rsidR="00EE1E95" w:rsidRPr="00FA03CA">
        <w:t>,</w:t>
      </w:r>
      <w:r w:rsidR="001D1ABB" w:rsidRPr="00FA03CA">
        <w:t xml:space="preserve"> and s</w:t>
      </w:r>
      <w:r w:rsidR="00010E85" w:rsidRPr="00FA03CA">
        <w:t>ignificant differences defined where the 95%</w:t>
      </w:r>
      <w:r w:rsidR="00441780" w:rsidRPr="00FA03CA">
        <w:t xml:space="preserve"> credible interval (95%</w:t>
      </w:r>
      <w:r w:rsidR="00010E85" w:rsidRPr="00FA03CA">
        <w:t>CrI</w:t>
      </w:r>
      <w:r w:rsidR="00441780" w:rsidRPr="00FA03CA">
        <w:t>)</w:t>
      </w:r>
      <w:r w:rsidR="00AF76CF">
        <w:t xml:space="preserve"> </w:t>
      </w:r>
      <w:r w:rsidR="00010E85" w:rsidRPr="00FA03CA">
        <w:t xml:space="preserve">of the difference between habitat types did not overlap with zero.  </w:t>
      </w:r>
      <w:r w:rsidR="00EE1E95" w:rsidRPr="00FA03CA">
        <w:t>An</w:t>
      </w:r>
      <w:r w:rsidR="00010E85" w:rsidRPr="00FA03CA">
        <w:t xml:space="preserve"> assumption was that the conversion factor for fish &lt;150 mm FL was the same as for fish ≥150</w:t>
      </w:r>
      <w:r w:rsidR="00EE1E95" w:rsidRPr="00FA03CA">
        <w:t xml:space="preserve"> </w:t>
      </w:r>
      <w:r w:rsidR="00010E85" w:rsidRPr="00FA03CA">
        <w:t>mm FL.</w:t>
      </w:r>
    </w:p>
    <w:p w14:paraId="10E63D58" w14:textId="50EA1CD5" w:rsidR="004F612D" w:rsidRPr="00FA03CA" w:rsidRDefault="00206AAE" w:rsidP="00115747">
      <w:pPr>
        <w:spacing w:after="200" w:line="360" w:lineRule="auto"/>
        <w:jc w:val="both"/>
      </w:pPr>
      <w:r w:rsidRPr="00FA03CA">
        <w:t xml:space="preserve">The methods outlined above enabled estimates of: (i) area of carp-occupied habitat, and (ii) biomass density (kg/ha) for every mapped river segment and waterbody.  </w:t>
      </w:r>
      <w:r w:rsidR="00172FA8" w:rsidRPr="00FA03CA">
        <w:t xml:space="preserve">Biomass density (kg/ha) for each </w:t>
      </w:r>
      <w:r w:rsidR="00C25E47" w:rsidRPr="00FA03CA">
        <w:t xml:space="preserve">spatial object </w:t>
      </w:r>
      <w:r w:rsidR="00172FA8" w:rsidRPr="00FA03CA">
        <w:t>was then</w:t>
      </w:r>
      <w:r w:rsidR="00C25E47" w:rsidRPr="00FA03CA">
        <w:t xml:space="preserve"> posterior</w:t>
      </w:r>
      <w:r w:rsidR="00172FA8" w:rsidRPr="00FA03CA">
        <w:t xml:space="preserve"> calculated by multiplying density (no/ha) by </w:t>
      </w:r>
      <w:r w:rsidR="00501B7E" w:rsidRPr="00FA03CA">
        <w:t xml:space="preserve">predicted </w:t>
      </w:r>
      <w:r w:rsidR="00172FA8" w:rsidRPr="00FA03CA">
        <w:t>average fish mass.</w:t>
      </w:r>
    </w:p>
    <w:p w14:paraId="1AA086E0" w14:textId="478B6034" w:rsidR="00501B7E" w:rsidRPr="00FA03CA" w:rsidRDefault="00501B7E" w:rsidP="00115747">
      <w:pPr>
        <w:spacing w:after="200" w:line="360" w:lineRule="auto"/>
        <w:jc w:val="both"/>
      </w:pPr>
    </w:p>
    <w:p w14:paraId="37104F0E" w14:textId="6E0A0171" w:rsidR="00115747" w:rsidRPr="00FA03CA" w:rsidRDefault="003C37B9" w:rsidP="00115747">
      <w:pPr>
        <w:spacing w:after="200" w:line="360" w:lineRule="auto"/>
        <w:jc w:val="both"/>
        <w:rPr>
          <w:i/>
          <w:iCs/>
        </w:rPr>
      </w:pPr>
      <w:r w:rsidRPr="00FA03CA">
        <w:rPr>
          <w:i/>
          <w:iCs/>
        </w:rPr>
        <w:t xml:space="preserve">Step </w:t>
      </w:r>
      <w:r w:rsidR="00A64D1E" w:rsidRPr="00FA03CA">
        <w:rPr>
          <w:i/>
          <w:iCs/>
        </w:rPr>
        <w:t>5</w:t>
      </w:r>
      <w:r w:rsidRPr="00FA03CA">
        <w:rPr>
          <w:i/>
          <w:iCs/>
        </w:rPr>
        <w:t xml:space="preserve">: </w:t>
      </w:r>
      <w:r w:rsidR="00115747" w:rsidRPr="00FA03CA">
        <w:rPr>
          <w:i/>
          <w:iCs/>
        </w:rPr>
        <w:t xml:space="preserve">Estimating carp habitat use in lakes and storages to correct biomass density for offshore zones </w:t>
      </w:r>
    </w:p>
    <w:p w14:paraId="5CE41646" w14:textId="17284AB4" w:rsidR="009B39C5" w:rsidRPr="00FA03CA" w:rsidRDefault="00115747" w:rsidP="00010E85">
      <w:pPr>
        <w:spacing w:after="200" w:line="360" w:lineRule="auto"/>
        <w:jc w:val="both"/>
      </w:pPr>
      <w:r w:rsidRPr="00FA03CA">
        <w:t xml:space="preserve">In lakes and storages, existing </w:t>
      </w:r>
      <w:r w:rsidRPr="00FA03CA">
        <w:rPr>
          <w:i/>
          <w:iCs/>
        </w:rPr>
        <w:t>ef</w:t>
      </w:r>
      <w:r w:rsidRPr="00FA03CA">
        <w:t xml:space="preserve">CPUE data were mainly collected from the </w:t>
      </w:r>
      <w:r w:rsidR="00810F6B" w:rsidRPr="00FA03CA">
        <w:t xml:space="preserve">shallow </w:t>
      </w:r>
      <w:r w:rsidRPr="00FA03CA">
        <w:t xml:space="preserve">littoral zone </w:t>
      </w:r>
      <w:r w:rsidR="00810F6B" w:rsidRPr="00FA03CA">
        <w:t>because</w:t>
      </w:r>
      <w:r w:rsidRPr="00FA03CA">
        <w:t xml:space="preserve"> electrofishing is less efficient at greater depths (Bayley and Austen</w:t>
      </w:r>
      <w:r w:rsidR="00157FBB" w:rsidRPr="00FA03CA">
        <w:t>,</w:t>
      </w:r>
      <w:r w:rsidRPr="00FA03CA">
        <w:t xml:space="preserve"> 2002; Lyon et al., </w:t>
      </w:r>
      <w:r w:rsidRPr="00AF76CF">
        <w:t>201</w:t>
      </w:r>
      <w:r w:rsidR="00AF76CF" w:rsidRPr="00AF76CF">
        <w:t>4</w:t>
      </w:r>
      <w:r w:rsidRPr="00AF76CF">
        <w:t>).</w:t>
      </w:r>
      <w:r w:rsidRPr="00FA03CA">
        <w:t xml:space="preserve"> </w:t>
      </w:r>
      <w:r w:rsidR="008B09ED" w:rsidRPr="00FA03CA">
        <w:t xml:space="preserve"> </w:t>
      </w:r>
      <w:r w:rsidRPr="00FA03CA">
        <w:t>During spring and summer, carp density is often lower in offshore zones compared to vegetated littoral zones where there are greater feeding and spawning resources (Penne and Pierce</w:t>
      </w:r>
      <w:r w:rsidR="00157FBB" w:rsidRPr="00FA03CA">
        <w:t>,</w:t>
      </w:r>
      <w:r w:rsidRPr="00FA03CA">
        <w:t xml:space="preserve"> 2008; </w:t>
      </w:r>
      <w:r w:rsidRPr="0039646D">
        <w:t>Taylor et al., 2012).  Consequently</w:t>
      </w:r>
      <w:r w:rsidRPr="00FA03CA">
        <w:t xml:space="preserve">, for every lake and storage, </w:t>
      </w:r>
      <w:r w:rsidR="008B09ED" w:rsidRPr="00FA03CA">
        <w:t>data were</w:t>
      </w:r>
      <w:r w:rsidRPr="00FA03CA">
        <w:t xml:space="preserve"> corrected by estimating </w:t>
      </w:r>
      <w:r w:rsidR="00390300" w:rsidRPr="00FA03CA">
        <w:t xml:space="preserve">the proportions of littoral and </w:t>
      </w:r>
      <w:r w:rsidRPr="00FA03CA">
        <w:t xml:space="preserve">offshore </w:t>
      </w:r>
      <w:r w:rsidR="003757E8" w:rsidRPr="00FA03CA">
        <w:t xml:space="preserve">habitat </w:t>
      </w:r>
      <w:r w:rsidRPr="00FA03CA">
        <w:t>area</w:t>
      </w:r>
      <w:r w:rsidR="003757E8" w:rsidRPr="00FA03CA">
        <w:t xml:space="preserve"> </w:t>
      </w:r>
      <w:r w:rsidR="00390300" w:rsidRPr="00FA03CA">
        <w:t xml:space="preserve">using water permanency as a surrogate in the absence of bathymetry data. </w:t>
      </w:r>
      <w:r w:rsidRPr="00FA03CA">
        <w:t xml:space="preserve">Water Observations from Space (WOfS; Mueller et al., 2016) </w:t>
      </w:r>
      <w:r w:rsidR="00390300" w:rsidRPr="00FA03CA">
        <w:t xml:space="preserve">was used to map </w:t>
      </w:r>
      <w:r w:rsidRPr="00FA03CA">
        <w:t>where water was recorded &gt;80% of the time</w:t>
      </w:r>
      <w:r w:rsidR="00390300" w:rsidRPr="00FA03CA">
        <w:t xml:space="preserve"> </w:t>
      </w:r>
      <w:r w:rsidR="003757E8" w:rsidRPr="00FA03CA">
        <w:t xml:space="preserve">over </w:t>
      </w:r>
      <w:r w:rsidR="00390300" w:rsidRPr="00FA03CA">
        <w:t xml:space="preserve">the </w:t>
      </w:r>
      <w:r w:rsidR="003757E8" w:rsidRPr="00FA03CA">
        <w:t xml:space="preserve">past </w:t>
      </w:r>
      <w:r w:rsidR="00390300" w:rsidRPr="00FA03CA">
        <w:t>30 year</w:t>
      </w:r>
      <w:r w:rsidR="003757E8" w:rsidRPr="00FA03CA">
        <w:t xml:space="preserve">s </w:t>
      </w:r>
      <w:r w:rsidR="00390300" w:rsidRPr="00FA03CA">
        <w:t>as an estimate of the deep offshore habitat area</w:t>
      </w:r>
      <w:r w:rsidR="00FE11EF" w:rsidRPr="00FA03CA">
        <w:t>,</w:t>
      </w:r>
      <w:r w:rsidR="003757E8" w:rsidRPr="00FA03CA">
        <w:t xml:space="preserve"> with the remaining </w:t>
      </w:r>
      <w:r w:rsidR="000A48E4" w:rsidRPr="00FA03CA">
        <w:t xml:space="preserve">shallow </w:t>
      </w:r>
      <w:r w:rsidR="003757E8" w:rsidRPr="00FA03CA">
        <w:t>waterbody area to</w:t>
      </w:r>
      <w:r w:rsidR="000A48E4" w:rsidRPr="00FA03CA">
        <w:t xml:space="preserve"> the</w:t>
      </w:r>
      <w:r w:rsidR="003757E8" w:rsidRPr="00FA03CA">
        <w:t xml:space="preserve"> shoreline allocated as littoral habitat</w:t>
      </w:r>
      <w:r w:rsidRPr="00FA03CA">
        <w:t>.</w:t>
      </w:r>
      <w:r w:rsidR="003757E8" w:rsidRPr="00FA03CA">
        <w:t xml:space="preserve"> The 80% cut-off was arrived at by consensus of jurisdiction experts for a range of example storages.</w:t>
      </w:r>
      <w:r w:rsidRPr="00FA03CA">
        <w:t xml:space="preserve">  </w:t>
      </w:r>
    </w:p>
    <w:p w14:paraId="6C434162" w14:textId="217FE6FA" w:rsidR="00115747" w:rsidRPr="00FA03CA" w:rsidRDefault="00115747" w:rsidP="00010E85">
      <w:pPr>
        <w:spacing w:after="200" w:line="360" w:lineRule="auto"/>
        <w:jc w:val="both"/>
      </w:pPr>
      <w:r w:rsidRPr="00FA03CA">
        <w:lastRenderedPageBreak/>
        <w:t xml:space="preserve">Next, we estimated the difference in carp </w:t>
      </w:r>
      <w:r w:rsidR="009B39C5" w:rsidRPr="00FA03CA">
        <w:t>relative density</w:t>
      </w:r>
      <w:r w:rsidRPr="00FA03CA">
        <w:t xml:space="preserve"> between littoral and offshore zones by investigating the changes in gill-net CPUE</w:t>
      </w:r>
      <w:r w:rsidR="00381FDF" w:rsidRPr="00FA03CA">
        <w:t xml:space="preserve"> (</w:t>
      </w:r>
      <w:r w:rsidR="00381FDF" w:rsidRPr="00FA03CA">
        <w:rPr>
          <w:i/>
          <w:iCs/>
        </w:rPr>
        <w:t>net</w:t>
      </w:r>
      <w:r w:rsidR="00381FDF" w:rsidRPr="00FA03CA">
        <w:t>CPUE)</w:t>
      </w:r>
      <w:r w:rsidRPr="00FA03CA">
        <w:t xml:space="preserve"> from littoral to offshore zones in four lakes and three storages, and with increasing depth in storages.</w:t>
      </w:r>
      <w:r w:rsidR="008B09ED" w:rsidRPr="00FA03CA">
        <w:t xml:space="preserve">  </w:t>
      </w:r>
      <w:r w:rsidRPr="00FA03CA">
        <w:rPr>
          <w:rFonts w:eastAsia="Arial"/>
        </w:rPr>
        <w:t>For lakes, gill</w:t>
      </w:r>
      <w:r w:rsidR="009C1C2E" w:rsidRPr="00FA03CA">
        <w:rPr>
          <w:rFonts w:eastAsia="Arial"/>
        </w:rPr>
        <w:t>-</w:t>
      </w:r>
      <w:r w:rsidRPr="00FA03CA">
        <w:rPr>
          <w:rFonts w:eastAsia="Arial"/>
        </w:rPr>
        <w:t>nets were set at three locations: edge (about 5</w:t>
      </w:r>
      <w:r w:rsidR="00FE11EF" w:rsidRPr="00FA03CA">
        <w:rPr>
          <w:rFonts w:eastAsia="Arial"/>
        </w:rPr>
        <w:t xml:space="preserve"> </w:t>
      </w:r>
      <w:r w:rsidRPr="00FA03CA">
        <w:rPr>
          <w:rFonts w:eastAsia="Arial"/>
        </w:rPr>
        <w:t>m from the lake edge); midway (about 50 m from the edge); and offshore (about 200 m from the edge).  For storages, depth often changes more quickly than in lakes</w:t>
      </w:r>
      <w:r w:rsidR="00FE11EF" w:rsidRPr="00FA03CA">
        <w:rPr>
          <w:rFonts w:eastAsia="Arial"/>
        </w:rPr>
        <w:t>;</w:t>
      </w:r>
      <w:r w:rsidRPr="00FA03CA">
        <w:rPr>
          <w:rFonts w:eastAsia="Arial"/>
        </w:rPr>
        <w:t xml:space="preserve"> therefore</w:t>
      </w:r>
      <w:r w:rsidR="00FE11EF" w:rsidRPr="00FA03CA">
        <w:rPr>
          <w:rFonts w:eastAsia="Arial"/>
        </w:rPr>
        <w:t>,</w:t>
      </w:r>
      <w:r w:rsidRPr="00FA03CA">
        <w:rPr>
          <w:rFonts w:eastAsia="Arial"/>
        </w:rPr>
        <w:t xml:space="preserve"> we used depth rather than distance. Gill</w:t>
      </w:r>
      <w:r w:rsidR="009C1C2E" w:rsidRPr="00FA03CA">
        <w:rPr>
          <w:rFonts w:eastAsia="Arial"/>
        </w:rPr>
        <w:t>-</w:t>
      </w:r>
      <w:r w:rsidRPr="00FA03CA">
        <w:rPr>
          <w:rFonts w:eastAsia="Arial"/>
        </w:rPr>
        <w:t>nets were set at varying depth zones (2 m, 6 m, 12 m, 18 m, 24 m) in the storage.  Within each depth zone, gill</w:t>
      </w:r>
      <w:r w:rsidR="00157FBB" w:rsidRPr="00FA03CA">
        <w:rPr>
          <w:rFonts w:eastAsia="Arial"/>
        </w:rPr>
        <w:t>-</w:t>
      </w:r>
      <w:r w:rsidRPr="00FA03CA">
        <w:rPr>
          <w:rFonts w:eastAsia="Arial"/>
        </w:rPr>
        <w:t>nets were set at different water depths (surface, midway, or bottom) depending on the depth zone</w:t>
      </w:r>
      <w:r w:rsidR="00010E85" w:rsidRPr="00FA03CA">
        <w:rPr>
          <w:rFonts w:eastAsia="Arial"/>
        </w:rPr>
        <w:t xml:space="preserve"> (Stuart et al.</w:t>
      </w:r>
      <w:r w:rsidR="00157FBB" w:rsidRPr="00FA03CA">
        <w:rPr>
          <w:rFonts w:eastAsia="Arial"/>
        </w:rPr>
        <w:t>,</w:t>
      </w:r>
      <w:r w:rsidR="00010E85" w:rsidRPr="00FA03CA">
        <w:rPr>
          <w:rFonts w:eastAsia="Arial"/>
        </w:rPr>
        <w:t xml:space="preserve"> 2019)</w:t>
      </w:r>
      <w:r w:rsidRPr="00FA03CA">
        <w:rPr>
          <w:rFonts w:eastAsia="Arial"/>
        </w:rPr>
        <w:t>.</w:t>
      </w:r>
    </w:p>
    <w:p w14:paraId="1271841B" w14:textId="3D41E44B" w:rsidR="00115747" w:rsidRPr="00FA03CA" w:rsidRDefault="00115747" w:rsidP="00010E85">
      <w:pPr>
        <w:spacing w:before="120" w:line="360" w:lineRule="auto"/>
        <w:jc w:val="both"/>
        <w:rPr>
          <w:rFonts w:ascii="Calibri" w:hAnsi="Calibri" w:cs="Times New Roman"/>
          <w:b/>
          <w:bCs/>
          <w:sz w:val="22"/>
          <w:szCs w:val="28"/>
          <w:lang w:val="en-US"/>
        </w:rPr>
      </w:pPr>
      <w:r w:rsidRPr="00FA03CA">
        <w:rPr>
          <w:rFonts w:eastAsia="Arial"/>
        </w:rPr>
        <w:t xml:space="preserve">Two separate analyses (lake and storage) were performed using Bayesian generalised linear mixed models (bGLMM), assuming a negative binomial distribution. </w:t>
      </w:r>
      <w:r w:rsidRPr="00FA03CA">
        <w:rPr>
          <w:rFonts w:eastAsia="Cambria"/>
          <w:szCs w:val="20"/>
          <w:lang w:val="en-US"/>
        </w:rPr>
        <w:t xml:space="preserve">For the lake data, </w:t>
      </w:r>
      <w:r w:rsidRPr="00FA03CA">
        <w:rPr>
          <w:rFonts w:eastAsia="Cambria"/>
          <w:i/>
          <w:iCs/>
          <w:szCs w:val="20"/>
          <w:lang w:val="en-US"/>
        </w:rPr>
        <w:t>net</w:t>
      </w:r>
      <w:r w:rsidRPr="00FA03CA">
        <w:rPr>
          <w:rFonts w:eastAsia="Cambria"/>
          <w:szCs w:val="20"/>
          <w:lang w:val="en-US"/>
        </w:rPr>
        <w:t>CPUE</w:t>
      </w:r>
      <w:r w:rsidR="00FC6C64" w:rsidRPr="00FA03CA">
        <w:rPr>
          <w:rFonts w:eastAsia="Cambria"/>
          <w:szCs w:val="20"/>
          <w:lang w:val="en-US"/>
        </w:rPr>
        <w:t xml:space="preserve"> (</w:t>
      </w:r>
      <w:r w:rsidR="009245DB" w:rsidRPr="00FA03CA">
        <w:rPr>
          <w:rFonts w:eastAsia="Cambria"/>
          <w:szCs w:val="20"/>
          <w:lang w:val="en-US"/>
        </w:rPr>
        <w:t>n</w:t>
      </w:r>
      <w:r w:rsidR="00FC6C64" w:rsidRPr="00FA03CA">
        <w:rPr>
          <w:rFonts w:eastAsia="Cambria"/>
          <w:szCs w:val="20"/>
          <w:lang w:val="en-US"/>
        </w:rPr>
        <w:t>o/h)</w:t>
      </w:r>
      <w:r w:rsidRPr="00FA03CA">
        <w:rPr>
          <w:rFonts w:eastAsia="Cambria"/>
          <w:szCs w:val="20"/>
          <w:lang w:val="en-US"/>
        </w:rPr>
        <w:t xml:space="preserve"> was compared across the three sampling locations (edge, midway, offshore)</w:t>
      </w:r>
      <w:r w:rsidR="00010E85" w:rsidRPr="00FA03CA">
        <w:rPr>
          <w:rFonts w:eastAsia="Cambria"/>
          <w:szCs w:val="20"/>
          <w:lang w:val="en-US"/>
        </w:rPr>
        <w:t xml:space="preserve"> with </w:t>
      </w:r>
      <w:r w:rsidRPr="00FA03CA">
        <w:rPr>
          <w:rFonts w:eastAsia="Cambria"/>
          <w:szCs w:val="20"/>
          <w:lang w:val="en-US"/>
        </w:rPr>
        <w:t xml:space="preserve">bGLMM. The response variable was the number of fish caught </w:t>
      </w:r>
      <w:r w:rsidR="00010E85" w:rsidRPr="00FA03CA">
        <w:rPr>
          <w:rFonts w:eastAsia="Cambria"/>
          <w:szCs w:val="20"/>
          <w:lang w:val="en-US"/>
        </w:rPr>
        <w:t xml:space="preserve">and </w:t>
      </w:r>
      <w:r w:rsidRPr="00FA03CA">
        <w:rPr>
          <w:rFonts w:eastAsia="Cambria"/>
          <w:szCs w:val="20"/>
          <w:lang w:val="en-US"/>
        </w:rPr>
        <w:t>a negative binomial distribution</w:t>
      </w:r>
      <w:r w:rsidR="00010E85" w:rsidRPr="00FA03CA">
        <w:rPr>
          <w:rFonts w:eastAsia="Cambria"/>
          <w:szCs w:val="20"/>
          <w:lang w:val="en-US"/>
        </w:rPr>
        <w:t xml:space="preserve"> was assumed</w:t>
      </w:r>
      <w:r w:rsidRPr="00FA03CA">
        <w:rPr>
          <w:rFonts w:eastAsia="Cambria"/>
          <w:szCs w:val="20"/>
          <w:lang w:val="en-US"/>
        </w:rPr>
        <w:t xml:space="preserve">. The fixed effect was lake location, and random effects were lake and lake site (nested within lake). Sampling effort (log-transformed) was included as an offset. </w:t>
      </w:r>
      <w:r w:rsidR="00010E85" w:rsidRPr="00FA03CA">
        <w:rPr>
          <w:rFonts w:ascii="Calibri" w:hAnsi="Calibri" w:cs="Times New Roman"/>
          <w:b/>
          <w:bCs/>
          <w:sz w:val="22"/>
          <w:szCs w:val="28"/>
          <w:lang w:val="en-US"/>
        </w:rPr>
        <w:t xml:space="preserve"> </w:t>
      </w:r>
      <w:r w:rsidRPr="00FA03CA">
        <w:rPr>
          <w:rFonts w:eastAsia="Cambria"/>
          <w:szCs w:val="20"/>
          <w:lang w:val="en-US"/>
        </w:rPr>
        <w:t xml:space="preserve">All analyses were performed using R v3.4.1 and the </w:t>
      </w:r>
      <w:r w:rsidRPr="00FA03CA">
        <w:rPr>
          <w:rFonts w:eastAsia="Cambria"/>
          <w:i/>
          <w:szCs w:val="20"/>
          <w:lang w:val="en-US"/>
        </w:rPr>
        <w:t>brms</w:t>
      </w:r>
      <w:r w:rsidRPr="00FA03CA">
        <w:rPr>
          <w:rFonts w:eastAsia="Cambria"/>
          <w:szCs w:val="20"/>
          <w:lang w:val="en-US"/>
        </w:rPr>
        <w:t xml:space="preserve"> package (Bürkner 2017). All models were checked for fit by using posterior predictive checks and ensuring they converged through graphical examination and Gelman-Rubin statistics. Estimates are shown with 95% credible intervals (95%CrI). </w:t>
      </w:r>
    </w:p>
    <w:p w14:paraId="05E9E84C" w14:textId="44ACC2A9" w:rsidR="00F83799" w:rsidRPr="00FA03CA" w:rsidRDefault="00010E85" w:rsidP="00010E85">
      <w:pPr>
        <w:spacing w:before="180" w:after="180" w:line="360" w:lineRule="auto"/>
        <w:jc w:val="both"/>
        <w:rPr>
          <w:rFonts w:eastAsia="Cambria"/>
          <w:szCs w:val="20"/>
          <w:lang w:val="en-US"/>
        </w:rPr>
      </w:pPr>
      <w:r w:rsidRPr="00FA03CA">
        <w:rPr>
          <w:rFonts w:eastAsia="Cambria"/>
          <w:iCs/>
          <w:szCs w:val="20"/>
          <w:lang w:val="en-US"/>
        </w:rPr>
        <w:t xml:space="preserve">For storages, </w:t>
      </w:r>
      <w:r w:rsidR="00115747" w:rsidRPr="00FA03CA">
        <w:rPr>
          <w:rFonts w:eastAsia="Cambria"/>
          <w:szCs w:val="20"/>
          <w:lang w:val="en-US"/>
        </w:rPr>
        <w:t xml:space="preserve">the same GLMM model </w:t>
      </w:r>
      <w:r w:rsidR="00FE11EF" w:rsidRPr="00FA03CA">
        <w:rPr>
          <w:rFonts w:eastAsia="Cambria"/>
          <w:szCs w:val="20"/>
          <w:lang w:val="en-US"/>
        </w:rPr>
        <w:t xml:space="preserve">was performed </w:t>
      </w:r>
      <w:r w:rsidR="00115747" w:rsidRPr="00FA03CA">
        <w:rPr>
          <w:rFonts w:eastAsia="Cambria"/>
          <w:szCs w:val="20"/>
          <w:lang w:val="en-US"/>
        </w:rPr>
        <w:t>using a Bayesian framework, except that the fixed effect was the combination of net depth (surface, midway, bottom) and depth zone (2 m, 6 m, 12 m, 18 m, 24 m) as the design was not fully crossed (e.g. only one depth at 2 m contour and only bottom nets for 18 and 24 m depth zone</w:t>
      </w:r>
      <w:r w:rsidRPr="00FA03CA">
        <w:rPr>
          <w:rFonts w:eastAsia="Cambria"/>
          <w:szCs w:val="20"/>
          <w:lang w:val="en-US"/>
        </w:rPr>
        <w:t>s</w:t>
      </w:r>
      <w:r w:rsidR="00115747" w:rsidRPr="00FA03CA">
        <w:rPr>
          <w:rFonts w:eastAsia="Cambria"/>
          <w:szCs w:val="20"/>
          <w:lang w:val="en-US"/>
        </w:rPr>
        <w:t>. All comparisons were with the 2 m depth zone net as the reference category.</w:t>
      </w:r>
    </w:p>
    <w:p w14:paraId="206ADB63" w14:textId="55475413" w:rsidR="004F612D" w:rsidRPr="00FA03CA" w:rsidRDefault="004F612D" w:rsidP="00010E85">
      <w:pPr>
        <w:spacing w:before="180" w:after="180" w:line="360" w:lineRule="auto"/>
        <w:jc w:val="both"/>
        <w:rPr>
          <w:rFonts w:eastAsia="Cambria"/>
          <w:i/>
          <w:iCs/>
          <w:szCs w:val="20"/>
          <w:lang w:val="en-US"/>
        </w:rPr>
      </w:pPr>
      <w:r w:rsidRPr="00FA03CA">
        <w:rPr>
          <w:rFonts w:eastAsia="Cambria"/>
          <w:i/>
          <w:iCs/>
          <w:szCs w:val="20"/>
          <w:lang w:val="en-US"/>
        </w:rPr>
        <w:t>Step 6</w:t>
      </w:r>
      <w:r w:rsidR="00A966D3" w:rsidRPr="00FA03CA">
        <w:rPr>
          <w:rFonts w:eastAsia="Cambria"/>
          <w:i/>
          <w:iCs/>
          <w:szCs w:val="20"/>
          <w:lang w:val="en-US"/>
        </w:rPr>
        <w:t>:</w:t>
      </w:r>
      <w:r w:rsidRPr="00FA03CA">
        <w:rPr>
          <w:rFonts w:eastAsia="Cambria"/>
          <w:i/>
          <w:iCs/>
          <w:szCs w:val="20"/>
          <w:lang w:val="en-US"/>
        </w:rPr>
        <w:t xml:space="preserve"> </w:t>
      </w:r>
      <w:r w:rsidR="00FE11EF" w:rsidRPr="00FA03CA">
        <w:rPr>
          <w:rFonts w:eastAsia="Cambria"/>
          <w:i/>
          <w:iCs/>
          <w:szCs w:val="20"/>
          <w:lang w:val="en-US"/>
        </w:rPr>
        <w:t xml:space="preserve">Model and map the biomass of </w:t>
      </w:r>
      <w:r w:rsidRPr="00FA03CA">
        <w:rPr>
          <w:rFonts w:eastAsia="Cambria"/>
          <w:i/>
          <w:iCs/>
          <w:szCs w:val="20"/>
          <w:lang w:val="en-US"/>
        </w:rPr>
        <w:t xml:space="preserve">juvenile </w:t>
      </w:r>
      <w:r w:rsidR="00FE11EF" w:rsidRPr="00FA03CA">
        <w:rPr>
          <w:rFonts w:eastAsia="Cambria"/>
          <w:i/>
          <w:iCs/>
          <w:szCs w:val="20"/>
          <w:lang w:val="en-US"/>
        </w:rPr>
        <w:t>carp</w:t>
      </w:r>
    </w:p>
    <w:p w14:paraId="01472207" w14:textId="189FA1F6" w:rsidR="004F612D" w:rsidRPr="00FA03CA" w:rsidRDefault="004F612D" w:rsidP="004F612D">
      <w:pPr>
        <w:spacing w:after="200" w:line="360" w:lineRule="auto"/>
        <w:jc w:val="both"/>
      </w:pPr>
      <w:r w:rsidRPr="00FA03CA">
        <w:t xml:space="preserve">To estimate </w:t>
      </w:r>
      <w:r w:rsidR="00FE11EF" w:rsidRPr="00FA03CA">
        <w:t xml:space="preserve">the biomass of </w:t>
      </w:r>
      <w:r w:rsidRPr="00FA03CA">
        <w:t xml:space="preserve">juvenile </w:t>
      </w:r>
      <w:r w:rsidR="00FE11EF" w:rsidRPr="00FA03CA">
        <w:t xml:space="preserve">carp </w:t>
      </w:r>
      <w:r w:rsidRPr="00FA03CA">
        <w:t xml:space="preserve">(&lt;150 mm FL), a slightly simplified version of the method was used.  From the database, the average juvenile biomass (kg) was modelled in relation to </w:t>
      </w:r>
      <w:r w:rsidRPr="00FA03CA">
        <w:rPr>
          <w:i/>
          <w:iCs/>
        </w:rPr>
        <w:t>ef</w:t>
      </w:r>
      <w:r w:rsidRPr="00FA03CA">
        <w:t xml:space="preserve">CPUE for fish ≥150 mm FL, habitat attributes, space and time. Thus, we could predict average juvenile biomass (kg) for a sampling event based on the predicted </w:t>
      </w:r>
      <w:r w:rsidRPr="00FA03CA">
        <w:rPr>
          <w:i/>
          <w:iCs/>
        </w:rPr>
        <w:t>ef</w:t>
      </w:r>
      <w:r w:rsidRPr="00FA03CA">
        <w:t xml:space="preserve">CPUE for </w:t>
      </w:r>
      <w:r w:rsidR="00FE11EF" w:rsidRPr="00FA03CA">
        <w:t>fish</w:t>
      </w:r>
      <w:r w:rsidRPr="00FA03CA">
        <w:t xml:space="preserve"> ≥150 mm FL and habitat attributes.</w:t>
      </w:r>
      <w:r w:rsidR="00FC6C64" w:rsidRPr="00FA03CA">
        <w:t xml:space="preserve">  We refer to this juvenile biomass (kg) in relation to </w:t>
      </w:r>
      <w:r w:rsidR="00FC6C64" w:rsidRPr="00FA03CA">
        <w:rPr>
          <w:i/>
          <w:iCs/>
        </w:rPr>
        <w:t>ef</w:t>
      </w:r>
      <w:r w:rsidR="00FC6C64" w:rsidRPr="00FA03CA">
        <w:t>CPUE as the juvenile fish biomass rate</w:t>
      </w:r>
      <w:r w:rsidR="00381FDF" w:rsidRPr="00FA03CA">
        <w:t xml:space="preserve"> (</w:t>
      </w:r>
      <w:r w:rsidR="007A63F0" w:rsidRPr="00FA03CA">
        <w:t>i.e. juvenile biomass</w:t>
      </w:r>
      <w:r w:rsidR="00381FDF" w:rsidRPr="00FA03CA">
        <w:t xml:space="preserve"> per </w:t>
      </w:r>
      <w:r w:rsidR="00381FDF" w:rsidRPr="00FA03CA">
        <w:rPr>
          <w:i/>
          <w:iCs/>
        </w:rPr>
        <w:t>ef</w:t>
      </w:r>
      <w:r w:rsidR="00381FDF" w:rsidRPr="00FA03CA">
        <w:t>CPUE)</w:t>
      </w:r>
      <w:r w:rsidR="00FC6C64" w:rsidRPr="00FA03CA">
        <w:t>.</w:t>
      </w:r>
    </w:p>
    <w:p w14:paraId="5E0F709B" w14:textId="76A00E21" w:rsidR="004F612D" w:rsidRPr="00FA03CA" w:rsidRDefault="004F612D" w:rsidP="004F612D">
      <w:pPr>
        <w:spacing w:after="200" w:line="360" w:lineRule="auto"/>
        <w:jc w:val="both"/>
      </w:pPr>
      <w:r w:rsidRPr="00FA03CA">
        <w:t xml:space="preserve">To </w:t>
      </w:r>
      <w:r w:rsidR="000D6EF3" w:rsidRPr="00FA03CA">
        <w:t xml:space="preserve">model and </w:t>
      </w:r>
      <w:r w:rsidRPr="00FA03CA">
        <w:t xml:space="preserve">map juvenile fish biomass rate, we used the same </w:t>
      </w:r>
      <w:r w:rsidRPr="00FA03CA">
        <w:rPr>
          <w:i/>
          <w:iCs/>
        </w:rPr>
        <w:t>ef</w:t>
      </w:r>
      <w:r w:rsidRPr="00FA03CA">
        <w:t xml:space="preserve">CPUE data used for fish ≥150 mm FL.  For every sampling event, we calculated the total mass of fish &lt;150 mm FL.  For sampling events in which all fish were measured, we used the total juvenile biomass.  </w:t>
      </w:r>
      <w:r w:rsidR="00FC6C64" w:rsidRPr="00FA03CA">
        <w:t xml:space="preserve">However, some </w:t>
      </w:r>
      <w:r w:rsidR="002B10D3" w:rsidRPr="00FA03CA">
        <w:t>sampling</w:t>
      </w:r>
      <w:r w:rsidRPr="00FA03CA">
        <w:t xml:space="preserve"> events </w:t>
      </w:r>
      <w:r w:rsidR="00FC6C64" w:rsidRPr="00FA03CA">
        <w:t xml:space="preserve">only measured a </w:t>
      </w:r>
      <w:r w:rsidR="002B10D3" w:rsidRPr="00FA03CA">
        <w:t>fraction</w:t>
      </w:r>
      <w:r w:rsidR="00FC6C64" w:rsidRPr="00FA03CA">
        <w:t xml:space="preserve"> of all </w:t>
      </w:r>
      <w:r w:rsidR="002B10D3" w:rsidRPr="00FA03CA">
        <w:t>juvenile carp collected and</w:t>
      </w:r>
      <w:r w:rsidR="00FC6C64" w:rsidRPr="00FA03CA">
        <w:t xml:space="preserve"> </w:t>
      </w:r>
      <w:r w:rsidR="002B10D3" w:rsidRPr="00FA03CA">
        <w:t>so to maximise</w:t>
      </w:r>
      <w:r w:rsidR="00FC6C64" w:rsidRPr="00FA03CA">
        <w:t xml:space="preserve"> spatial coverage </w:t>
      </w:r>
      <w:r w:rsidRPr="00FA03CA">
        <w:t>we adjusted the juvenile biomass by the proportion</w:t>
      </w:r>
      <w:r w:rsidR="007F3159" w:rsidRPr="00FA03CA">
        <w:t xml:space="preserve"> of the total</w:t>
      </w:r>
      <w:r w:rsidRPr="00FA03CA">
        <w:t xml:space="preserve"> catch that was measured (e.g. if only 25% of fish were measured, then we multipl</w:t>
      </w:r>
      <w:r w:rsidR="007C6C05" w:rsidRPr="00FA03CA">
        <w:t>ied</w:t>
      </w:r>
      <w:r w:rsidRPr="00FA03CA">
        <w:t xml:space="preserve"> the juvenile biomass by 4).  For simplicity we did not include any uncertainty in those conversions into the model. We used juvenile biomass rate </w:t>
      </w:r>
      <w:r w:rsidR="00A627AC" w:rsidRPr="00FA03CA">
        <w:rPr>
          <w:rFonts w:eastAsia="Arial"/>
        </w:rPr>
        <w:t xml:space="preserve">(i.e. juvenile biomass per </w:t>
      </w:r>
      <w:r w:rsidR="00A627AC" w:rsidRPr="00FA03CA">
        <w:rPr>
          <w:rFonts w:eastAsia="Arial"/>
          <w:i/>
          <w:iCs/>
        </w:rPr>
        <w:t>e</w:t>
      </w:r>
      <w:r w:rsidR="00A627AC" w:rsidRPr="00FA03CA">
        <w:rPr>
          <w:i/>
          <w:iCs/>
        </w:rPr>
        <w:t>f</w:t>
      </w:r>
      <w:r w:rsidR="00A627AC" w:rsidRPr="00FA03CA">
        <w:t>CPUE)</w:t>
      </w:r>
      <w:r w:rsidR="00A627AC" w:rsidRPr="00FA03CA">
        <w:rPr>
          <w:rFonts w:eastAsia="Arial"/>
        </w:rPr>
        <w:t xml:space="preserve"> </w:t>
      </w:r>
      <w:r w:rsidRPr="00FA03CA">
        <w:t xml:space="preserve">as the response variable (log-transformed + 0.1 kg).  </w:t>
      </w:r>
    </w:p>
    <w:p w14:paraId="7DC30E0E" w14:textId="0909B3DA" w:rsidR="004F612D" w:rsidRPr="00FA03CA" w:rsidRDefault="004F612D" w:rsidP="004F612D">
      <w:pPr>
        <w:spacing w:after="200" w:line="360" w:lineRule="auto"/>
        <w:jc w:val="both"/>
      </w:pPr>
      <w:r w:rsidRPr="00FA03CA">
        <w:lastRenderedPageBreak/>
        <w:t xml:space="preserve">We performed a single bGAMM assuming a normal distribution. As the response variable was juvenile biomass rate, we only needed a biomass model (i.e. we did not need separate models for CPUE and average mass, as for adult </w:t>
      </w:r>
      <w:r w:rsidR="004D5606" w:rsidRPr="00FA03CA">
        <w:t>c</w:t>
      </w:r>
      <w:r w:rsidRPr="00FA03CA">
        <w:t xml:space="preserve">arp).  </w:t>
      </w:r>
      <w:r w:rsidR="007C6C05" w:rsidRPr="00FA03CA">
        <w:t>T</w:t>
      </w:r>
      <w:r w:rsidRPr="00FA03CA">
        <w:t>o further reduce model complexity</w:t>
      </w:r>
      <w:r w:rsidR="002C79FA" w:rsidRPr="00FA03CA">
        <w:t>,</w:t>
      </w:r>
      <w:r w:rsidRPr="00FA03CA">
        <w:t xml:space="preserve"> we combined river and waterbody data into a single model. After expert consultation about river attributes, we decided that river attributes should focus only on</w:t>
      </w:r>
      <w:r w:rsidR="00FC7384" w:rsidRPr="00FA03CA">
        <w:t>-</w:t>
      </w:r>
      <w:r w:rsidRPr="00FA03CA">
        <w:t xml:space="preserve">stream slope, because spawning areas </w:t>
      </w:r>
      <w:r w:rsidR="007C6C05" w:rsidRPr="00FA03CA">
        <w:t>are</w:t>
      </w:r>
      <w:r w:rsidRPr="00FA03CA">
        <w:t xml:space="preserve"> known to be in areas of low slope near wetlands, and the slope of the stream provides a useful proxy for such areas. We gave the waterbodies a slope of zero (and tested the effect by re-running the model, setting waterbod</w:t>
      </w:r>
      <w:r w:rsidR="007C6C05" w:rsidRPr="00FA03CA">
        <w:t>y</w:t>
      </w:r>
      <w:r w:rsidRPr="00FA03CA">
        <w:t xml:space="preserve"> slope to the mean river slope and no substantial differences were found). The predictors in the model were </w:t>
      </w:r>
      <w:r w:rsidRPr="00FA03CA">
        <w:rPr>
          <w:i/>
          <w:iCs/>
        </w:rPr>
        <w:t>ef</w:t>
      </w:r>
      <w:r w:rsidRPr="00FA03CA">
        <w:t xml:space="preserve">CPUE for </w:t>
      </w:r>
      <w:r w:rsidR="007C6C05" w:rsidRPr="00FA03CA">
        <w:t xml:space="preserve">fish </w:t>
      </w:r>
      <w:r w:rsidRPr="00FA03CA">
        <w:t xml:space="preserve">≥150 mm (log-transformed + 1; thin-plate spline), aquatic habitat class (categorical: wetland, lake, river), stream slope (thin-plate spline), year (thin-plate spline, and month (cyclic cubic spline). The </w:t>
      </w:r>
      <w:r w:rsidRPr="00FA03CA">
        <w:rPr>
          <w:i/>
          <w:iCs/>
        </w:rPr>
        <w:t>ef</w:t>
      </w:r>
      <w:r w:rsidRPr="00FA03CA">
        <w:t xml:space="preserve">CPUE for ≥150 mm FL fish was included </w:t>
      </w:r>
      <w:r w:rsidR="00BE61C2" w:rsidRPr="00FA03CA">
        <w:t>because a</w:t>
      </w:r>
      <w:r w:rsidRPr="00FA03CA">
        <w:t xml:space="preserve"> high </w:t>
      </w:r>
      <w:r w:rsidRPr="00FA03CA">
        <w:rPr>
          <w:i/>
          <w:iCs/>
        </w:rPr>
        <w:t>ef</w:t>
      </w:r>
      <w:r w:rsidRPr="00FA03CA">
        <w:t>CPUE often reflected more juveniles in the catch</w:t>
      </w:r>
      <w:r w:rsidR="00BE61C2" w:rsidRPr="00FA03CA">
        <w:t>.</w:t>
      </w:r>
      <w:r w:rsidR="005541BE" w:rsidRPr="00FA03CA">
        <w:t xml:space="preserve">  As in Step 3, a 10-fold cross-validation approach was implemented to assess model fit.</w:t>
      </w:r>
    </w:p>
    <w:p w14:paraId="524BE3E0" w14:textId="77777777" w:rsidR="004F612D" w:rsidRPr="00FA03CA" w:rsidRDefault="004F612D" w:rsidP="004F612D">
      <w:pPr>
        <w:spacing w:after="200" w:line="360" w:lineRule="auto"/>
        <w:jc w:val="both"/>
      </w:pPr>
    </w:p>
    <w:p w14:paraId="32B61AD3" w14:textId="564C30C1" w:rsidR="00F83799" w:rsidRPr="00FA03CA" w:rsidRDefault="00F83799" w:rsidP="004F612D">
      <w:pPr>
        <w:spacing w:after="200" w:line="360" w:lineRule="auto"/>
        <w:jc w:val="both"/>
        <w:rPr>
          <w:i/>
          <w:iCs/>
        </w:rPr>
      </w:pPr>
      <w:r w:rsidRPr="00FA03CA">
        <w:rPr>
          <w:rFonts w:eastAsia="Cambria"/>
          <w:i/>
          <w:iCs/>
          <w:szCs w:val="20"/>
          <w:lang w:val="en-US"/>
        </w:rPr>
        <w:t xml:space="preserve">Step </w:t>
      </w:r>
      <w:r w:rsidR="004F612D" w:rsidRPr="00FA03CA">
        <w:rPr>
          <w:rFonts w:eastAsia="Cambria"/>
          <w:i/>
          <w:iCs/>
          <w:szCs w:val="20"/>
          <w:lang w:val="en-US"/>
        </w:rPr>
        <w:t>7</w:t>
      </w:r>
      <w:r w:rsidR="00006B2D" w:rsidRPr="00FA03CA">
        <w:rPr>
          <w:rFonts w:eastAsia="Cambria"/>
          <w:i/>
          <w:iCs/>
          <w:szCs w:val="20"/>
          <w:lang w:val="en-US"/>
        </w:rPr>
        <w:t>:</w:t>
      </w:r>
      <w:r w:rsidRPr="00FA03CA">
        <w:rPr>
          <w:rFonts w:eastAsia="Cambria"/>
          <w:i/>
          <w:iCs/>
          <w:szCs w:val="20"/>
          <w:lang w:val="en-US"/>
        </w:rPr>
        <w:t xml:space="preserve"> </w:t>
      </w:r>
      <w:r w:rsidR="004F612D" w:rsidRPr="00FA03CA">
        <w:rPr>
          <w:i/>
          <w:iCs/>
        </w:rPr>
        <w:t xml:space="preserve">Estimate total carp biomass    </w:t>
      </w:r>
    </w:p>
    <w:p w14:paraId="1C236C1F" w14:textId="099A1E56" w:rsidR="00B51AA0" w:rsidRPr="00FA03CA" w:rsidRDefault="004F612D" w:rsidP="004F612D">
      <w:pPr>
        <w:spacing w:after="200" w:line="360" w:lineRule="auto"/>
        <w:jc w:val="both"/>
        <w:rPr>
          <w:rFonts w:eastAsia="Arial"/>
        </w:rPr>
      </w:pPr>
      <w:r w:rsidRPr="00FA03CA">
        <w:t xml:space="preserve">The </w:t>
      </w:r>
      <w:r w:rsidR="00206AAE" w:rsidRPr="00FA03CA">
        <w:t>prior steps</w:t>
      </w:r>
      <w:r w:rsidRPr="00FA03CA">
        <w:t xml:space="preserve"> enabled estimates of: (i) area of carp-occupied habitat, and (ii) biomass density (kg/ha) for every </w:t>
      </w:r>
      <w:r w:rsidR="000A48E4" w:rsidRPr="00FA03CA">
        <w:t xml:space="preserve">mapped </w:t>
      </w:r>
      <w:r w:rsidRPr="00FA03CA">
        <w:t xml:space="preserve">river segment and waterbody.  </w:t>
      </w:r>
      <w:bookmarkStart w:id="1" w:name="_Hlk48400739"/>
      <w:r w:rsidRPr="00FA03CA">
        <w:t xml:space="preserve">We then </w:t>
      </w:r>
      <w:r w:rsidRPr="00FA03CA">
        <w:rPr>
          <w:rFonts w:eastAsia="Arial"/>
        </w:rPr>
        <w:t>estimated carp biomass for each river/waterbody</w:t>
      </w:r>
      <w:r w:rsidR="00DD3B47" w:rsidRPr="00FA03CA">
        <w:rPr>
          <w:rFonts w:eastAsia="Arial"/>
        </w:rPr>
        <w:t xml:space="preserve"> </w:t>
      </w:r>
      <w:r w:rsidRPr="00FA03CA">
        <w:rPr>
          <w:rFonts w:eastAsia="Arial"/>
        </w:rPr>
        <w:t xml:space="preserve">by multiplying the </w:t>
      </w:r>
      <w:r w:rsidR="000A48E4" w:rsidRPr="00FA03CA">
        <w:rPr>
          <w:rFonts w:eastAsia="Arial"/>
        </w:rPr>
        <w:t xml:space="preserve">mapped </w:t>
      </w:r>
      <w:r w:rsidRPr="00FA03CA">
        <w:rPr>
          <w:rFonts w:eastAsia="Arial"/>
        </w:rPr>
        <w:t>area by biomass density</w:t>
      </w:r>
      <w:r w:rsidR="00862CC1" w:rsidRPr="00FA03CA">
        <w:rPr>
          <w:rFonts w:eastAsia="Arial"/>
        </w:rPr>
        <w:t xml:space="preserve"> (kg/ha</w:t>
      </w:r>
      <w:bookmarkEnd w:id="1"/>
      <w:r w:rsidR="00862CC1" w:rsidRPr="00FA03CA">
        <w:rPr>
          <w:rFonts w:eastAsia="Arial"/>
        </w:rPr>
        <w:t>)</w:t>
      </w:r>
      <w:r w:rsidR="000A48E4" w:rsidRPr="00FA03CA">
        <w:rPr>
          <w:rFonts w:eastAsia="Arial"/>
        </w:rPr>
        <w:t xml:space="preserve">, incorporating the separate </w:t>
      </w:r>
      <w:r w:rsidRPr="00FA03CA">
        <w:rPr>
          <w:rFonts w:eastAsia="Arial"/>
        </w:rPr>
        <w:t xml:space="preserve">littoral and offshore components </w:t>
      </w:r>
      <w:r w:rsidR="000A48E4" w:rsidRPr="00FA03CA">
        <w:rPr>
          <w:rFonts w:eastAsia="Arial"/>
        </w:rPr>
        <w:t>of lakes and storages</w:t>
      </w:r>
      <w:r w:rsidR="00DD3B47" w:rsidRPr="00FA03CA">
        <w:rPr>
          <w:rFonts w:eastAsia="Arial"/>
        </w:rPr>
        <w:t xml:space="preserve"> (</w:t>
      </w:r>
      <w:r w:rsidR="00D22239" w:rsidRPr="00FA03CA">
        <w:rPr>
          <w:rFonts w:eastAsia="Arial"/>
        </w:rPr>
        <w:t xml:space="preserve">Supplementary </w:t>
      </w:r>
      <w:r w:rsidR="00DD3B47" w:rsidRPr="00FA03CA">
        <w:rPr>
          <w:rFonts w:eastAsia="Arial"/>
        </w:rPr>
        <w:t>Table A1)</w:t>
      </w:r>
      <w:r w:rsidRPr="00FA03CA">
        <w:rPr>
          <w:rFonts w:eastAsia="Arial"/>
        </w:rPr>
        <w:t xml:space="preserve">  The estimates for individual rivers (perennial</w:t>
      </w:r>
      <w:r w:rsidR="00501B7E" w:rsidRPr="00FA03CA">
        <w:rPr>
          <w:rFonts w:eastAsia="Arial"/>
        </w:rPr>
        <w:t>,</w:t>
      </w:r>
      <w:r w:rsidRPr="00FA03CA">
        <w:rPr>
          <w:rFonts w:eastAsia="Arial"/>
        </w:rPr>
        <w:t xml:space="preserve"> non-perennial</w:t>
      </w:r>
      <w:r w:rsidR="00501B7E" w:rsidRPr="00FA03CA">
        <w:rPr>
          <w:rFonts w:eastAsia="Arial"/>
        </w:rPr>
        <w:t xml:space="preserve"> and estuaries</w:t>
      </w:r>
      <w:r w:rsidRPr="00FA03CA">
        <w:rPr>
          <w:rFonts w:eastAsia="Arial"/>
        </w:rPr>
        <w:t>) and standing waterbodies (wetlands, lakes and storages) were then summed to derive a total carp biomass (metric tonnes).</w:t>
      </w:r>
    </w:p>
    <w:p w14:paraId="683846DA" w14:textId="59BE92AA" w:rsidR="00D8353F" w:rsidRPr="00FA03CA" w:rsidRDefault="00AD1DA9" w:rsidP="00D8353F">
      <w:pPr>
        <w:spacing w:before="120" w:line="360" w:lineRule="auto"/>
        <w:jc w:val="both"/>
        <w:rPr>
          <w:rFonts w:eastAsia="Arial"/>
          <w:szCs w:val="20"/>
        </w:rPr>
      </w:pPr>
      <w:r w:rsidRPr="00FA03CA">
        <w:rPr>
          <w:rFonts w:eastAsia="Arial"/>
          <w:szCs w:val="20"/>
        </w:rPr>
        <w:t xml:space="preserve">To assess the uncertainty in our total biomass estimate, we assumed that </w:t>
      </w:r>
      <w:r w:rsidR="00B51AA0" w:rsidRPr="00FA03CA">
        <w:rPr>
          <w:rFonts w:eastAsia="Arial"/>
          <w:szCs w:val="20"/>
        </w:rPr>
        <w:t xml:space="preserve">a spatial object’s </w:t>
      </w:r>
      <w:r w:rsidRPr="00FA03CA">
        <w:rPr>
          <w:rFonts w:eastAsia="Arial"/>
          <w:szCs w:val="20"/>
        </w:rPr>
        <w:t xml:space="preserve">area </w:t>
      </w:r>
      <w:r w:rsidR="00862CC1" w:rsidRPr="00FA03CA">
        <w:rPr>
          <w:rFonts w:eastAsia="Arial"/>
          <w:szCs w:val="20"/>
        </w:rPr>
        <w:t xml:space="preserve">(i.e. </w:t>
      </w:r>
      <w:r w:rsidR="00555492" w:rsidRPr="00FA03CA">
        <w:rPr>
          <w:rFonts w:eastAsia="Arial"/>
          <w:szCs w:val="20"/>
        </w:rPr>
        <w:t xml:space="preserve">a </w:t>
      </w:r>
      <w:r w:rsidR="00441780" w:rsidRPr="00FA03CA">
        <w:rPr>
          <w:rFonts w:eastAsia="Arial"/>
          <w:szCs w:val="20"/>
        </w:rPr>
        <w:t>river, wetland</w:t>
      </w:r>
      <w:r w:rsidR="00555492" w:rsidRPr="00FA03CA">
        <w:rPr>
          <w:rFonts w:eastAsia="Arial"/>
          <w:szCs w:val="20"/>
        </w:rPr>
        <w:t xml:space="preserve"> or</w:t>
      </w:r>
      <w:r w:rsidR="00441780" w:rsidRPr="00FA03CA">
        <w:rPr>
          <w:rFonts w:eastAsia="Arial"/>
          <w:szCs w:val="20"/>
        </w:rPr>
        <w:t xml:space="preserve"> lake</w:t>
      </w:r>
      <w:r w:rsidR="00555492" w:rsidRPr="00FA03CA">
        <w:rPr>
          <w:rFonts w:eastAsia="Arial"/>
          <w:szCs w:val="20"/>
        </w:rPr>
        <w:t xml:space="preserve">) </w:t>
      </w:r>
      <w:r w:rsidRPr="00FA03CA">
        <w:rPr>
          <w:rFonts w:eastAsia="Arial"/>
          <w:szCs w:val="20"/>
        </w:rPr>
        <w:t>was constant and treated the other variables (predicted CPUE, average carp mass, juvenile biomass rate, conversion factor</w:t>
      </w:r>
      <w:r w:rsidR="00391AF8" w:rsidRPr="00FA03CA">
        <w:rPr>
          <w:rFonts w:eastAsia="Arial"/>
          <w:szCs w:val="20"/>
        </w:rPr>
        <w:t xml:space="preserve"> and</w:t>
      </w:r>
      <w:r w:rsidRPr="00FA03CA">
        <w:rPr>
          <w:rFonts w:eastAsia="Arial"/>
          <w:szCs w:val="20"/>
        </w:rPr>
        <w:t xml:space="preserve"> habitat utilisation variable) as random variables. An estimate of variation in </w:t>
      </w:r>
      <w:r w:rsidR="00391AF8" w:rsidRPr="00FA03CA">
        <w:rPr>
          <w:rFonts w:eastAsia="Arial"/>
          <w:szCs w:val="20"/>
        </w:rPr>
        <w:t xml:space="preserve">carp </w:t>
      </w:r>
      <w:r w:rsidRPr="00FA03CA">
        <w:rPr>
          <w:rFonts w:eastAsia="Arial"/>
          <w:szCs w:val="20"/>
        </w:rPr>
        <w:t>biomass w</w:t>
      </w:r>
      <w:r w:rsidR="00862CC1" w:rsidRPr="00FA03CA">
        <w:rPr>
          <w:rFonts w:eastAsia="Arial"/>
          <w:szCs w:val="20"/>
        </w:rPr>
        <w:t>as</w:t>
      </w:r>
      <w:r w:rsidRPr="00FA03CA">
        <w:rPr>
          <w:rFonts w:eastAsia="Arial"/>
          <w:szCs w:val="20"/>
        </w:rPr>
        <w:t xml:space="preserve"> then obtained by sampling from the distributions of each random variable 10,000 times.  After </w:t>
      </w:r>
      <w:r w:rsidR="00862CC1" w:rsidRPr="00FA03CA">
        <w:rPr>
          <w:rFonts w:eastAsia="Arial"/>
          <w:szCs w:val="20"/>
        </w:rPr>
        <w:t xml:space="preserve">this, </w:t>
      </w:r>
      <w:r w:rsidRPr="00FA03CA">
        <w:rPr>
          <w:rFonts w:eastAsia="Arial"/>
          <w:szCs w:val="20"/>
        </w:rPr>
        <w:t xml:space="preserve">data from each segment were summed, to obtain values of </w:t>
      </w:r>
      <w:r w:rsidR="00391AF8" w:rsidRPr="00FA03CA">
        <w:rPr>
          <w:rFonts w:eastAsia="Arial"/>
          <w:szCs w:val="20"/>
        </w:rPr>
        <w:t xml:space="preserve">Australian </w:t>
      </w:r>
      <w:r w:rsidRPr="00FA03CA">
        <w:rPr>
          <w:rFonts w:eastAsia="Arial"/>
          <w:szCs w:val="20"/>
        </w:rPr>
        <w:t xml:space="preserve">state and </w:t>
      </w:r>
      <w:r w:rsidR="00391AF8" w:rsidRPr="00FA03CA">
        <w:rPr>
          <w:rFonts w:eastAsia="Arial"/>
          <w:szCs w:val="20"/>
        </w:rPr>
        <w:t xml:space="preserve">total </w:t>
      </w:r>
      <w:r w:rsidRPr="00FA03CA">
        <w:rPr>
          <w:rFonts w:eastAsia="Arial"/>
          <w:szCs w:val="20"/>
        </w:rPr>
        <w:t>continental biomass. From these replicates, we calculated the mean biomass with 95%CrI.</w:t>
      </w:r>
    </w:p>
    <w:p w14:paraId="3123855B" w14:textId="77777777" w:rsidR="00D8353F" w:rsidRPr="00FA03CA" w:rsidRDefault="00D8353F" w:rsidP="009A3FBB">
      <w:pPr>
        <w:spacing w:before="120" w:line="360" w:lineRule="auto"/>
        <w:jc w:val="both"/>
        <w:rPr>
          <w:rFonts w:eastAsia="Cambria"/>
          <w:szCs w:val="20"/>
          <w:lang w:val="en-US"/>
        </w:rPr>
      </w:pPr>
    </w:p>
    <w:p w14:paraId="7AF8C6B9" w14:textId="76166993" w:rsidR="009A3FBB" w:rsidRPr="00FA03CA" w:rsidRDefault="001F20AC" w:rsidP="009A3FBB">
      <w:pPr>
        <w:spacing w:before="120" w:line="360" w:lineRule="auto"/>
        <w:jc w:val="both"/>
        <w:rPr>
          <w:rFonts w:eastAsia="Arial"/>
          <w:i/>
          <w:iCs/>
        </w:rPr>
      </w:pPr>
      <w:r w:rsidRPr="00FA03CA">
        <w:rPr>
          <w:rFonts w:eastAsia="Arial"/>
          <w:i/>
          <w:iCs/>
        </w:rPr>
        <w:t xml:space="preserve">Step </w:t>
      </w:r>
      <w:r w:rsidR="00AD1DA9" w:rsidRPr="00FA03CA">
        <w:rPr>
          <w:rFonts w:eastAsia="Arial"/>
          <w:i/>
          <w:iCs/>
        </w:rPr>
        <w:t>8</w:t>
      </w:r>
      <w:r w:rsidRPr="00FA03CA">
        <w:rPr>
          <w:rFonts w:eastAsia="Arial"/>
          <w:i/>
          <w:iCs/>
        </w:rPr>
        <w:t>:</w:t>
      </w:r>
      <w:r w:rsidR="009A3FBB" w:rsidRPr="00FA03CA">
        <w:rPr>
          <w:rFonts w:eastAsia="Arial"/>
          <w:i/>
          <w:iCs/>
        </w:rPr>
        <w:t xml:space="preserve"> Model validation</w:t>
      </w:r>
      <w:r w:rsidR="009A3FBB" w:rsidRPr="00FA03CA">
        <w:t xml:space="preserve"> </w:t>
      </w:r>
    </w:p>
    <w:p w14:paraId="34ECB0ED" w14:textId="2404ADE0" w:rsidR="009A3FBB" w:rsidRPr="00FA03CA" w:rsidRDefault="00862CC1" w:rsidP="009A3FBB">
      <w:pPr>
        <w:spacing w:before="120" w:line="360" w:lineRule="auto"/>
        <w:jc w:val="both"/>
        <w:rPr>
          <w:rFonts w:eastAsia="Arial"/>
        </w:rPr>
      </w:pPr>
      <w:r w:rsidRPr="00FA03CA">
        <w:rPr>
          <w:rFonts w:eastAsia="Arial"/>
        </w:rPr>
        <w:t>Predictions of c</w:t>
      </w:r>
      <w:r w:rsidR="009A3FBB" w:rsidRPr="00FA03CA">
        <w:rPr>
          <w:rFonts w:eastAsia="Arial"/>
        </w:rPr>
        <w:t xml:space="preserve">arp biomass were compared with </w:t>
      </w:r>
      <w:r w:rsidR="004667AF" w:rsidRPr="00FA03CA">
        <w:rPr>
          <w:rFonts w:eastAsia="Arial"/>
        </w:rPr>
        <w:t xml:space="preserve">nine </w:t>
      </w:r>
      <w:r w:rsidR="009B39C5" w:rsidRPr="00FA03CA">
        <w:rPr>
          <w:rFonts w:eastAsia="Arial"/>
        </w:rPr>
        <w:t>k</w:t>
      </w:r>
      <w:r w:rsidR="009A3FBB" w:rsidRPr="00FA03CA">
        <w:rPr>
          <w:rFonts w:eastAsia="Arial"/>
        </w:rPr>
        <w:t xml:space="preserve">nown estimates of absolute biomass for lakes and storages from drying and dewatering events.  These biomass data had no measures of uncertainty and were treated as being ‘known’ for the validation. For the validation, we </w:t>
      </w:r>
      <w:r w:rsidR="004F2F7A" w:rsidRPr="00FA03CA">
        <w:rPr>
          <w:rFonts w:eastAsia="Arial"/>
        </w:rPr>
        <w:t xml:space="preserve">compared the </w:t>
      </w:r>
      <w:r w:rsidR="009A3FBB" w:rsidRPr="00FA03CA">
        <w:rPr>
          <w:rFonts w:eastAsia="Arial"/>
        </w:rPr>
        <w:t>predicted range of biomass for each waterbody with a known estimate of absolute biomass and determined whether the known biomass was within the 95%CrI of our estimate.</w:t>
      </w:r>
    </w:p>
    <w:p w14:paraId="182AB310" w14:textId="77777777" w:rsidR="003C37B9" w:rsidRPr="00FA03CA" w:rsidRDefault="003C37B9" w:rsidP="00C6407D">
      <w:pPr>
        <w:spacing w:after="200" w:line="360" w:lineRule="auto"/>
        <w:jc w:val="both"/>
        <w:rPr>
          <w:rFonts w:eastAsia="Arial"/>
        </w:rPr>
      </w:pPr>
    </w:p>
    <w:p w14:paraId="46BC304D" w14:textId="7D7DF22F" w:rsidR="003C37B9" w:rsidRPr="00FA03CA" w:rsidRDefault="001F20AC" w:rsidP="00C6407D">
      <w:pPr>
        <w:spacing w:after="200" w:line="360" w:lineRule="auto"/>
        <w:jc w:val="both"/>
        <w:rPr>
          <w:rFonts w:eastAsia="Arial"/>
          <w:i/>
          <w:iCs/>
        </w:rPr>
      </w:pPr>
      <w:r w:rsidRPr="00FA03CA">
        <w:rPr>
          <w:rFonts w:eastAsia="Arial"/>
          <w:i/>
          <w:iCs/>
        </w:rPr>
        <w:lastRenderedPageBreak/>
        <w:t>Biomass estimates for i</w:t>
      </w:r>
      <w:r w:rsidR="003C37B9" w:rsidRPr="00FA03CA">
        <w:rPr>
          <w:rFonts w:eastAsia="Arial"/>
          <w:i/>
          <w:iCs/>
        </w:rPr>
        <w:t xml:space="preserve">rrigation channels and </w:t>
      </w:r>
      <w:r w:rsidR="00C251CA" w:rsidRPr="00FA03CA">
        <w:rPr>
          <w:rFonts w:eastAsia="Arial"/>
          <w:i/>
          <w:iCs/>
        </w:rPr>
        <w:t xml:space="preserve">for aquatic habitats in </w:t>
      </w:r>
      <w:r w:rsidR="003C37B9" w:rsidRPr="00FA03CA">
        <w:rPr>
          <w:rFonts w:eastAsia="Arial"/>
          <w:i/>
          <w:iCs/>
        </w:rPr>
        <w:t>Western Australia</w:t>
      </w:r>
    </w:p>
    <w:p w14:paraId="35F71833" w14:textId="4431FF18" w:rsidR="004F612D" w:rsidRPr="00FA03CA" w:rsidRDefault="00493D39" w:rsidP="00C6407D">
      <w:pPr>
        <w:spacing w:after="200" w:line="360" w:lineRule="auto"/>
        <w:jc w:val="both"/>
        <w:rPr>
          <w:rFonts w:eastAsia="Arial"/>
        </w:rPr>
      </w:pPr>
      <w:r w:rsidRPr="00FA03CA">
        <w:rPr>
          <w:rFonts w:eastAsia="Arial"/>
        </w:rPr>
        <w:t>There were too few carp records for i</w:t>
      </w:r>
      <w:r w:rsidR="003C37B9" w:rsidRPr="00FA03CA">
        <w:rPr>
          <w:rFonts w:eastAsia="Arial"/>
        </w:rPr>
        <w:t xml:space="preserve">rrigation channels </w:t>
      </w:r>
      <w:r w:rsidR="00FD3DA3" w:rsidRPr="00FA03CA">
        <w:rPr>
          <w:rFonts w:eastAsia="Arial"/>
        </w:rPr>
        <w:t xml:space="preserve">in south-eastern Australia </w:t>
      </w:r>
      <w:r w:rsidRPr="00FA03CA">
        <w:rPr>
          <w:rFonts w:eastAsia="Arial"/>
        </w:rPr>
        <w:t xml:space="preserve">or for </w:t>
      </w:r>
      <w:r w:rsidR="00FD3DA3" w:rsidRPr="00FA03CA">
        <w:rPr>
          <w:rFonts w:eastAsia="Arial"/>
        </w:rPr>
        <w:t xml:space="preserve">aquatic habitats in </w:t>
      </w:r>
      <w:r w:rsidR="003C37B9" w:rsidRPr="00FA03CA">
        <w:rPr>
          <w:rFonts w:eastAsia="Arial"/>
        </w:rPr>
        <w:t xml:space="preserve">Western Australia </w:t>
      </w:r>
      <w:r w:rsidRPr="00FA03CA">
        <w:rPr>
          <w:rFonts w:eastAsia="Arial"/>
        </w:rPr>
        <w:t>to model carp density as described</w:t>
      </w:r>
      <w:r w:rsidR="00A009A1" w:rsidRPr="00FA03CA">
        <w:rPr>
          <w:rFonts w:eastAsia="Arial"/>
        </w:rPr>
        <w:t xml:space="preserve"> </w:t>
      </w:r>
      <w:r w:rsidR="003C37B9" w:rsidRPr="00FA03CA">
        <w:rPr>
          <w:rFonts w:eastAsia="Arial"/>
        </w:rPr>
        <w:t xml:space="preserve">above.  </w:t>
      </w:r>
      <w:r w:rsidRPr="00FA03CA">
        <w:rPr>
          <w:rFonts w:eastAsia="Arial"/>
        </w:rPr>
        <w:t xml:space="preserve">For irrigation channels, </w:t>
      </w:r>
      <w:r w:rsidR="00A009A1" w:rsidRPr="00FA03CA">
        <w:rPr>
          <w:rFonts w:eastAsia="Arial"/>
        </w:rPr>
        <w:t xml:space="preserve">carp biomass </w:t>
      </w:r>
      <w:r w:rsidRPr="00FA03CA">
        <w:rPr>
          <w:rFonts w:eastAsia="Arial"/>
        </w:rPr>
        <w:t>was estimated by</w:t>
      </w:r>
      <w:r w:rsidR="00FD3DA3" w:rsidRPr="00FA03CA">
        <w:rPr>
          <w:rFonts w:eastAsia="Arial"/>
        </w:rPr>
        <w:t>:</w:t>
      </w:r>
      <w:r w:rsidRPr="00FA03CA">
        <w:rPr>
          <w:rFonts w:eastAsia="Arial"/>
        </w:rPr>
        <w:t xml:space="preserve"> </w:t>
      </w:r>
      <w:r w:rsidR="003C37B9" w:rsidRPr="00FA03CA">
        <w:rPr>
          <w:rFonts w:eastAsia="Arial"/>
        </w:rPr>
        <w:t xml:space="preserve">1) </w:t>
      </w:r>
      <w:r w:rsidRPr="00FA03CA">
        <w:rPr>
          <w:rFonts w:eastAsia="Arial"/>
        </w:rPr>
        <w:t xml:space="preserve">estimating the area of irrigation channel habitat using a combination of the length of mapped channel lines and observations of wetted </w:t>
      </w:r>
      <w:r w:rsidR="002F1C1F" w:rsidRPr="00FA03CA">
        <w:rPr>
          <w:rFonts w:eastAsia="Arial"/>
        </w:rPr>
        <w:t>width</w:t>
      </w:r>
      <w:r w:rsidRPr="00FA03CA">
        <w:rPr>
          <w:rFonts w:eastAsia="Arial"/>
        </w:rPr>
        <w:t xml:space="preserve"> in aerial imagery</w:t>
      </w:r>
      <w:r w:rsidR="00FD3DA3" w:rsidRPr="00FA03CA">
        <w:rPr>
          <w:rFonts w:eastAsia="Arial"/>
        </w:rPr>
        <w:t xml:space="preserve">; </w:t>
      </w:r>
      <w:r w:rsidR="002F1C1F" w:rsidRPr="00FA03CA">
        <w:rPr>
          <w:rFonts w:eastAsia="Arial"/>
        </w:rPr>
        <w:t>2</w:t>
      </w:r>
      <w:r w:rsidR="003C37B9" w:rsidRPr="00FA03CA">
        <w:rPr>
          <w:rFonts w:eastAsia="Arial"/>
        </w:rPr>
        <w:t>) multipl</w:t>
      </w:r>
      <w:r w:rsidR="002F1C1F" w:rsidRPr="00FA03CA">
        <w:rPr>
          <w:rFonts w:eastAsia="Arial"/>
        </w:rPr>
        <w:t>ying the</w:t>
      </w:r>
      <w:r w:rsidR="003C37B9" w:rsidRPr="00FA03CA">
        <w:rPr>
          <w:rFonts w:eastAsia="Arial"/>
        </w:rPr>
        <w:t xml:space="preserve"> total </w:t>
      </w:r>
      <w:r w:rsidR="002F1C1F" w:rsidRPr="00FA03CA">
        <w:rPr>
          <w:rFonts w:eastAsia="Arial"/>
        </w:rPr>
        <w:t xml:space="preserve">wetted </w:t>
      </w:r>
      <w:r w:rsidR="003C37B9" w:rsidRPr="00FA03CA">
        <w:rPr>
          <w:rFonts w:eastAsia="Arial"/>
        </w:rPr>
        <w:t xml:space="preserve">channel area by three </w:t>
      </w:r>
      <w:r w:rsidR="002F1C1F" w:rsidRPr="00FA03CA">
        <w:rPr>
          <w:rFonts w:eastAsia="Arial"/>
        </w:rPr>
        <w:t xml:space="preserve">potential </w:t>
      </w:r>
      <w:r w:rsidR="00FD3DA3" w:rsidRPr="00FA03CA">
        <w:rPr>
          <w:rFonts w:eastAsia="Arial"/>
        </w:rPr>
        <w:t xml:space="preserve">biomass </w:t>
      </w:r>
      <w:r w:rsidR="003C37B9" w:rsidRPr="00FA03CA">
        <w:rPr>
          <w:rFonts w:eastAsia="Arial"/>
        </w:rPr>
        <w:t xml:space="preserve">density levels (low = 50 kg/ha, medium = 150 kg/ha, and high = 300 kg/ha).  </w:t>
      </w:r>
      <w:r w:rsidR="002F1C1F" w:rsidRPr="00FA03CA">
        <w:rPr>
          <w:rFonts w:eastAsia="Arial"/>
        </w:rPr>
        <w:t xml:space="preserve">An estimate for </w:t>
      </w:r>
      <w:r w:rsidR="00FD3DA3" w:rsidRPr="00FA03CA">
        <w:rPr>
          <w:rFonts w:eastAsia="Arial"/>
        </w:rPr>
        <w:t xml:space="preserve">aquatic habitats in </w:t>
      </w:r>
      <w:r w:rsidR="003C37B9" w:rsidRPr="00FA03CA">
        <w:rPr>
          <w:rFonts w:eastAsia="Arial"/>
        </w:rPr>
        <w:t>Western Australia followed</w:t>
      </w:r>
      <w:r w:rsidR="002F1C1F" w:rsidRPr="00FA03CA">
        <w:rPr>
          <w:rFonts w:eastAsia="Arial"/>
        </w:rPr>
        <w:t xml:space="preserve"> a</w:t>
      </w:r>
      <w:r w:rsidR="003C37B9" w:rsidRPr="00FA03CA">
        <w:rPr>
          <w:rFonts w:eastAsia="Arial"/>
        </w:rPr>
        <w:t xml:space="preserve"> similar approach except that river</w:t>
      </w:r>
      <w:r w:rsidR="002F1C1F" w:rsidRPr="00FA03CA">
        <w:rPr>
          <w:rFonts w:eastAsia="Arial"/>
        </w:rPr>
        <w:t xml:space="preserve"> areas </w:t>
      </w:r>
      <w:r w:rsidR="003C37B9" w:rsidRPr="00FA03CA">
        <w:rPr>
          <w:rFonts w:eastAsia="Arial"/>
        </w:rPr>
        <w:t xml:space="preserve">were predicted from </w:t>
      </w:r>
      <w:r w:rsidR="00A009A1" w:rsidRPr="00FA03CA">
        <w:rPr>
          <w:rFonts w:eastAsia="Arial"/>
        </w:rPr>
        <w:t xml:space="preserve">the </w:t>
      </w:r>
      <w:r w:rsidR="003C37B9" w:rsidRPr="00FA03CA">
        <w:rPr>
          <w:rFonts w:eastAsia="Arial"/>
        </w:rPr>
        <w:t>eastern Australia river width model</w:t>
      </w:r>
      <w:r w:rsidR="00FD3DA3" w:rsidRPr="00FA03CA">
        <w:rPr>
          <w:rFonts w:eastAsia="Arial"/>
        </w:rPr>
        <w:t>,</w:t>
      </w:r>
      <w:r w:rsidR="003C37B9" w:rsidRPr="00FA03CA">
        <w:rPr>
          <w:rFonts w:eastAsia="Arial"/>
        </w:rPr>
        <w:t xml:space="preserve"> and </w:t>
      </w:r>
      <w:r w:rsidR="00FD3DA3" w:rsidRPr="00FA03CA">
        <w:rPr>
          <w:rFonts w:eastAsia="Arial"/>
        </w:rPr>
        <w:t xml:space="preserve">the </w:t>
      </w:r>
      <w:r w:rsidR="003C37B9" w:rsidRPr="00FA03CA">
        <w:rPr>
          <w:rFonts w:eastAsia="Arial"/>
        </w:rPr>
        <w:t xml:space="preserve">total water area was the sum of </w:t>
      </w:r>
      <w:r w:rsidR="00FD3DA3" w:rsidRPr="00FA03CA">
        <w:rPr>
          <w:rFonts w:eastAsia="Arial"/>
        </w:rPr>
        <w:t xml:space="preserve">both </w:t>
      </w:r>
      <w:r w:rsidR="003C37B9" w:rsidRPr="00FA03CA">
        <w:rPr>
          <w:rFonts w:eastAsia="Arial"/>
        </w:rPr>
        <w:t>river and waterbody area</w:t>
      </w:r>
      <w:r w:rsidR="00FD3DA3" w:rsidRPr="00FA03CA">
        <w:rPr>
          <w:rFonts w:eastAsia="Arial"/>
        </w:rPr>
        <w:t>s</w:t>
      </w:r>
      <w:r w:rsidR="003C37B9" w:rsidRPr="00FA03CA">
        <w:rPr>
          <w:rFonts w:eastAsia="Arial"/>
        </w:rPr>
        <w:t xml:space="preserve"> </w:t>
      </w:r>
      <w:r w:rsidR="00A009A1" w:rsidRPr="00FA03CA">
        <w:rPr>
          <w:rFonts w:eastAsia="Arial"/>
        </w:rPr>
        <w:t xml:space="preserve">with </w:t>
      </w:r>
      <w:r w:rsidR="003C37B9" w:rsidRPr="00FA03CA">
        <w:rPr>
          <w:rFonts w:eastAsia="Arial"/>
        </w:rPr>
        <w:t xml:space="preserve">no separation of habitats.  </w:t>
      </w:r>
      <w:r w:rsidR="00290DE3" w:rsidRPr="00FA03CA">
        <w:rPr>
          <w:rFonts w:eastAsia="Arial"/>
        </w:rPr>
        <w:t xml:space="preserve">The geographic distribution of carp (i.e. presence/ absence) in </w:t>
      </w:r>
      <w:r w:rsidR="00FD3DA3" w:rsidRPr="00FA03CA">
        <w:rPr>
          <w:rFonts w:eastAsia="Arial"/>
        </w:rPr>
        <w:t xml:space="preserve">aquatic habitats in </w:t>
      </w:r>
      <w:r w:rsidR="00290DE3" w:rsidRPr="00FA03CA">
        <w:rPr>
          <w:rFonts w:eastAsia="Arial"/>
        </w:rPr>
        <w:t xml:space="preserve">Western Australian was verified with local experts.  </w:t>
      </w:r>
      <w:r w:rsidR="003C37B9" w:rsidRPr="00FA03CA">
        <w:rPr>
          <w:rFonts w:eastAsia="Arial"/>
        </w:rPr>
        <w:t xml:space="preserve">For both estimates, no attempt was made at quantifying uncertainty in </w:t>
      </w:r>
      <w:r w:rsidR="00A009A1" w:rsidRPr="00FA03CA">
        <w:rPr>
          <w:rFonts w:eastAsia="Arial"/>
        </w:rPr>
        <w:t xml:space="preserve">biomass </w:t>
      </w:r>
      <w:r w:rsidR="003C37B9" w:rsidRPr="00FA03CA">
        <w:rPr>
          <w:rFonts w:eastAsia="Arial"/>
        </w:rPr>
        <w:t>estimates</w:t>
      </w:r>
      <w:r w:rsidR="004F612D" w:rsidRPr="00FA03CA">
        <w:rPr>
          <w:rFonts w:eastAsia="Arial"/>
        </w:rPr>
        <w:t>.</w:t>
      </w:r>
      <w:r w:rsidR="00290DE3" w:rsidRPr="00FA03CA">
        <w:rPr>
          <w:rFonts w:eastAsia="Arial"/>
        </w:rPr>
        <w:t xml:space="preserve">  </w:t>
      </w:r>
      <w:r w:rsidR="00FD3DA3" w:rsidRPr="00FA03CA">
        <w:rPr>
          <w:rFonts w:eastAsia="Arial"/>
        </w:rPr>
        <w:t>We consider these to be negligible sources of error as they comprise only small components of the continental-scale biomass.</w:t>
      </w:r>
    </w:p>
    <w:p w14:paraId="71F68301" w14:textId="77777777" w:rsidR="00FD3DA3" w:rsidRPr="00FA03CA" w:rsidRDefault="00FD3DA3" w:rsidP="00C6407D">
      <w:pPr>
        <w:spacing w:after="200" w:line="360" w:lineRule="auto"/>
        <w:jc w:val="both"/>
        <w:rPr>
          <w:rFonts w:eastAsia="Arial"/>
        </w:rPr>
      </w:pPr>
    </w:p>
    <w:p w14:paraId="584ECB20" w14:textId="7492B671" w:rsidR="00A07BA0" w:rsidRPr="00FA03CA" w:rsidRDefault="00A07BA0" w:rsidP="00C6407D">
      <w:pPr>
        <w:spacing w:after="200" w:line="360" w:lineRule="auto"/>
        <w:jc w:val="both"/>
        <w:rPr>
          <w:rFonts w:eastAsia="Arial"/>
        </w:rPr>
        <w:sectPr w:rsidR="00A07BA0" w:rsidRPr="00FA03CA" w:rsidSect="00FA03C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5A83384A" w14:textId="2B74E7CD" w:rsidR="00A64D1E" w:rsidRPr="00FA03CA" w:rsidRDefault="00A64D1E" w:rsidP="00A64D1E">
      <w:pPr>
        <w:spacing w:before="120" w:line="360" w:lineRule="auto"/>
        <w:jc w:val="both"/>
        <w:rPr>
          <w:rFonts w:eastAsia="Cambria"/>
          <w:szCs w:val="20"/>
          <w:lang w:val="en-US"/>
        </w:rPr>
      </w:pPr>
      <w:r w:rsidRPr="00FA03CA">
        <w:rPr>
          <w:rFonts w:eastAsia="Cambria"/>
          <w:b/>
          <w:bCs/>
          <w:szCs w:val="20"/>
          <w:lang w:val="en-US"/>
        </w:rPr>
        <w:lastRenderedPageBreak/>
        <w:t>Table A1.</w:t>
      </w:r>
      <w:r w:rsidRPr="00FA03CA">
        <w:rPr>
          <w:rFonts w:eastAsia="Cambria"/>
          <w:szCs w:val="20"/>
          <w:lang w:val="en-US"/>
        </w:rPr>
        <w:t xml:space="preserve">  </w:t>
      </w:r>
      <w:r w:rsidR="00723852" w:rsidRPr="00FA03CA">
        <w:rPr>
          <w:rFonts w:eastAsia="Cambria"/>
          <w:szCs w:val="20"/>
          <w:lang w:val="en-US"/>
        </w:rPr>
        <w:t>P</w:t>
      </w:r>
      <w:r w:rsidRPr="00FA03CA">
        <w:rPr>
          <w:rFonts w:eastAsia="Cambria"/>
          <w:szCs w:val="20"/>
          <w:lang w:val="en-US"/>
        </w:rPr>
        <w:t xml:space="preserve">rocess for estimating carp biomass </w:t>
      </w:r>
      <w:r w:rsidR="00A17415" w:rsidRPr="00FA03CA">
        <w:rPr>
          <w:rFonts w:eastAsia="Cambria"/>
          <w:szCs w:val="20"/>
          <w:lang w:val="en-US"/>
        </w:rPr>
        <w:t xml:space="preserve">by </w:t>
      </w:r>
      <w:r w:rsidRPr="00FA03CA">
        <w:rPr>
          <w:rFonts w:eastAsia="Cambria"/>
          <w:szCs w:val="20"/>
          <w:lang w:val="en-US"/>
        </w:rPr>
        <w:t>using models that link historic and contemporary catch data with catch efficiency rates for different aquatic habitat types</w:t>
      </w:r>
      <w:r w:rsidR="00FD3DA3" w:rsidRPr="00FA03CA">
        <w:rPr>
          <w:rFonts w:eastAsia="Cambria"/>
          <w:szCs w:val="20"/>
          <w:lang w:val="en-US"/>
        </w:rPr>
        <w:t>,</w:t>
      </w:r>
      <w:r w:rsidRPr="00FA03CA">
        <w:rPr>
          <w:rFonts w:eastAsia="Cambria"/>
          <w:szCs w:val="20"/>
          <w:lang w:val="en-US"/>
        </w:rPr>
        <w:t xml:space="preserve"> including rivers</w:t>
      </w:r>
      <w:r w:rsidR="00631DFE" w:rsidRPr="00FA03CA">
        <w:rPr>
          <w:rFonts w:eastAsia="Cambria"/>
          <w:szCs w:val="20"/>
          <w:lang w:val="en-US"/>
        </w:rPr>
        <w:t xml:space="preserve"> (including estuaries)</w:t>
      </w:r>
      <w:r w:rsidRPr="00FA03CA">
        <w:rPr>
          <w:rFonts w:eastAsia="Cambria"/>
          <w:szCs w:val="20"/>
          <w:lang w:val="en-US"/>
        </w:rPr>
        <w:t>, wetlands, lakes and</w:t>
      </w:r>
      <w:r w:rsidR="00B72BB2" w:rsidRPr="00FA03CA">
        <w:rPr>
          <w:rFonts w:eastAsia="Cambria"/>
          <w:szCs w:val="20"/>
          <w:lang w:val="en-US"/>
        </w:rPr>
        <w:t xml:space="preserve"> storages (i.e. impoundments and reservoirs)</w:t>
      </w:r>
      <w:r w:rsidRPr="00FA03CA">
        <w:rPr>
          <w:rFonts w:eastAsia="Cambria"/>
          <w:szCs w:val="20"/>
          <w:lang w:val="en-US"/>
        </w:rPr>
        <w:t>.</w:t>
      </w:r>
    </w:p>
    <w:tbl>
      <w:tblPr>
        <w:tblStyle w:val="TableGrid"/>
        <w:tblW w:w="14317" w:type="dxa"/>
        <w:tblBorders>
          <w:left w:val="none" w:sz="0" w:space="0" w:color="auto"/>
          <w:right w:val="none" w:sz="0" w:space="0" w:color="auto"/>
          <w:insideV w:val="none" w:sz="0" w:space="0" w:color="auto"/>
        </w:tblBorders>
        <w:tblLook w:val="04A0" w:firstRow="1" w:lastRow="0" w:firstColumn="1" w:lastColumn="0" w:noHBand="0" w:noVBand="1"/>
      </w:tblPr>
      <w:tblGrid>
        <w:gridCol w:w="650"/>
        <w:gridCol w:w="4590"/>
        <w:gridCol w:w="4678"/>
        <w:gridCol w:w="4399"/>
      </w:tblGrid>
      <w:tr w:rsidR="00A64D1E" w:rsidRPr="00FA03CA" w14:paraId="2B29A42E" w14:textId="77777777" w:rsidTr="009B08F8">
        <w:tc>
          <w:tcPr>
            <w:tcW w:w="650" w:type="dxa"/>
          </w:tcPr>
          <w:p w14:paraId="77135B14" w14:textId="77777777" w:rsidR="00A64D1E" w:rsidRPr="00FA03CA" w:rsidRDefault="00A64D1E" w:rsidP="000E6862">
            <w:pPr>
              <w:spacing w:before="120" w:line="360" w:lineRule="auto"/>
              <w:jc w:val="both"/>
              <w:rPr>
                <w:rFonts w:eastAsia="Cambria"/>
                <w:b/>
                <w:bCs/>
                <w:szCs w:val="20"/>
                <w:lang w:val="en-US"/>
              </w:rPr>
            </w:pPr>
            <w:r w:rsidRPr="00FA03CA">
              <w:rPr>
                <w:rFonts w:eastAsia="Cambria"/>
                <w:b/>
                <w:bCs/>
                <w:szCs w:val="20"/>
                <w:lang w:val="en-US"/>
              </w:rPr>
              <w:t>Step</w:t>
            </w:r>
          </w:p>
        </w:tc>
        <w:tc>
          <w:tcPr>
            <w:tcW w:w="4590" w:type="dxa"/>
          </w:tcPr>
          <w:p w14:paraId="3C99F332" w14:textId="77777777" w:rsidR="00A64D1E" w:rsidRPr="00FA03CA" w:rsidRDefault="00A64D1E" w:rsidP="000E6862">
            <w:pPr>
              <w:spacing w:before="120" w:line="360" w:lineRule="auto"/>
              <w:jc w:val="both"/>
              <w:rPr>
                <w:rFonts w:eastAsia="Cambria"/>
                <w:b/>
                <w:bCs/>
                <w:szCs w:val="20"/>
                <w:lang w:val="en-US"/>
              </w:rPr>
            </w:pPr>
            <w:r w:rsidRPr="00FA03CA">
              <w:rPr>
                <w:rFonts w:eastAsia="Cambria"/>
                <w:b/>
                <w:bCs/>
                <w:szCs w:val="20"/>
                <w:lang w:val="en-US"/>
              </w:rPr>
              <w:t>Rivers</w:t>
            </w:r>
          </w:p>
        </w:tc>
        <w:tc>
          <w:tcPr>
            <w:tcW w:w="4678" w:type="dxa"/>
          </w:tcPr>
          <w:p w14:paraId="79139269" w14:textId="77777777" w:rsidR="00A64D1E" w:rsidRPr="00FA03CA" w:rsidRDefault="00A64D1E" w:rsidP="000E6862">
            <w:pPr>
              <w:spacing w:before="120" w:line="360" w:lineRule="auto"/>
              <w:jc w:val="both"/>
              <w:rPr>
                <w:rFonts w:eastAsia="Cambria"/>
                <w:b/>
                <w:bCs/>
                <w:szCs w:val="20"/>
                <w:lang w:val="en-US"/>
              </w:rPr>
            </w:pPr>
            <w:r w:rsidRPr="00FA03CA">
              <w:rPr>
                <w:rFonts w:eastAsia="Cambria"/>
                <w:b/>
                <w:bCs/>
                <w:szCs w:val="20"/>
                <w:lang w:val="en-US"/>
              </w:rPr>
              <w:t>Wetlands</w:t>
            </w:r>
          </w:p>
        </w:tc>
        <w:tc>
          <w:tcPr>
            <w:tcW w:w="4399" w:type="dxa"/>
          </w:tcPr>
          <w:p w14:paraId="7EE4D0C2" w14:textId="5DA6B173" w:rsidR="00A64D1E" w:rsidRPr="00FA03CA" w:rsidRDefault="00A64D1E" w:rsidP="000E6862">
            <w:pPr>
              <w:spacing w:before="120" w:line="360" w:lineRule="auto"/>
              <w:jc w:val="both"/>
              <w:rPr>
                <w:rFonts w:eastAsia="Cambria"/>
                <w:b/>
                <w:bCs/>
                <w:szCs w:val="20"/>
                <w:lang w:val="en-US"/>
              </w:rPr>
            </w:pPr>
            <w:r w:rsidRPr="00FA03CA">
              <w:rPr>
                <w:rFonts w:eastAsia="Cambria"/>
                <w:b/>
                <w:bCs/>
                <w:szCs w:val="20"/>
                <w:lang w:val="en-US"/>
              </w:rPr>
              <w:t xml:space="preserve">Lakes and </w:t>
            </w:r>
            <w:r w:rsidR="00157FBB" w:rsidRPr="00FA03CA">
              <w:rPr>
                <w:rFonts w:eastAsia="Cambria"/>
                <w:b/>
                <w:bCs/>
                <w:szCs w:val="20"/>
                <w:lang w:val="en-US"/>
              </w:rPr>
              <w:t>storages</w:t>
            </w:r>
          </w:p>
        </w:tc>
      </w:tr>
      <w:tr w:rsidR="00A64D1E" w:rsidRPr="00FA03CA" w14:paraId="22BC0719" w14:textId="77777777" w:rsidTr="00F83A80">
        <w:tc>
          <w:tcPr>
            <w:tcW w:w="650" w:type="dxa"/>
          </w:tcPr>
          <w:p w14:paraId="778C3C5E" w14:textId="77777777" w:rsidR="00A64D1E" w:rsidRPr="00FA03CA" w:rsidRDefault="00A64D1E" w:rsidP="000E6862">
            <w:pPr>
              <w:spacing w:before="120" w:line="360" w:lineRule="auto"/>
              <w:jc w:val="both"/>
              <w:rPr>
                <w:rFonts w:eastAsia="Cambria"/>
                <w:b/>
                <w:bCs/>
                <w:szCs w:val="20"/>
                <w:lang w:val="en-US"/>
              </w:rPr>
            </w:pPr>
            <w:r w:rsidRPr="00FA03CA">
              <w:rPr>
                <w:rFonts w:eastAsia="Cambria"/>
                <w:b/>
                <w:bCs/>
                <w:szCs w:val="20"/>
                <w:lang w:val="en-US"/>
              </w:rPr>
              <w:t>1</w:t>
            </w:r>
          </w:p>
        </w:tc>
        <w:tc>
          <w:tcPr>
            <w:tcW w:w="13667" w:type="dxa"/>
            <w:gridSpan w:val="3"/>
          </w:tcPr>
          <w:p w14:paraId="59F4E32C" w14:textId="0226D9AE" w:rsidR="00A64D1E" w:rsidRPr="00FA03CA" w:rsidRDefault="00A07BA0" w:rsidP="002F1C1F">
            <w:pPr>
              <w:spacing w:before="120" w:line="360" w:lineRule="auto"/>
              <w:jc w:val="both"/>
              <w:rPr>
                <w:rFonts w:eastAsia="Cambria"/>
                <w:szCs w:val="20"/>
                <w:lang w:val="en-US"/>
              </w:rPr>
            </w:pPr>
            <w:r w:rsidRPr="00FA03CA">
              <w:rPr>
                <w:rFonts w:eastAsia="Cambria"/>
                <w:szCs w:val="20"/>
                <w:lang w:val="en-US"/>
              </w:rPr>
              <w:t xml:space="preserve">Compile a national map of aquatic ecosystems </w:t>
            </w:r>
            <w:r w:rsidR="00FD3DA3" w:rsidRPr="00FA03CA">
              <w:rPr>
                <w:rFonts w:eastAsia="Cambria"/>
                <w:szCs w:val="20"/>
                <w:lang w:val="en-US"/>
              </w:rPr>
              <w:t xml:space="preserve">and </w:t>
            </w:r>
            <w:r w:rsidRPr="00FA03CA">
              <w:rPr>
                <w:rFonts w:eastAsia="Cambria"/>
                <w:szCs w:val="20"/>
                <w:lang w:val="en-US"/>
              </w:rPr>
              <w:t>calculate the spatial extent (i.e. total area) of each habitat type</w:t>
            </w:r>
            <w:r w:rsidR="003B7238" w:rsidRPr="00FA03CA">
              <w:rPr>
                <w:rFonts w:eastAsia="Cambria"/>
                <w:szCs w:val="20"/>
                <w:lang w:val="en-US"/>
              </w:rPr>
              <w:t>.</w:t>
            </w:r>
          </w:p>
        </w:tc>
      </w:tr>
      <w:tr w:rsidR="00A64D1E" w:rsidRPr="00FA03CA" w14:paraId="501531A3" w14:textId="77777777" w:rsidTr="00F83A80">
        <w:tc>
          <w:tcPr>
            <w:tcW w:w="650" w:type="dxa"/>
          </w:tcPr>
          <w:p w14:paraId="22690414" w14:textId="77777777" w:rsidR="00A64D1E" w:rsidRPr="00FA03CA" w:rsidRDefault="00A64D1E" w:rsidP="000E6862">
            <w:pPr>
              <w:spacing w:before="120" w:line="360" w:lineRule="auto"/>
              <w:jc w:val="both"/>
              <w:rPr>
                <w:rFonts w:eastAsia="Cambria"/>
                <w:b/>
                <w:bCs/>
                <w:szCs w:val="20"/>
                <w:lang w:val="en-US"/>
              </w:rPr>
            </w:pPr>
            <w:r w:rsidRPr="00FA03CA">
              <w:rPr>
                <w:rFonts w:eastAsia="Cambria"/>
                <w:b/>
                <w:bCs/>
                <w:szCs w:val="20"/>
                <w:lang w:val="en-US"/>
              </w:rPr>
              <w:t>2</w:t>
            </w:r>
          </w:p>
        </w:tc>
        <w:tc>
          <w:tcPr>
            <w:tcW w:w="13667" w:type="dxa"/>
            <w:gridSpan w:val="3"/>
          </w:tcPr>
          <w:p w14:paraId="31CE3D5F" w14:textId="793D20D2" w:rsidR="00A64D1E" w:rsidRPr="00FA03CA" w:rsidRDefault="00A07BA0" w:rsidP="000E6862">
            <w:pPr>
              <w:spacing w:before="120" w:line="360" w:lineRule="auto"/>
              <w:jc w:val="both"/>
              <w:rPr>
                <w:rFonts w:eastAsia="Cambria"/>
                <w:szCs w:val="20"/>
                <w:lang w:val="en-US"/>
              </w:rPr>
            </w:pPr>
            <w:r w:rsidRPr="00FA03CA">
              <w:rPr>
                <w:rFonts w:eastAsia="Cambria"/>
                <w:szCs w:val="20"/>
                <w:lang w:val="en-US"/>
              </w:rPr>
              <w:t>Assemble a national database of existing site-based estimates of carp relative density (catch-per-unit-effort; CPUE) and associated environmental co-variates (e.g. depth, turbidity, electrical conductivity) and conduct contemporary sampling in data-poor habitats.</w:t>
            </w:r>
          </w:p>
        </w:tc>
      </w:tr>
      <w:tr w:rsidR="00A64D1E" w:rsidRPr="00FA03CA" w14:paraId="439FDF72" w14:textId="77777777" w:rsidTr="009B08F8">
        <w:tc>
          <w:tcPr>
            <w:tcW w:w="650" w:type="dxa"/>
          </w:tcPr>
          <w:p w14:paraId="581E2908" w14:textId="77777777" w:rsidR="00A64D1E" w:rsidRPr="00FA03CA" w:rsidRDefault="00A64D1E" w:rsidP="000E6862">
            <w:pPr>
              <w:spacing w:before="120" w:line="360" w:lineRule="auto"/>
              <w:jc w:val="both"/>
              <w:rPr>
                <w:rFonts w:eastAsia="Cambria"/>
                <w:b/>
                <w:bCs/>
                <w:szCs w:val="20"/>
                <w:lang w:val="en-US"/>
              </w:rPr>
            </w:pPr>
            <w:r w:rsidRPr="00FA03CA">
              <w:rPr>
                <w:rFonts w:eastAsia="Cambria"/>
                <w:b/>
                <w:bCs/>
                <w:szCs w:val="20"/>
                <w:lang w:val="en-US"/>
              </w:rPr>
              <w:t>3</w:t>
            </w:r>
          </w:p>
        </w:tc>
        <w:tc>
          <w:tcPr>
            <w:tcW w:w="4590" w:type="dxa"/>
          </w:tcPr>
          <w:p w14:paraId="18190A8D" w14:textId="23DFE16C" w:rsidR="00A64D1E" w:rsidRPr="00FA03CA" w:rsidRDefault="00A64D1E" w:rsidP="000E6862">
            <w:pPr>
              <w:spacing w:before="120" w:line="360" w:lineRule="auto"/>
              <w:jc w:val="both"/>
              <w:rPr>
                <w:rFonts w:eastAsia="Cambria"/>
                <w:szCs w:val="20"/>
                <w:lang w:val="en-US"/>
              </w:rPr>
            </w:pPr>
            <w:r w:rsidRPr="00FA03CA">
              <w:rPr>
                <w:rFonts w:eastAsia="Cambria"/>
                <w:szCs w:val="20"/>
                <w:lang w:val="en-US"/>
              </w:rPr>
              <w:t xml:space="preserve">Predict </w:t>
            </w:r>
            <w:r w:rsidR="00335F97" w:rsidRPr="00FA03CA">
              <w:rPr>
                <w:rFonts w:eastAsia="Cambria"/>
                <w:i/>
                <w:szCs w:val="20"/>
                <w:lang w:val="en-US"/>
              </w:rPr>
              <w:t>ef</w:t>
            </w:r>
            <w:r w:rsidRPr="00FA03CA">
              <w:rPr>
                <w:rFonts w:eastAsia="Cambria"/>
                <w:szCs w:val="20"/>
                <w:lang w:val="en-US"/>
              </w:rPr>
              <w:t>CPUE</w:t>
            </w:r>
            <w:r w:rsidR="00335F97" w:rsidRPr="00FA03CA">
              <w:rPr>
                <w:rFonts w:eastAsia="Cambria"/>
                <w:szCs w:val="20"/>
                <w:lang w:val="en-US"/>
              </w:rPr>
              <w:t xml:space="preserve"> (no/h)</w:t>
            </w:r>
            <w:r w:rsidRPr="00FA03CA">
              <w:rPr>
                <w:rFonts w:eastAsia="Cambria"/>
                <w:szCs w:val="20"/>
                <w:lang w:val="en-US"/>
              </w:rPr>
              <w:t xml:space="preserve"> and average individual carp mass for every river segment using the river CPUE model. </w:t>
            </w:r>
          </w:p>
        </w:tc>
        <w:tc>
          <w:tcPr>
            <w:tcW w:w="4678" w:type="dxa"/>
          </w:tcPr>
          <w:p w14:paraId="13B67341" w14:textId="79D0E75C" w:rsidR="00A64D1E" w:rsidRPr="00FA03CA" w:rsidRDefault="00A64D1E" w:rsidP="000E6862">
            <w:pPr>
              <w:spacing w:before="120" w:line="360" w:lineRule="auto"/>
              <w:jc w:val="both"/>
              <w:rPr>
                <w:rFonts w:eastAsia="Cambria"/>
                <w:szCs w:val="20"/>
                <w:lang w:val="en-US"/>
              </w:rPr>
            </w:pPr>
            <w:r w:rsidRPr="00FA03CA">
              <w:rPr>
                <w:rFonts w:eastAsia="Cambria"/>
                <w:szCs w:val="20"/>
                <w:lang w:val="en-US"/>
              </w:rPr>
              <w:t xml:space="preserve">Predict the </w:t>
            </w:r>
            <w:r w:rsidR="00335F97" w:rsidRPr="00FA03CA">
              <w:rPr>
                <w:rFonts w:eastAsia="Cambria"/>
                <w:i/>
                <w:szCs w:val="20"/>
                <w:lang w:val="en-US"/>
              </w:rPr>
              <w:t>ef</w:t>
            </w:r>
            <w:r w:rsidRPr="00FA03CA">
              <w:rPr>
                <w:rFonts w:eastAsia="Cambria"/>
                <w:szCs w:val="20"/>
                <w:lang w:val="en-US"/>
              </w:rPr>
              <w:t xml:space="preserve">CPUE and average individual carp mass for every waterbody using the wetland CPUE model. </w:t>
            </w:r>
          </w:p>
        </w:tc>
        <w:tc>
          <w:tcPr>
            <w:tcW w:w="4399" w:type="dxa"/>
          </w:tcPr>
          <w:p w14:paraId="597048A6" w14:textId="08CA1444" w:rsidR="00A64D1E" w:rsidRPr="00FA03CA" w:rsidRDefault="00A64D1E" w:rsidP="000E6862">
            <w:pPr>
              <w:spacing w:before="120" w:line="360" w:lineRule="auto"/>
              <w:jc w:val="both"/>
              <w:rPr>
                <w:rFonts w:eastAsia="Cambria"/>
                <w:szCs w:val="20"/>
                <w:lang w:val="en-US"/>
              </w:rPr>
            </w:pPr>
            <w:r w:rsidRPr="00FA03CA">
              <w:rPr>
                <w:rFonts w:eastAsia="Cambria"/>
                <w:szCs w:val="20"/>
                <w:lang w:val="en-US"/>
              </w:rPr>
              <w:t xml:space="preserve">Predict littoral </w:t>
            </w:r>
            <w:r w:rsidR="00335F97" w:rsidRPr="00FA03CA">
              <w:rPr>
                <w:rFonts w:eastAsia="Cambria"/>
                <w:i/>
                <w:szCs w:val="20"/>
                <w:lang w:val="en-US"/>
              </w:rPr>
              <w:t>ef</w:t>
            </w:r>
            <w:r w:rsidRPr="00FA03CA">
              <w:rPr>
                <w:rFonts w:eastAsia="Cambria"/>
                <w:szCs w:val="20"/>
                <w:lang w:val="en-US"/>
              </w:rPr>
              <w:t xml:space="preserve">CPUE and average individual carp mass from the waterbody model. </w:t>
            </w:r>
          </w:p>
        </w:tc>
      </w:tr>
      <w:tr w:rsidR="00A64D1E" w:rsidRPr="00FA03CA" w14:paraId="4E3814A0" w14:textId="77777777" w:rsidTr="009B08F8">
        <w:tc>
          <w:tcPr>
            <w:tcW w:w="650" w:type="dxa"/>
          </w:tcPr>
          <w:p w14:paraId="674BFBC4" w14:textId="77777777" w:rsidR="00A64D1E" w:rsidRPr="00FA03CA" w:rsidRDefault="00A64D1E" w:rsidP="000E6862">
            <w:pPr>
              <w:spacing w:before="120" w:line="360" w:lineRule="auto"/>
              <w:jc w:val="both"/>
              <w:rPr>
                <w:rFonts w:eastAsia="Cambria"/>
                <w:b/>
                <w:bCs/>
                <w:szCs w:val="20"/>
                <w:lang w:val="en-US"/>
              </w:rPr>
            </w:pPr>
            <w:r w:rsidRPr="00FA03CA">
              <w:rPr>
                <w:rFonts w:eastAsia="Cambria"/>
                <w:b/>
                <w:bCs/>
                <w:szCs w:val="20"/>
                <w:lang w:val="en-US"/>
              </w:rPr>
              <w:t>4</w:t>
            </w:r>
          </w:p>
        </w:tc>
        <w:tc>
          <w:tcPr>
            <w:tcW w:w="4590" w:type="dxa"/>
          </w:tcPr>
          <w:p w14:paraId="690688DC" w14:textId="4CD43189" w:rsidR="00A64D1E" w:rsidRPr="00FA03CA" w:rsidRDefault="008B33C3" w:rsidP="00501B7E">
            <w:pPr>
              <w:spacing w:after="200" w:line="360" w:lineRule="auto"/>
              <w:jc w:val="both"/>
              <w:rPr>
                <w:rFonts w:eastAsia="Cambria"/>
                <w:szCs w:val="20"/>
                <w:lang w:val="en-US"/>
              </w:rPr>
            </w:pPr>
            <w:r w:rsidRPr="00FA03CA">
              <w:rPr>
                <w:rFonts w:eastAsia="Cambria"/>
                <w:szCs w:val="20"/>
                <w:lang w:val="en-US"/>
              </w:rPr>
              <w:t>Determine the relationship between CPUE and carp density (</w:t>
            </w:r>
            <w:r w:rsidR="00FD3DA3" w:rsidRPr="00FA03CA">
              <w:rPr>
                <w:rFonts w:eastAsia="Cambria"/>
                <w:szCs w:val="20"/>
                <w:lang w:val="en-US"/>
              </w:rPr>
              <w:t>no</w:t>
            </w:r>
            <w:r w:rsidRPr="00FA03CA">
              <w:rPr>
                <w:rFonts w:eastAsia="Cambria"/>
                <w:szCs w:val="20"/>
                <w:lang w:val="en-US"/>
              </w:rPr>
              <w:t xml:space="preserve">/ha).  </w:t>
            </w:r>
            <w:r w:rsidR="00A64D1E" w:rsidRPr="00FA03CA">
              <w:rPr>
                <w:rFonts w:eastAsia="Cambria"/>
                <w:szCs w:val="20"/>
                <w:lang w:val="en-US"/>
              </w:rPr>
              <w:t xml:space="preserve">Multiply each </w:t>
            </w:r>
            <w:r w:rsidR="004A5153" w:rsidRPr="00FA03CA">
              <w:rPr>
                <w:rFonts w:eastAsia="Cambria"/>
                <w:i/>
                <w:iCs/>
                <w:szCs w:val="20"/>
                <w:lang w:val="en-US"/>
              </w:rPr>
              <w:t>ef</w:t>
            </w:r>
            <w:r w:rsidR="00A64D1E" w:rsidRPr="00FA03CA">
              <w:rPr>
                <w:rFonts w:eastAsia="Cambria"/>
                <w:szCs w:val="20"/>
                <w:lang w:val="en-US"/>
              </w:rPr>
              <w:t>CPUE by the appropriate conversion factor to obtain density (</w:t>
            </w:r>
            <w:r w:rsidR="00172FA8" w:rsidRPr="00FA03CA">
              <w:rPr>
                <w:rFonts w:eastAsia="Cambria"/>
                <w:szCs w:val="20"/>
                <w:lang w:val="en-US"/>
              </w:rPr>
              <w:t>no</w:t>
            </w:r>
            <w:r w:rsidR="00A64D1E" w:rsidRPr="00FA03CA">
              <w:rPr>
                <w:rFonts w:eastAsia="Cambria"/>
                <w:szCs w:val="20"/>
                <w:lang w:val="en-US"/>
              </w:rPr>
              <w:t>/ha)</w:t>
            </w:r>
            <w:r w:rsidR="00501B7E" w:rsidRPr="00FA03CA">
              <w:t xml:space="preserve"> for every mapped river segment and waterbody</w:t>
            </w:r>
            <w:r w:rsidR="00A64D1E" w:rsidRPr="00FA03CA">
              <w:rPr>
                <w:rFonts w:eastAsia="Cambria"/>
                <w:szCs w:val="20"/>
                <w:lang w:val="en-US"/>
              </w:rPr>
              <w:t>.</w:t>
            </w:r>
            <w:r w:rsidR="00501B7E" w:rsidRPr="00FA03CA">
              <w:rPr>
                <w:rFonts w:eastAsia="Cambria"/>
                <w:szCs w:val="20"/>
                <w:lang w:val="en-US"/>
              </w:rPr>
              <w:t xml:space="preserve"> </w:t>
            </w:r>
            <w:r w:rsidR="00501B7E" w:rsidRPr="00FA03CA">
              <w:t>Calculate biomass density (kg/ha) for each spatial object by multiplying density (no/ha) by predicted average fish mass.</w:t>
            </w:r>
          </w:p>
        </w:tc>
        <w:tc>
          <w:tcPr>
            <w:tcW w:w="4678" w:type="dxa"/>
          </w:tcPr>
          <w:p w14:paraId="3ABD4706" w14:textId="618DA3A7" w:rsidR="00A64D1E" w:rsidRPr="00FA03CA" w:rsidRDefault="008B33C3" w:rsidP="000E6862">
            <w:pPr>
              <w:spacing w:before="120" w:line="360" w:lineRule="auto"/>
              <w:jc w:val="both"/>
              <w:rPr>
                <w:rFonts w:eastAsia="Cambria"/>
                <w:szCs w:val="20"/>
                <w:lang w:val="en-US"/>
              </w:rPr>
            </w:pPr>
            <w:r w:rsidRPr="00FA03CA">
              <w:rPr>
                <w:rFonts w:eastAsia="Cambria"/>
                <w:szCs w:val="20"/>
                <w:lang w:val="en-US"/>
              </w:rPr>
              <w:t>Determine the relationship between CPUE and carp density (</w:t>
            </w:r>
            <w:r w:rsidR="00172FA8" w:rsidRPr="00FA03CA">
              <w:rPr>
                <w:rFonts w:eastAsia="Cambria"/>
                <w:szCs w:val="20"/>
                <w:lang w:val="en-US"/>
              </w:rPr>
              <w:t>no</w:t>
            </w:r>
            <w:r w:rsidRPr="00FA03CA">
              <w:rPr>
                <w:rFonts w:eastAsia="Cambria"/>
                <w:szCs w:val="20"/>
                <w:lang w:val="en-US"/>
              </w:rPr>
              <w:t xml:space="preserve">/ha).  </w:t>
            </w:r>
            <w:r w:rsidR="00A64D1E" w:rsidRPr="00FA03CA">
              <w:rPr>
                <w:rFonts w:eastAsia="Cambria"/>
                <w:szCs w:val="20"/>
                <w:lang w:val="en-US"/>
              </w:rPr>
              <w:t>Multiply each CPUE by the appropriate conversion to obtain density (</w:t>
            </w:r>
            <w:r w:rsidR="00A17415" w:rsidRPr="00FA03CA">
              <w:rPr>
                <w:rFonts w:eastAsia="Cambria"/>
                <w:szCs w:val="20"/>
                <w:lang w:val="en-US"/>
              </w:rPr>
              <w:t>no</w:t>
            </w:r>
            <w:r w:rsidR="00A64D1E" w:rsidRPr="00FA03CA">
              <w:rPr>
                <w:rFonts w:eastAsia="Cambria"/>
                <w:szCs w:val="20"/>
                <w:lang w:val="en-US"/>
              </w:rPr>
              <w:t xml:space="preserve">/ha). </w:t>
            </w:r>
            <w:r w:rsidR="00501B7E" w:rsidRPr="00FA03CA">
              <w:t>Calculate biomass density (kg/ha) for each spatial object by multiplying density (no/ha) by predicted average fish mass.</w:t>
            </w:r>
          </w:p>
        </w:tc>
        <w:tc>
          <w:tcPr>
            <w:tcW w:w="4399" w:type="dxa"/>
          </w:tcPr>
          <w:p w14:paraId="0A5A88A0" w14:textId="6050E56F" w:rsidR="00A64D1E" w:rsidRPr="00FA03CA" w:rsidRDefault="008B33C3" w:rsidP="00335F97">
            <w:pPr>
              <w:spacing w:before="120" w:line="360" w:lineRule="auto"/>
              <w:jc w:val="both"/>
              <w:rPr>
                <w:rFonts w:eastAsia="Cambria"/>
                <w:szCs w:val="20"/>
                <w:lang w:val="en-US"/>
              </w:rPr>
            </w:pPr>
            <w:r w:rsidRPr="00FA03CA">
              <w:rPr>
                <w:rFonts w:eastAsia="Cambria"/>
                <w:szCs w:val="20"/>
                <w:lang w:val="en-US"/>
              </w:rPr>
              <w:t xml:space="preserve">Predict offshore CPUE from the habitat utilisation estimate.  </w:t>
            </w:r>
            <w:r w:rsidR="00A64D1E" w:rsidRPr="00FA03CA">
              <w:rPr>
                <w:rFonts w:eastAsia="Cambria"/>
                <w:szCs w:val="20"/>
                <w:lang w:val="en-US"/>
              </w:rPr>
              <w:t xml:space="preserve">Multiply each </w:t>
            </w:r>
            <w:r w:rsidR="00335F97" w:rsidRPr="00FA03CA">
              <w:rPr>
                <w:rFonts w:eastAsia="Cambria"/>
                <w:i/>
                <w:szCs w:val="20"/>
                <w:lang w:val="en-US"/>
              </w:rPr>
              <w:t>ef</w:t>
            </w:r>
            <w:r w:rsidR="00A64D1E" w:rsidRPr="00FA03CA">
              <w:rPr>
                <w:rFonts w:eastAsia="Cambria"/>
                <w:szCs w:val="20"/>
                <w:lang w:val="en-US"/>
              </w:rPr>
              <w:t xml:space="preserve">CPUE by the conversion factor </w:t>
            </w:r>
            <w:r w:rsidR="00170D4B" w:rsidRPr="00FA03CA">
              <w:rPr>
                <w:rFonts w:eastAsia="Cambria"/>
                <w:szCs w:val="20"/>
                <w:lang w:val="en-US"/>
              </w:rPr>
              <w:t xml:space="preserve">and predicted average individual carp mass </w:t>
            </w:r>
            <w:r w:rsidR="00A64D1E" w:rsidRPr="00FA03CA">
              <w:rPr>
                <w:rFonts w:eastAsia="Cambria"/>
                <w:szCs w:val="20"/>
                <w:lang w:val="en-US"/>
              </w:rPr>
              <w:t xml:space="preserve">to obtain </w:t>
            </w:r>
            <w:r w:rsidR="00170D4B" w:rsidRPr="00FA03CA">
              <w:rPr>
                <w:rFonts w:eastAsia="Cambria"/>
                <w:szCs w:val="20"/>
                <w:lang w:val="en-US"/>
              </w:rPr>
              <w:t xml:space="preserve">littoral and offshore </w:t>
            </w:r>
            <w:r w:rsidR="0094652D" w:rsidRPr="00FA03CA">
              <w:rPr>
                <w:rFonts w:eastAsia="Cambria"/>
                <w:szCs w:val="20"/>
                <w:lang w:val="en-US"/>
              </w:rPr>
              <w:t xml:space="preserve">biomass </w:t>
            </w:r>
            <w:r w:rsidR="00A64D1E" w:rsidRPr="00FA03CA">
              <w:rPr>
                <w:rFonts w:eastAsia="Cambria"/>
                <w:szCs w:val="20"/>
                <w:lang w:val="en-US"/>
              </w:rPr>
              <w:t>density (</w:t>
            </w:r>
            <w:r w:rsidRPr="00FA03CA">
              <w:rPr>
                <w:rFonts w:eastAsia="Cambria"/>
                <w:szCs w:val="20"/>
                <w:lang w:val="en-US"/>
              </w:rPr>
              <w:t>kg</w:t>
            </w:r>
            <w:r w:rsidR="00A64D1E" w:rsidRPr="00FA03CA">
              <w:rPr>
                <w:rFonts w:eastAsia="Cambria"/>
                <w:szCs w:val="20"/>
                <w:lang w:val="en-US"/>
              </w:rPr>
              <w:t>/ha)</w:t>
            </w:r>
            <w:r w:rsidR="00170D4B" w:rsidRPr="00FA03CA">
              <w:rPr>
                <w:rFonts w:eastAsia="Cambria"/>
                <w:szCs w:val="20"/>
                <w:lang w:val="en-US"/>
              </w:rPr>
              <w:t>.</w:t>
            </w:r>
          </w:p>
        </w:tc>
      </w:tr>
      <w:tr w:rsidR="009B08F8" w:rsidRPr="00FA03CA" w14:paraId="30B0EA13" w14:textId="77777777" w:rsidTr="009B08F8">
        <w:tc>
          <w:tcPr>
            <w:tcW w:w="650" w:type="dxa"/>
          </w:tcPr>
          <w:p w14:paraId="651A460C" w14:textId="18B8EA2D" w:rsidR="009B08F8" w:rsidRPr="00FA03CA" w:rsidRDefault="009B08F8" w:rsidP="000E6862">
            <w:pPr>
              <w:spacing w:before="120" w:line="360" w:lineRule="auto"/>
              <w:jc w:val="both"/>
              <w:rPr>
                <w:rFonts w:eastAsia="Cambria"/>
                <w:b/>
                <w:bCs/>
                <w:szCs w:val="20"/>
                <w:lang w:val="en-US"/>
              </w:rPr>
            </w:pPr>
            <w:r w:rsidRPr="00FA03CA">
              <w:rPr>
                <w:rFonts w:eastAsia="Cambria"/>
                <w:b/>
                <w:bCs/>
                <w:szCs w:val="20"/>
                <w:lang w:val="en-US"/>
              </w:rPr>
              <w:t>5</w:t>
            </w:r>
          </w:p>
        </w:tc>
        <w:tc>
          <w:tcPr>
            <w:tcW w:w="4590" w:type="dxa"/>
          </w:tcPr>
          <w:p w14:paraId="3BFE267B" w14:textId="77777777" w:rsidR="009B08F8" w:rsidRPr="00FA03CA" w:rsidRDefault="009B08F8" w:rsidP="000E6862">
            <w:pPr>
              <w:spacing w:before="120" w:line="360" w:lineRule="auto"/>
              <w:jc w:val="both"/>
              <w:rPr>
                <w:rFonts w:eastAsia="Cambria"/>
                <w:szCs w:val="20"/>
                <w:lang w:val="en-US"/>
              </w:rPr>
            </w:pPr>
          </w:p>
        </w:tc>
        <w:tc>
          <w:tcPr>
            <w:tcW w:w="4678" w:type="dxa"/>
          </w:tcPr>
          <w:p w14:paraId="20171AA5" w14:textId="77777777" w:rsidR="009B08F8" w:rsidRPr="00FA03CA" w:rsidRDefault="009B08F8" w:rsidP="000E6862">
            <w:pPr>
              <w:spacing w:before="120" w:line="360" w:lineRule="auto"/>
              <w:jc w:val="both"/>
              <w:rPr>
                <w:rFonts w:eastAsia="Cambria"/>
                <w:szCs w:val="20"/>
                <w:lang w:val="en-US"/>
              </w:rPr>
            </w:pPr>
          </w:p>
        </w:tc>
        <w:tc>
          <w:tcPr>
            <w:tcW w:w="4399" w:type="dxa"/>
          </w:tcPr>
          <w:p w14:paraId="3165FD3D" w14:textId="2D671C18" w:rsidR="009B08F8" w:rsidRPr="00FA03CA" w:rsidRDefault="009B08F8" w:rsidP="000E6862">
            <w:pPr>
              <w:spacing w:before="120" w:line="360" w:lineRule="auto"/>
              <w:jc w:val="both"/>
              <w:rPr>
                <w:rFonts w:eastAsia="Cambria"/>
                <w:szCs w:val="20"/>
                <w:lang w:val="en-US"/>
              </w:rPr>
            </w:pPr>
            <w:r w:rsidRPr="00FA03CA">
              <w:rPr>
                <w:rFonts w:eastAsia="Arial"/>
              </w:rPr>
              <w:t>Correct carp biomass for habitat utilisation preferences in lakes and storages</w:t>
            </w:r>
            <w:r w:rsidR="00170D4B" w:rsidRPr="00FA03CA">
              <w:rPr>
                <w:rFonts w:eastAsia="Arial"/>
              </w:rPr>
              <w:t>.</w:t>
            </w:r>
          </w:p>
        </w:tc>
      </w:tr>
      <w:tr w:rsidR="009B08F8" w:rsidRPr="00FA03CA" w14:paraId="1B4401DC" w14:textId="77777777" w:rsidTr="009B08F8">
        <w:tc>
          <w:tcPr>
            <w:tcW w:w="650" w:type="dxa"/>
          </w:tcPr>
          <w:p w14:paraId="60FAB90F" w14:textId="7F9AA936" w:rsidR="009B08F8" w:rsidRPr="00FA03CA" w:rsidRDefault="009B08F8" w:rsidP="009B08F8">
            <w:pPr>
              <w:spacing w:before="120" w:line="360" w:lineRule="auto"/>
              <w:jc w:val="both"/>
              <w:rPr>
                <w:rFonts w:eastAsia="Cambria"/>
                <w:b/>
                <w:bCs/>
                <w:szCs w:val="20"/>
                <w:lang w:val="en-US"/>
              </w:rPr>
            </w:pPr>
            <w:r w:rsidRPr="00FA03CA">
              <w:rPr>
                <w:rFonts w:eastAsia="Cambria"/>
                <w:b/>
                <w:bCs/>
                <w:szCs w:val="20"/>
                <w:lang w:val="en-US"/>
              </w:rPr>
              <w:t>6</w:t>
            </w:r>
          </w:p>
        </w:tc>
        <w:tc>
          <w:tcPr>
            <w:tcW w:w="4590" w:type="dxa"/>
          </w:tcPr>
          <w:p w14:paraId="0D9A66CC" w14:textId="43E311A4" w:rsidR="009B08F8" w:rsidRPr="00FA03CA" w:rsidRDefault="009B08F8" w:rsidP="009B08F8">
            <w:pPr>
              <w:spacing w:before="120" w:line="360" w:lineRule="auto"/>
              <w:jc w:val="both"/>
              <w:rPr>
                <w:rFonts w:eastAsia="Cambria"/>
                <w:szCs w:val="20"/>
                <w:lang w:val="en-US"/>
              </w:rPr>
            </w:pPr>
            <w:r w:rsidRPr="00FA03CA">
              <w:rPr>
                <w:rFonts w:eastAsia="Cambria"/>
                <w:szCs w:val="20"/>
                <w:lang w:val="en-US"/>
              </w:rPr>
              <w:t xml:space="preserve">Add juvenile biomass (fish &lt;150 mm FL) by using the predicted juvenile biomass rate from the predicted CPUE for fish ≥150 mm FL to </w:t>
            </w:r>
            <w:r w:rsidRPr="00FA03CA">
              <w:rPr>
                <w:rFonts w:eastAsia="Cambria"/>
                <w:szCs w:val="20"/>
                <w:lang w:val="en-US"/>
              </w:rPr>
              <w:lastRenderedPageBreak/>
              <w:t xml:space="preserve">predict juvenile biomass rate for each river segment. Multiply this rate by the conversion factor and </w:t>
            </w:r>
            <w:r w:rsidR="004A5153" w:rsidRPr="00FA03CA">
              <w:rPr>
                <w:rFonts w:eastAsia="Cambria"/>
                <w:szCs w:val="20"/>
                <w:lang w:val="en-US"/>
              </w:rPr>
              <w:t>spatial object</w:t>
            </w:r>
            <w:r w:rsidRPr="00FA03CA">
              <w:rPr>
                <w:rFonts w:eastAsia="Cambria"/>
                <w:szCs w:val="20"/>
                <w:lang w:val="en-US"/>
              </w:rPr>
              <w:t xml:space="preserve"> area to determine juvenile biomass. </w:t>
            </w:r>
          </w:p>
        </w:tc>
        <w:tc>
          <w:tcPr>
            <w:tcW w:w="4678" w:type="dxa"/>
          </w:tcPr>
          <w:p w14:paraId="77664B44" w14:textId="5BD1DFC0" w:rsidR="009B08F8" w:rsidRPr="00FA03CA" w:rsidRDefault="009B08F8" w:rsidP="009B08F8">
            <w:pPr>
              <w:spacing w:before="120" w:line="360" w:lineRule="auto"/>
              <w:jc w:val="both"/>
              <w:rPr>
                <w:rFonts w:eastAsia="Cambria"/>
                <w:szCs w:val="20"/>
                <w:lang w:val="en-US"/>
              </w:rPr>
            </w:pPr>
            <w:r w:rsidRPr="00FA03CA">
              <w:rPr>
                <w:rFonts w:eastAsia="Cambria"/>
                <w:szCs w:val="20"/>
                <w:lang w:val="en-US"/>
              </w:rPr>
              <w:lastRenderedPageBreak/>
              <w:t xml:space="preserve">Add juvenile biomass (fish &lt;150 mm FL), by using the predicted juvenile biomass rate from the predicted CPUE for fish ≥150 mm FL to predict </w:t>
            </w:r>
            <w:r w:rsidRPr="00FA03CA">
              <w:rPr>
                <w:rFonts w:eastAsia="Cambria"/>
                <w:szCs w:val="20"/>
                <w:lang w:val="en-US"/>
              </w:rPr>
              <w:lastRenderedPageBreak/>
              <w:t>juvenile biomass rate for each wetland polygon. Multiply this rate by the wetland conversion factor and total area to determine juvenile biomass.</w:t>
            </w:r>
          </w:p>
        </w:tc>
        <w:tc>
          <w:tcPr>
            <w:tcW w:w="4399" w:type="dxa"/>
          </w:tcPr>
          <w:p w14:paraId="2A626185" w14:textId="10A653C6" w:rsidR="009B08F8" w:rsidRPr="00FA03CA" w:rsidRDefault="009B08F8" w:rsidP="009B08F8">
            <w:pPr>
              <w:spacing w:before="120" w:line="360" w:lineRule="auto"/>
              <w:jc w:val="both"/>
              <w:rPr>
                <w:rFonts w:eastAsia="Cambria"/>
                <w:szCs w:val="20"/>
                <w:lang w:val="en-US"/>
              </w:rPr>
            </w:pPr>
            <w:r w:rsidRPr="00FA03CA">
              <w:rPr>
                <w:rFonts w:eastAsia="Cambria"/>
                <w:szCs w:val="20"/>
                <w:lang w:val="en-US"/>
              </w:rPr>
              <w:lastRenderedPageBreak/>
              <w:t>Sum total biomass from littoral total biomass and offshore total biomass.</w:t>
            </w:r>
          </w:p>
        </w:tc>
      </w:tr>
      <w:tr w:rsidR="00A64D1E" w:rsidRPr="00FA03CA" w14:paraId="6784B9BC" w14:textId="77777777" w:rsidTr="00F83A80">
        <w:tc>
          <w:tcPr>
            <w:tcW w:w="650" w:type="dxa"/>
          </w:tcPr>
          <w:p w14:paraId="3C2FE504" w14:textId="2098E9A9" w:rsidR="00A64D1E" w:rsidRPr="00FA03CA" w:rsidRDefault="009B08F8" w:rsidP="000E6862">
            <w:pPr>
              <w:spacing w:before="120" w:line="360" w:lineRule="auto"/>
              <w:jc w:val="both"/>
              <w:rPr>
                <w:rFonts w:eastAsia="Cambria"/>
                <w:b/>
                <w:bCs/>
                <w:szCs w:val="20"/>
                <w:lang w:val="en-US"/>
              </w:rPr>
            </w:pPr>
            <w:r w:rsidRPr="00FA03CA">
              <w:rPr>
                <w:rFonts w:eastAsia="Cambria"/>
                <w:b/>
                <w:bCs/>
                <w:szCs w:val="20"/>
                <w:lang w:val="en-US"/>
              </w:rPr>
              <w:t>7</w:t>
            </w:r>
          </w:p>
        </w:tc>
        <w:tc>
          <w:tcPr>
            <w:tcW w:w="13667" w:type="dxa"/>
            <w:gridSpan w:val="3"/>
          </w:tcPr>
          <w:p w14:paraId="7973ADDC" w14:textId="27569622" w:rsidR="00A64D1E" w:rsidRPr="00FA03CA" w:rsidRDefault="00A64D1E" w:rsidP="000E6862">
            <w:pPr>
              <w:spacing w:after="200" w:line="360" w:lineRule="auto"/>
              <w:jc w:val="both"/>
              <w:rPr>
                <w:rFonts w:eastAsia="Arial"/>
              </w:rPr>
            </w:pPr>
            <w:r w:rsidRPr="00FA03CA">
              <w:t>E</w:t>
            </w:r>
            <w:r w:rsidRPr="00FA03CA">
              <w:rPr>
                <w:rFonts w:eastAsia="Arial"/>
              </w:rPr>
              <w:t xml:space="preserve">stimate carp biomass for each river/waterbody by multiplying the total area </w:t>
            </w:r>
            <w:r w:rsidR="004A5153" w:rsidRPr="00FA03CA">
              <w:rPr>
                <w:rFonts w:eastAsia="Arial"/>
              </w:rPr>
              <w:t xml:space="preserve">(ha) </w:t>
            </w:r>
            <w:r w:rsidRPr="00FA03CA">
              <w:rPr>
                <w:rFonts w:eastAsia="Arial"/>
              </w:rPr>
              <w:t>by biomass density.  Lakes and storages had littoral and offshore components which were included in the calculations.  Estimate continental total biomass (tonnes) by summing individual rivers (perennial and non-perennial) and standing waterbodies (wetlands, lakes and storages).</w:t>
            </w:r>
          </w:p>
          <w:p w14:paraId="1471A99D" w14:textId="272E1E23" w:rsidR="009B08F8" w:rsidRPr="00FA03CA" w:rsidRDefault="009B08F8" w:rsidP="000E6862">
            <w:pPr>
              <w:spacing w:after="200" w:line="360" w:lineRule="auto"/>
              <w:jc w:val="both"/>
              <w:rPr>
                <w:rFonts w:eastAsia="Arial"/>
              </w:rPr>
            </w:pPr>
            <w:r w:rsidRPr="00FA03CA">
              <w:rPr>
                <w:rFonts w:eastAsia="Arial"/>
                <w:szCs w:val="20"/>
              </w:rPr>
              <w:t xml:space="preserve">Assess uncertainty in the total biomass estimate by sampling from the distributions of each random variable 10,000 times.  </w:t>
            </w:r>
            <w:r w:rsidR="00A17415" w:rsidRPr="00FA03CA">
              <w:rPr>
                <w:rFonts w:eastAsia="Arial"/>
                <w:szCs w:val="20"/>
              </w:rPr>
              <w:t xml:space="preserve">For each replicate, </w:t>
            </w:r>
            <w:r w:rsidRPr="00FA03CA">
              <w:rPr>
                <w:rFonts w:eastAsia="Arial"/>
                <w:szCs w:val="20"/>
              </w:rPr>
              <w:t>data from each segment were summed, to obtain values of state and continental biomass. From these replicates, we calculated the mean biomass with 95%CrI.  Random variables included: predicted CPUE, average individual carp mass, juvenile biomass rate, conversion factor and habitat utilisation.</w:t>
            </w:r>
          </w:p>
        </w:tc>
      </w:tr>
      <w:tr w:rsidR="00A64D1E" w:rsidRPr="00FA03CA" w14:paraId="12CEC21A" w14:textId="77777777" w:rsidTr="00F83A80">
        <w:tc>
          <w:tcPr>
            <w:tcW w:w="650" w:type="dxa"/>
          </w:tcPr>
          <w:p w14:paraId="098EB0CD" w14:textId="66B6989F" w:rsidR="00A64D1E" w:rsidRPr="00FA03CA" w:rsidRDefault="009B08F8" w:rsidP="000E6862">
            <w:pPr>
              <w:spacing w:before="120" w:line="360" w:lineRule="auto"/>
              <w:jc w:val="both"/>
              <w:rPr>
                <w:rFonts w:eastAsia="Cambria"/>
                <w:b/>
                <w:bCs/>
                <w:szCs w:val="20"/>
                <w:lang w:val="en-US"/>
              </w:rPr>
            </w:pPr>
            <w:r w:rsidRPr="00FA03CA">
              <w:rPr>
                <w:rFonts w:eastAsia="Cambria"/>
                <w:b/>
                <w:bCs/>
                <w:szCs w:val="20"/>
                <w:lang w:val="en-US"/>
              </w:rPr>
              <w:t>8</w:t>
            </w:r>
          </w:p>
        </w:tc>
        <w:tc>
          <w:tcPr>
            <w:tcW w:w="13667" w:type="dxa"/>
            <w:gridSpan w:val="3"/>
          </w:tcPr>
          <w:p w14:paraId="42214E89" w14:textId="7CF23E16" w:rsidR="00A64D1E" w:rsidRPr="00FA03CA" w:rsidRDefault="00A64D1E" w:rsidP="000E6862">
            <w:pPr>
              <w:spacing w:before="120" w:line="360" w:lineRule="auto"/>
              <w:jc w:val="both"/>
              <w:rPr>
                <w:rFonts w:eastAsia="Arial"/>
                <w:szCs w:val="20"/>
              </w:rPr>
            </w:pPr>
            <w:r w:rsidRPr="00FA03CA">
              <w:rPr>
                <w:rFonts w:eastAsia="Arial"/>
              </w:rPr>
              <w:t xml:space="preserve">To validate the biomass model, predict carp biomass for waterbodies with a known estimate of absolute biomass, </w:t>
            </w:r>
            <w:r w:rsidR="00A17415" w:rsidRPr="00FA03CA">
              <w:rPr>
                <w:rFonts w:eastAsia="Arial"/>
              </w:rPr>
              <w:t xml:space="preserve">and </w:t>
            </w:r>
            <w:r w:rsidRPr="00FA03CA">
              <w:rPr>
                <w:rFonts w:eastAsia="Arial"/>
              </w:rPr>
              <w:t>determine whether the known biomass was within the 95%CrI of the modelled estimate.</w:t>
            </w:r>
          </w:p>
        </w:tc>
      </w:tr>
      <w:tr w:rsidR="00A64D1E" w:rsidRPr="00FA03CA" w14:paraId="26F88E09" w14:textId="77777777" w:rsidTr="00F83A80">
        <w:tc>
          <w:tcPr>
            <w:tcW w:w="650" w:type="dxa"/>
          </w:tcPr>
          <w:p w14:paraId="20F91B3E" w14:textId="3F7A0A31" w:rsidR="00A64D1E" w:rsidRPr="00FA03CA" w:rsidRDefault="009B08F8" w:rsidP="000E6862">
            <w:pPr>
              <w:spacing w:before="120" w:line="360" w:lineRule="auto"/>
              <w:jc w:val="both"/>
              <w:rPr>
                <w:rFonts w:eastAsia="Cambria"/>
                <w:b/>
                <w:bCs/>
                <w:szCs w:val="20"/>
                <w:lang w:val="en-US"/>
              </w:rPr>
            </w:pPr>
            <w:r w:rsidRPr="00FA03CA">
              <w:rPr>
                <w:rFonts w:eastAsia="Cambria"/>
                <w:b/>
                <w:bCs/>
                <w:szCs w:val="20"/>
                <w:lang w:val="en-US"/>
              </w:rPr>
              <w:t>9</w:t>
            </w:r>
          </w:p>
        </w:tc>
        <w:tc>
          <w:tcPr>
            <w:tcW w:w="13667" w:type="dxa"/>
            <w:gridSpan w:val="3"/>
          </w:tcPr>
          <w:p w14:paraId="0F96CB0E" w14:textId="3DCBE97D" w:rsidR="00A64D1E" w:rsidRPr="00FA03CA" w:rsidRDefault="00A64D1E" w:rsidP="002F1C1F">
            <w:pPr>
              <w:spacing w:before="120" w:line="360" w:lineRule="auto"/>
              <w:jc w:val="both"/>
              <w:rPr>
                <w:rFonts w:eastAsia="Arial"/>
              </w:rPr>
            </w:pPr>
            <w:r w:rsidRPr="00FA03CA">
              <w:rPr>
                <w:rFonts w:eastAsia="Arial"/>
              </w:rPr>
              <w:t xml:space="preserve">Irrigation channels </w:t>
            </w:r>
            <w:r w:rsidR="00A17415" w:rsidRPr="00FA03CA">
              <w:rPr>
                <w:rFonts w:eastAsia="Arial"/>
              </w:rPr>
              <w:t xml:space="preserve">in SE Australia </w:t>
            </w:r>
            <w:r w:rsidRPr="00FA03CA">
              <w:rPr>
                <w:rFonts w:eastAsia="Arial"/>
              </w:rPr>
              <w:t xml:space="preserve">and </w:t>
            </w:r>
            <w:r w:rsidR="00A17415" w:rsidRPr="00FA03CA">
              <w:rPr>
                <w:rFonts w:eastAsia="Arial"/>
              </w:rPr>
              <w:t xml:space="preserve">aquatic habitats in </w:t>
            </w:r>
            <w:r w:rsidRPr="00FA03CA">
              <w:rPr>
                <w:rFonts w:eastAsia="Arial"/>
              </w:rPr>
              <w:t xml:space="preserve">Western Australia lacked sufficient data (GIS and CPUE) and were not included in the formal </w:t>
            </w:r>
            <w:r w:rsidR="009B08F8" w:rsidRPr="00FA03CA">
              <w:rPr>
                <w:rFonts w:eastAsia="Arial"/>
              </w:rPr>
              <w:t>biomass modelling</w:t>
            </w:r>
            <w:r w:rsidRPr="00FA03CA">
              <w:rPr>
                <w:rFonts w:eastAsia="Arial"/>
              </w:rPr>
              <w:t xml:space="preserve"> described above.  For irrigation channels, a coarse biomass estimate was undertaken by: </w:t>
            </w:r>
            <w:r w:rsidR="002F1C1F" w:rsidRPr="00FA03CA">
              <w:rPr>
                <w:rFonts w:eastAsia="Arial"/>
              </w:rPr>
              <w:t>1</w:t>
            </w:r>
            <w:r w:rsidRPr="00FA03CA">
              <w:rPr>
                <w:rFonts w:eastAsia="Arial"/>
              </w:rPr>
              <w:t xml:space="preserve">) estimating irrigation channel area </w:t>
            </w:r>
            <w:r w:rsidR="002F1C1F" w:rsidRPr="00FA03CA">
              <w:rPr>
                <w:rFonts w:eastAsia="Arial"/>
              </w:rPr>
              <w:t xml:space="preserve">using mapped length combined with the </w:t>
            </w:r>
            <w:r w:rsidRPr="00FA03CA">
              <w:rPr>
                <w:rFonts w:eastAsia="Arial"/>
              </w:rPr>
              <w:t>probability of having water and</w:t>
            </w:r>
            <w:r w:rsidR="008501B9" w:rsidRPr="00FA03CA">
              <w:rPr>
                <w:rFonts w:eastAsia="Arial"/>
              </w:rPr>
              <w:t>,</w:t>
            </w:r>
            <w:r w:rsidRPr="00FA03CA">
              <w:rPr>
                <w:rFonts w:eastAsia="Arial"/>
              </w:rPr>
              <w:t xml:space="preserve"> if water is present</w:t>
            </w:r>
            <w:r w:rsidR="008501B9" w:rsidRPr="00FA03CA">
              <w:rPr>
                <w:rFonts w:eastAsia="Arial"/>
              </w:rPr>
              <w:t>,</w:t>
            </w:r>
            <w:r w:rsidRPr="00FA03CA">
              <w:rPr>
                <w:rFonts w:eastAsia="Arial"/>
              </w:rPr>
              <w:t xml:space="preserve"> estimate</w:t>
            </w:r>
            <w:r w:rsidR="008501B9" w:rsidRPr="00FA03CA">
              <w:rPr>
                <w:rFonts w:eastAsia="Arial"/>
              </w:rPr>
              <w:t>d</w:t>
            </w:r>
            <w:r w:rsidRPr="00FA03CA">
              <w:rPr>
                <w:rFonts w:eastAsia="Arial"/>
              </w:rPr>
              <w:t xml:space="preserve"> channel width</w:t>
            </w:r>
            <w:r w:rsidR="002F1C1F" w:rsidRPr="00FA03CA">
              <w:rPr>
                <w:rFonts w:eastAsia="Arial"/>
              </w:rPr>
              <w:t xml:space="preserve"> calibrated from aerial imagery</w:t>
            </w:r>
            <w:r w:rsidRPr="00FA03CA">
              <w:rPr>
                <w:rFonts w:eastAsia="Arial"/>
              </w:rPr>
              <w:t xml:space="preserve">; and </w:t>
            </w:r>
            <w:r w:rsidR="002F1C1F" w:rsidRPr="00FA03CA">
              <w:rPr>
                <w:rFonts w:eastAsia="Arial"/>
              </w:rPr>
              <w:t>2</w:t>
            </w:r>
            <w:r w:rsidRPr="00FA03CA">
              <w:rPr>
                <w:rFonts w:eastAsia="Arial"/>
              </w:rPr>
              <w:t xml:space="preserve">) multiply total </w:t>
            </w:r>
            <w:r w:rsidR="002F1C1F" w:rsidRPr="00FA03CA">
              <w:rPr>
                <w:rFonts w:eastAsia="Arial"/>
              </w:rPr>
              <w:t xml:space="preserve">wetted </w:t>
            </w:r>
            <w:r w:rsidRPr="00FA03CA">
              <w:rPr>
                <w:rFonts w:eastAsia="Arial"/>
              </w:rPr>
              <w:t xml:space="preserve">channel area by three </w:t>
            </w:r>
            <w:r w:rsidR="008501B9" w:rsidRPr="00FA03CA">
              <w:rPr>
                <w:rFonts w:eastAsia="Arial"/>
              </w:rPr>
              <w:t xml:space="preserve">biomass </w:t>
            </w:r>
            <w:r w:rsidRPr="00FA03CA">
              <w:rPr>
                <w:rFonts w:eastAsia="Arial"/>
              </w:rPr>
              <w:t>density levels (</w:t>
            </w:r>
            <w:r w:rsidR="008501B9" w:rsidRPr="00FA03CA">
              <w:rPr>
                <w:rFonts w:eastAsia="Arial"/>
              </w:rPr>
              <w:t xml:space="preserve">i.e. </w:t>
            </w:r>
            <w:r w:rsidRPr="00FA03CA">
              <w:rPr>
                <w:rFonts w:eastAsia="Arial"/>
              </w:rPr>
              <w:t>low = 50 kg/ha, medium = 150 kg/ha, and high = 300 kg/ha).  For Western Australian rivers, the process was the same except width was predicted from an eastern Australia river width model and total water area was the sum of river and waterbody area with no separation of habitats.  For both estimates, no attempt was made to quantify uncertainty in biomass estimates.</w:t>
            </w:r>
          </w:p>
        </w:tc>
      </w:tr>
    </w:tbl>
    <w:p w14:paraId="286DC0B8" w14:textId="77777777" w:rsidR="00A64D1E" w:rsidRPr="00FA03CA" w:rsidRDefault="00A64D1E" w:rsidP="00A64D1E">
      <w:pPr>
        <w:spacing w:before="120" w:line="360" w:lineRule="auto"/>
        <w:jc w:val="both"/>
        <w:rPr>
          <w:rFonts w:eastAsia="Cambria"/>
          <w:szCs w:val="20"/>
          <w:lang w:val="en-US"/>
        </w:rPr>
        <w:sectPr w:rsidR="00A64D1E" w:rsidRPr="00FA03CA" w:rsidSect="00FA03CA">
          <w:pgSz w:w="16838" w:h="11906" w:orient="landscape"/>
          <w:pgMar w:top="1276" w:right="1440" w:bottom="1440" w:left="1440" w:header="708" w:footer="708" w:gutter="0"/>
          <w:cols w:space="708"/>
          <w:docGrid w:linePitch="360"/>
        </w:sectPr>
      </w:pPr>
    </w:p>
    <w:p w14:paraId="74EEF4AE" w14:textId="4929F2E5" w:rsidR="00D17443" w:rsidRPr="00FA03CA" w:rsidRDefault="00D17443" w:rsidP="00D17443">
      <w:pPr>
        <w:spacing w:before="120" w:line="360" w:lineRule="auto"/>
        <w:jc w:val="both"/>
        <w:rPr>
          <w:rFonts w:eastAsia="Arial"/>
        </w:rPr>
      </w:pPr>
      <w:r w:rsidRPr="00FA03CA">
        <w:rPr>
          <w:rFonts w:eastAsia="Arial"/>
          <w:b/>
          <w:bCs/>
        </w:rPr>
        <w:t>Table A2.</w:t>
      </w:r>
      <w:r w:rsidRPr="00FA03CA">
        <w:rPr>
          <w:rFonts w:eastAsia="Arial"/>
        </w:rPr>
        <w:t xml:space="preserve">  A summary of major assumptions </w:t>
      </w:r>
      <w:r w:rsidR="00E91472" w:rsidRPr="00FA03CA">
        <w:rPr>
          <w:rFonts w:eastAsia="Arial"/>
        </w:rPr>
        <w:t xml:space="preserve">and limitations </w:t>
      </w:r>
      <w:r w:rsidRPr="00FA03CA">
        <w:rPr>
          <w:rFonts w:eastAsia="Arial"/>
        </w:rPr>
        <w:t xml:space="preserve">made during </w:t>
      </w:r>
      <w:r w:rsidR="008501B9" w:rsidRPr="00FA03CA">
        <w:rPr>
          <w:rFonts w:eastAsia="Arial"/>
        </w:rPr>
        <w:t xml:space="preserve">this estimate of </w:t>
      </w:r>
      <w:r w:rsidRPr="00FA03CA">
        <w:rPr>
          <w:rFonts w:eastAsia="Arial"/>
        </w:rPr>
        <w:t xml:space="preserve">the continental </w:t>
      </w:r>
      <w:r w:rsidR="008501B9" w:rsidRPr="00FA03CA">
        <w:rPr>
          <w:rFonts w:eastAsia="Arial"/>
        </w:rPr>
        <w:t xml:space="preserve">biomass of </w:t>
      </w:r>
      <w:r w:rsidRPr="00FA03CA">
        <w:rPr>
          <w:rFonts w:eastAsia="Arial"/>
        </w:rPr>
        <w:t>carp.</w:t>
      </w:r>
    </w:p>
    <w:tbl>
      <w:tblPr>
        <w:tblStyle w:val="TableGrid"/>
        <w:tblW w:w="1374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7087"/>
      </w:tblGrid>
      <w:tr w:rsidR="00D17443" w:rsidRPr="00FA03CA" w14:paraId="482E72EB" w14:textId="77777777" w:rsidTr="00F83A80">
        <w:tc>
          <w:tcPr>
            <w:tcW w:w="6658" w:type="dxa"/>
            <w:tcBorders>
              <w:top w:val="single" w:sz="4" w:space="0" w:color="auto"/>
              <w:bottom w:val="single" w:sz="4" w:space="0" w:color="auto"/>
            </w:tcBorders>
          </w:tcPr>
          <w:p w14:paraId="0E2DA19D" w14:textId="77777777" w:rsidR="00D17443" w:rsidRPr="00FA03CA" w:rsidRDefault="00D17443" w:rsidP="000E6862">
            <w:pPr>
              <w:spacing w:after="160" w:line="259" w:lineRule="auto"/>
              <w:rPr>
                <w:b/>
                <w:bCs/>
              </w:rPr>
            </w:pPr>
            <w:r w:rsidRPr="00FA03CA">
              <w:rPr>
                <w:b/>
                <w:bCs/>
              </w:rPr>
              <w:t>Assumption</w:t>
            </w:r>
          </w:p>
        </w:tc>
        <w:tc>
          <w:tcPr>
            <w:tcW w:w="7087" w:type="dxa"/>
            <w:tcBorders>
              <w:top w:val="single" w:sz="4" w:space="0" w:color="auto"/>
              <w:bottom w:val="single" w:sz="4" w:space="0" w:color="auto"/>
            </w:tcBorders>
          </w:tcPr>
          <w:p w14:paraId="079DB4D1" w14:textId="77777777" w:rsidR="00D17443" w:rsidRPr="00FA03CA" w:rsidRDefault="00D17443" w:rsidP="000E6862">
            <w:pPr>
              <w:spacing w:after="160" w:line="259" w:lineRule="auto"/>
              <w:rPr>
                <w:b/>
                <w:bCs/>
              </w:rPr>
            </w:pPr>
            <w:r w:rsidRPr="00FA03CA">
              <w:rPr>
                <w:b/>
                <w:bCs/>
              </w:rPr>
              <w:t>Justification</w:t>
            </w:r>
          </w:p>
        </w:tc>
      </w:tr>
      <w:tr w:rsidR="00D17443" w:rsidRPr="00FA03CA" w14:paraId="21DDE1DC" w14:textId="77777777" w:rsidTr="00F83A80">
        <w:tc>
          <w:tcPr>
            <w:tcW w:w="13745" w:type="dxa"/>
            <w:gridSpan w:val="2"/>
            <w:tcBorders>
              <w:top w:val="single" w:sz="4" w:space="0" w:color="auto"/>
            </w:tcBorders>
          </w:tcPr>
          <w:p w14:paraId="38FB75AB" w14:textId="77777777" w:rsidR="00D17443" w:rsidRPr="00FA03CA" w:rsidRDefault="00D17443" w:rsidP="000E6862">
            <w:pPr>
              <w:spacing w:after="160" w:line="360" w:lineRule="auto"/>
              <w:jc w:val="both"/>
              <w:rPr>
                <w:rFonts w:eastAsia="Arial"/>
                <w:i/>
                <w:iCs/>
              </w:rPr>
            </w:pPr>
            <w:r w:rsidRPr="00FA03CA">
              <w:rPr>
                <w:rFonts w:eastAsia="Arial"/>
                <w:i/>
                <w:iCs/>
              </w:rPr>
              <w:t>Database assumption</w:t>
            </w:r>
          </w:p>
        </w:tc>
      </w:tr>
      <w:tr w:rsidR="00D17443" w:rsidRPr="00FA03CA" w14:paraId="7B785E7A" w14:textId="77777777" w:rsidTr="00F83A80">
        <w:tc>
          <w:tcPr>
            <w:tcW w:w="6658" w:type="dxa"/>
          </w:tcPr>
          <w:p w14:paraId="582E8C5D" w14:textId="695818D9" w:rsidR="00D17443" w:rsidRPr="00FA03CA" w:rsidRDefault="00ED75B2" w:rsidP="000E6862">
            <w:pPr>
              <w:spacing w:after="160" w:line="360" w:lineRule="auto"/>
              <w:jc w:val="both"/>
              <w:rPr>
                <w:rFonts w:eastAsia="Arial"/>
              </w:rPr>
            </w:pPr>
            <w:r w:rsidRPr="00FA03CA">
              <w:rPr>
                <w:rFonts w:eastAsia="Arial"/>
              </w:rPr>
              <w:t>S</w:t>
            </w:r>
            <w:r w:rsidR="00D17443" w:rsidRPr="00FA03CA">
              <w:rPr>
                <w:rFonts w:eastAsia="Arial"/>
              </w:rPr>
              <w:t>urveys</w:t>
            </w:r>
            <w:r w:rsidRPr="00FA03CA">
              <w:rPr>
                <w:rFonts w:eastAsia="Arial"/>
              </w:rPr>
              <w:t xml:space="preserve"> in which</w:t>
            </w:r>
            <w:r w:rsidR="00E91472" w:rsidRPr="00FA03CA">
              <w:rPr>
                <w:rFonts w:eastAsia="Arial"/>
              </w:rPr>
              <w:t xml:space="preserve"> </w:t>
            </w:r>
            <w:r w:rsidR="00D17443" w:rsidRPr="00FA03CA">
              <w:rPr>
                <w:rFonts w:eastAsia="Arial"/>
              </w:rPr>
              <w:t>no carp were caught</w:t>
            </w:r>
            <w:r w:rsidRPr="00FA03CA">
              <w:rPr>
                <w:rFonts w:eastAsia="Arial"/>
              </w:rPr>
              <w:t xml:space="preserve"> were under</w:t>
            </w:r>
            <w:r w:rsidR="00E91472" w:rsidRPr="00FA03CA">
              <w:rPr>
                <w:rFonts w:eastAsia="Arial"/>
              </w:rPr>
              <w:t>-</w:t>
            </w:r>
            <w:r w:rsidRPr="00FA03CA">
              <w:rPr>
                <w:rFonts w:eastAsia="Arial"/>
              </w:rPr>
              <w:t>represented in the database</w:t>
            </w:r>
          </w:p>
        </w:tc>
        <w:tc>
          <w:tcPr>
            <w:tcW w:w="7087" w:type="dxa"/>
          </w:tcPr>
          <w:p w14:paraId="0CCBA4A7" w14:textId="7CAACA5C" w:rsidR="00D17443" w:rsidRPr="00FA03CA" w:rsidRDefault="00D17443" w:rsidP="000E6862">
            <w:pPr>
              <w:spacing w:after="160" w:line="360" w:lineRule="auto"/>
              <w:jc w:val="both"/>
              <w:rPr>
                <w:rFonts w:eastAsia="Arial"/>
              </w:rPr>
            </w:pPr>
            <w:r w:rsidRPr="00FA03CA">
              <w:rPr>
                <w:rFonts w:eastAsia="Arial"/>
              </w:rPr>
              <w:t>Missing zeros would lead to an overestimation of catch per unit effort (CPUE)</w:t>
            </w:r>
            <w:r w:rsidR="008501B9" w:rsidRPr="00FA03CA">
              <w:rPr>
                <w:rFonts w:eastAsia="Arial"/>
              </w:rPr>
              <w:t>;</w:t>
            </w:r>
            <w:r w:rsidRPr="00FA03CA">
              <w:rPr>
                <w:rFonts w:eastAsia="Arial"/>
              </w:rPr>
              <w:t xml:space="preserve"> though </w:t>
            </w:r>
            <w:r w:rsidR="008501B9" w:rsidRPr="00FA03CA">
              <w:rPr>
                <w:rFonts w:eastAsia="Arial"/>
              </w:rPr>
              <w:t xml:space="preserve">this is </w:t>
            </w:r>
            <w:r w:rsidRPr="00FA03CA">
              <w:rPr>
                <w:rFonts w:eastAsia="Arial"/>
              </w:rPr>
              <w:t xml:space="preserve">most likely </w:t>
            </w:r>
            <w:r w:rsidR="008501B9" w:rsidRPr="00FA03CA">
              <w:rPr>
                <w:rFonts w:eastAsia="Arial"/>
              </w:rPr>
              <w:t xml:space="preserve">to have occurred </w:t>
            </w:r>
            <w:r w:rsidRPr="00FA03CA">
              <w:rPr>
                <w:rFonts w:eastAsia="Arial"/>
              </w:rPr>
              <w:t xml:space="preserve">in lower density areas, mitigating some of </w:t>
            </w:r>
            <w:r w:rsidR="008501B9" w:rsidRPr="00FA03CA">
              <w:rPr>
                <w:rFonts w:eastAsia="Arial"/>
              </w:rPr>
              <w:t xml:space="preserve">the </w:t>
            </w:r>
            <w:r w:rsidRPr="00FA03CA">
              <w:rPr>
                <w:rFonts w:eastAsia="Arial"/>
              </w:rPr>
              <w:t>potential bias.</w:t>
            </w:r>
          </w:p>
        </w:tc>
      </w:tr>
      <w:tr w:rsidR="00D17443" w:rsidRPr="00FA03CA" w14:paraId="078C6518" w14:textId="77777777" w:rsidTr="00F83A80">
        <w:tc>
          <w:tcPr>
            <w:tcW w:w="13745" w:type="dxa"/>
            <w:gridSpan w:val="2"/>
          </w:tcPr>
          <w:p w14:paraId="53CD56EB" w14:textId="326AD758" w:rsidR="00D17443" w:rsidRPr="00FA03CA" w:rsidRDefault="00D17443" w:rsidP="000E6862">
            <w:pPr>
              <w:spacing w:after="160" w:line="360" w:lineRule="auto"/>
              <w:jc w:val="both"/>
              <w:rPr>
                <w:rFonts w:eastAsia="Arial"/>
                <w:i/>
                <w:iCs/>
              </w:rPr>
            </w:pPr>
            <w:r w:rsidRPr="00FA03CA">
              <w:rPr>
                <w:rFonts w:eastAsia="Arial"/>
                <w:i/>
                <w:iCs/>
              </w:rPr>
              <w:t xml:space="preserve">Spatial </w:t>
            </w:r>
            <w:r w:rsidR="00E91472" w:rsidRPr="00FA03CA">
              <w:rPr>
                <w:rFonts w:eastAsia="Arial"/>
                <w:i/>
                <w:iCs/>
              </w:rPr>
              <w:t>limitations</w:t>
            </w:r>
          </w:p>
        </w:tc>
      </w:tr>
      <w:tr w:rsidR="00D17443" w:rsidRPr="00FA03CA" w14:paraId="2E5A72DD" w14:textId="77777777" w:rsidTr="00F83A80">
        <w:tc>
          <w:tcPr>
            <w:tcW w:w="6658" w:type="dxa"/>
          </w:tcPr>
          <w:p w14:paraId="300EF687" w14:textId="3F2230F2" w:rsidR="00D17443" w:rsidRPr="00FA03CA" w:rsidRDefault="00D17443" w:rsidP="000E6862">
            <w:pPr>
              <w:spacing w:after="160" w:line="360" w:lineRule="auto"/>
              <w:jc w:val="both"/>
              <w:rPr>
                <w:rFonts w:eastAsia="Arial"/>
              </w:rPr>
            </w:pPr>
            <w:r w:rsidRPr="00FA03CA">
              <w:rPr>
                <w:rFonts w:eastAsia="Arial"/>
              </w:rPr>
              <w:t>Few environmental attributes were available for waterbodies compared with rivers</w:t>
            </w:r>
            <w:r w:rsidR="008501B9" w:rsidRPr="00FA03CA">
              <w:rPr>
                <w:rFonts w:eastAsia="Arial"/>
              </w:rPr>
              <w:t>, for</w:t>
            </w:r>
            <w:r w:rsidRPr="00FA03CA">
              <w:rPr>
                <w:rFonts w:eastAsia="Arial"/>
              </w:rPr>
              <w:t xml:space="preserve"> use in predictive models of CPUE and </w:t>
            </w:r>
            <w:r w:rsidR="005B544B" w:rsidRPr="00FA03CA">
              <w:rPr>
                <w:rFonts w:eastAsia="Arial"/>
              </w:rPr>
              <w:t xml:space="preserve">average </w:t>
            </w:r>
            <w:r w:rsidRPr="00FA03CA">
              <w:rPr>
                <w:rFonts w:eastAsia="Arial"/>
              </w:rPr>
              <w:t xml:space="preserve">individual fish mass. </w:t>
            </w:r>
          </w:p>
        </w:tc>
        <w:tc>
          <w:tcPr>
            <w:tcW w:w="7087" w:type="dxa"/>
          </w:tcPr>
          <w:p w14:paraId="49146458" w14:textId="7F8427E6" w:rsidR="00D17443" w:rsidRPr="00FA03CA" w:rsidRDefault="00D17443" w:rsidP="000E6862">
            <w:pPr>
              <w:spacing w:after="160" w:line="360" w:lineRule="auto"/>
              <w:jc w:val="both"/>
              <w:rPr>
                <w:rFonts w:eastAsia="Arial"/>
              </w:rPr>
            </w:pPr>
            <w:r w:rsidRPr="00FA03CA">
              <w:rPr>
                <w:rFonts w:eastAsia="Arial"/>
              </w:rPr>
              <w:t xml:space="preserve">Little other information </w:t>
            </w:r>
            <w:r w:rsidR="008501B9" w:rsidRPr="00FA03CA">
              <w:rPr>
                <w:rFonts w:eastAsia="Arial"/>
              </w:rPr>
              <w:t xml:space="preserve">was available </w:t>
            </w:r>
            <w:r w:rsidRPr="00FA03CA">
              <w:rPr>
                <w:rFonts w:eastAsia="Arial"/>
              </w:rPr>
              <w:t xml:space="preserve">with which to adjust </w:t>
            </w:r>
            <w:r w:rsidR="008501B9" w:rsidRPr="00FA03CA">
              <w:rPr>
                <w:rFonts w:eastAsia="Arial"/>
              </w:rPr>
              <w:t xml:space="preserve">estimates of biomass for </w:t>
            </w:r>
            <w:r w:rsidRPr="00FA03CA">
              <w:rPr>
                <w:rFonts w:eastAsia="Arial"/>
              </w:rPr>
              <w:t>waterbod</w:t>
            </w:r>
            <w:r w:rsidR="008501B9" w:rsidRPr="00FA03CA">
              <w:rPr>
                <w:rFonts w:eastAsia="Arial"/>
              </w:rPr>
              <w:t>ies</w:t>
            </w:r>
            <w:r w:rsidRPr="00FA03CA">
              <w:rPr>
                <w:rFonts w:eastAsia="Arial"/>
              </w:rPr>
              <w:t>. Predictions of carp biomass for waterbodies were based primarily on habitat class (lake, wetland, or storage) and spatial region.</w:t>
            </w:r>
          </w:p>
        </w:tc>
      </w:tr>
      <w:tr w:rsidR="00D17443" w:rsidRPr="00FA03CA" w14:paraId="7B9BD19E" w14:textId="77777777" w:rsidTr="00F83A80">
        <w:tc>
          <w:tcPr>
            <w:tcW w:w="6658" w:type="dxa"/>
          </w:tcPr>
          <w:p w14:paraId="5EF55B87" w14:textId="5393F983" w:rsidR="00D17443" w:rsidRPr="00FA03CA" w:rsidRDefault="00D17443" w:rsidP="000E6862">
            <w:pPr>
              <w:spacing w:after="160" w:line="360" w:lineRule="auto"/>
              <w:jc w:val="both"/>
              <w:rPr>
                <w:rFonts w:eastAsia="Arial"/>
              </w:rPr>
            </w:pPr>
            <w:r w:rsidRPr="00FA03CA">
              <w:rPr>
                <w:rFonts w:eastAsia="Arial"/>
              </w:rPr>
              <w:t xml:space="preserve">Modelled river area (ha) fits were moderate with some over and under-estimation of </w:t>
            </w:r>
            <w:r w:rsidR="008501B9" w:rsidRPr="00FA03CA">
              <w:rPr>
                <w:rFonts w:eastAsia="Arial"/>
              </w:rPr>
              <w:t xml:space="preserve">the </w:t>
            </w:r>
            <w:r w:rsidRPr="00FA03CA">
              <w:rPr>
                <w:rFonts w:eastAsia="Arial"/>
              </w:rPr>
              <w:t>total area.</w:t>
            </w:r>
          </w:p>
        </w:tc>
        <w:tc>
          <w:tcPr>
            <w:tcW w:w="7087" w:type="dxa"/>
          </w:tcPr>
          <w:p w14:paraId="05C542AE" w14:textId="50661539" w:rsidR="00D17443" w:rsidRPr="00FA03CA" w:rsidRDefault="008501B9" w:rsidP="000E6862">
            <w:pPr>
              <w:spacing w:after="160" w:line="360" w:lineRule="auto"/>
              <w:jc w:val="both"/>
              <w:rPr>
                <w:rFonts w:eastAsia="Arial"/>
              </w:rPr>
            </w:pPr>
            <w:r w:rsidRPr="00FA03CA">
              <w:rPr>
                <w:rFonts w:eastAsia="Arial"/>
              </w:rPr>
              <w:t>Data on r</w:t>
            </w:r>
            <w:r w:rsidR="00D17443" w:rsidRPr="00FA03CA">
              <w:rPr>
                <w:rFonts w:eastAsia="Arial"/>
              </w:rPr>
              <w:t>iver width</w:t>
            </w:r>
            <w:r w:rsidRPr="00FA03CA">
              <w:rPr>
                <w:rFonts w:eastAsia="Arial"/>
              </w:rPr>
              <w:t>s</w:t>
            </w:r>
            <w:r w:rsidR="00D17443" w:rsidRPr="00FA03CA">
              <w:rPr>
                <w:rFonts w:eastAsia="Arial"/>
              </w:rPr>
              <w:t xml:space="preserve"> were unavailable.</w:t>
            </w:r>
          </w:p>
        </w:tc>
      </w:tr>
      <w:tr w:rsidR="00D17443" w:rsidRPr="00FA03CA" w14:paraId="69304CDC" w14:textId="77777777" w:rsidTr="00F83A80">
        <w:tc>
          <w:tcPr>
            <w:tcW w:w="6658" w:type="dxa"/>
          </w:tcPr>
          <w:p w14:paraId="23C59462" w14:textId="77491BA6" w:rsidR="00D17443" w:rsidRPr="00FA03CA" w:rsidRDefault="00D17443" w:rsidP="000E6862">
            <w:pPr>
              <w:spacing w:after="160" w:line="360" w:lineRule="auto"/>
              <w:jc w:val="both"/>
              <w:rPr>
                <w:rFonts w:eastAsia="Arial"/>
              </w:rPr>
            </w:pPr>
            <w:r w:rsidRPr="00FA03CA">
              <w:rPr>
                <w:rFonts w:eastAsia="Arial"/>
              </w:rPr>
              <w:t xml:space="preserve">Few GIS and CPUE data were available for </w:t>
            </w:r>
            <w:r w:rsidR="008501B9" w:rsidRPr="00FA03CA">
              <w:rPr>
                <w:rFonts w:eastAsia="Arial"/>
              </w:rPr>
              <w:t xml:space="preserve">aquatic habitats in </w:t>
            </w:r>
            <w:r w:rsidRPr="00FA03CA">
              <w:rPr>
                <w:rFonts w:eastAsia="Arial"/>
              </w:rPr>
              <w:t>Western Australia and irrigation channels</w:t>
            </w:r>
            <w:r w:rsidR="008501B9" w:rsidRPr="00FA03CA">
              <w:rPr>
                <w:rFonts w:eastAsia="Arial"/>
              </w:rPr>
              <w:t xml:space="preserve"> in SE Australia</w:t>
            </w:r>
            <w:r w:rsidR="007B41EB" w:rsidRPr="00FA03CA">
              <w:rPr>
                <w:rFonts w:eastAsia="Arial"/>
              </w:rPr>
              <w:t>.</w:t>
            </w:r>
          </w:p>
        </w:tc>
        <w:tc>
          <w:tcPr>
            <w:tcW w:w="7087" w:type="dxa"/>
          </w:tcPr>
          <w:p w14:paraId="6DDA4259" w14:textId="499CF4B2" w:rsidR="00D17443" w:rsidRPr="00FA03CA" w:rsidRDefault="00D17443" w:rsidP="000E6862">
            <w:pPr>
              <w:spacing w:after="160" w:line="360" w:lineRule="auto"/>
              <w:jc w:val="both"/>
              <w:rPr>
                <w:rFonts w:eastAsia="Arial"/>
              </w:rPr>
            </w:pPr>
            <w:r w:rsidRPr="00FA03CA">
              <w:rPr>
                <w:rFonts w:eastAsia="Arial"/>
              </w:rPr>
              <w:t xml:space="preserve">GIS layers were built for irrigation channels and </w:t>
            </w:r>
            <w:r w:rsidR="008501B9" w:rsidRPr="00FA03CA">
              <w:rPr>
                <w:rFonts w:eastAsia="Arial"/>
              </w:rPr>
              <w:t xml:space="preserve">for </w:t>
            </w:r>
            <w:r w:rsidRPr="00FA03CA">
              <w:rPr>
                <w:rFonts w:eastAsia="Arial"/>
              </w:rPr>
              <w:t xml:space="preserve">Western Australian rivers and a coarse estimate of carp </w:t>
            </w:r>
            <w:r w:rsidR="008501B9" w:rsidRPr="00FA03CA">
              <w:rPr>
                <w:rFonts w:eastAsia="Arial"/>
              </w:rPr>
              <w:t xml:space="preserve">biomass </w:t>
            </w:r>
            <w:r w:rsidRPr="00FA03CA">
              <w:rPr>
                <w:rFonts w:eastAsia="Arial"/>
              </w:rPr>
              <w:t xml:space="preserve">density </w:t>
            </w:r>
            <w:r w:rsidR="008501B9" w:rsidRPr="00FA03CA">
              <w:rPr>
                <w:rFonts w:eastAsia="Arial"/>
              </w:rPr>
              <w:t xml:space="preserve">was </w:t>
            </w:r>
            <w:r w:rsidRPr="00FA03CA">
              <w:rPr>
                <w:rFonts w:eastAsia="Arial"/>
              </w:rPr>
              <w:t>applied (low =50 kg/ha, medium = 150 kg/ha and high = 300 kg/ha).</w:t>
            </w:r>
          </w:p>
        </w:tc>
      </w:tr>
      <w:tr w:rsidR="00D17443" w:rsidRPr="00FA03CA" w14:paraId="2AE65046" w14:textId="77777777" w:rsidTr="00F83A80">
        <w:tc>
          <w:tcPr>
            <w:tcW w:w="6658" w:type="dxa"/>
          </w:tcPr>
          <w:p w14:paraId="7D018FED" w14:textId="775C871C" w:rsidR="00D17443" w:rsidRPr="00FA03CA" w:rsidRDefault="008501B9" w:rsidP="000E6862">
            <w:pPr>
              <w:spacing w:after="160" w:line="360" w:lineRule="auto"/>
              <w:jc w:val="both"/>
              <w:rPr>
                <w:rFonts w:eastAsia="Arial"/>
              </w:rPr>
            </w:pPr>
            <w:r w:rsidRPr="00FA03CA">
              <w:rPr>
                <w:rFonts w:eastAsia="Arial"/>
              </w:rPr>
              <w:t xml:space="preserve">The </w:t>
            </w:r>
            <w:r w:rsidR="00D17443" w:rsidRPr="00FA03CA">
              <w:rPr>
                <w:rFonts w:eastAsia="Arial"/>
              </w:rPr>
              <w:t xml:space="preserve">GIS spatial area </w:t>
            </w:r>
            <w:r w:rsidRPr="00FA03CA">
              <w:rPr>
                <w:rFonts w:eastAsia="Arial"/>
              </w:rPr>
              <w:t xml:space="preserve">of rivers and waterbodies </w:t>
            </w:r>
            <w:r w:rsidR="00D17443" w:rsidRPr="00FA03CA">
              <w:rPr>
                <w:rFonts w:eastAsia="Arial"/>
              </w:rPr>
              <w:t>was treated as a constant.</w:t>
            </w:r>
          </w:p>
        </w:tc>
        <w:tc>
          <w:tcPr>
            <w:tcW w:w="7087" w:type="dxa"/>
          </w:tcPr>
          <w:p w14:paraId="3FFB688A" w14:textId="43109145" w:rsidR="00D17443" w:rsidRPr="00FA03CA" w:rsidRDefault="000001AC" w:rsidP="006B7092">
            <w:pPr>
              <w:spacing w:after="160" w:line="360" w:lineRule="auto"/>
              <w:jc w:val="both"/>
              <w:rPr>
                <w:rFonts w:eastAsia="Arial"/>
              </w:rPr>
            </w:pPr>
            <w:r w:rsidRPr="00FA03CA">
              <w:rPr>
                <w:rFonts w:eastAsia="Arial"/>
              </w:rPr>
              <w:t>A</w:t>
            </w:r>
            <w:r w:rsidR="00072EE5" w:rsidRPr="00FA03CA">
              <w:rPr>
                <w:rFonts w:eastAsia="Arial"/>
              </w:rPr>
              <w:t xml:space="preserve">verage </w:t>
            </w:r>
            <w:r w:rsidRPr="00FA03CA">
              <w:rPr>
                <w:rFonts w:eastAsia="Arial"/>
              </w:rPr>
              <w:t xml:space="preserve">and wet </w:t>
            </w:r>
            <w:r w:rsidR="00072EE5" w:rsidRPr="00FA03CA">
              <w:rPr>
                <w:rFonts w:eastAsia="Arial"/>
              </w:rPr>
              <w:t>hydrological scenario</w:t>
            </w:r>
            <w:r w:rsidRPr="00FA03CA">
              <w:rPr>
                <w:rFonts w:eastAsia="Arial"/>
              </w:rPr>
              <w:t>s</w:t>
            </w:r>
            <w:r w:rsidR="00072EE5" w:rsidRPr="00FA03CA">
              <w:rPr>
                <w:rFonts w:eastAsia="Arial"/>
              </w:rPr>
              <w:t xml:space="preserve"> </w:t>
            </w:r>
            <w:r w:rsidR="00D17443" w:rsidRPr="00FA03CA">
              <w:rPr>
                <w:rFonts w:eastAsia="Arial"/>
              </w:rPr>
              <w:t>w</w:t>
            </w:r>
            <w:r w:rsidRPr="00FA03CA">
              <w:rPr>
                <w:rFonts w:eastAsia="Arial"/>
              </w:rPr>
              <w:t>ere</w:t>
            </w:r>
            <w:r w:rsidR="00D17443" w:rsidRPr="00FA03CA">
              <w:rPr>
                <w:rFonts w:eastAsia="Arial"/>
              </w:rPr>
              <w:t xml:space="preserve"> modelled </w:t>
            </w:r>
            <w:r w:rsidRPr="00FA03CA">
              <w:rPr>
                <w:rFonts w:eastAsia="Arial"/>
              </w:rPr>
              <w:t>as static areas</w:t>
            </w:r>
            <w:r w:rsidR="008501B9" w:rsidRPr="00FA03CA">
              <w:rPr>
                <w:rFonts w:eastAsia="Arial"/>
              </w:rPr>
              <w:t>,</w:t>
            </w:r>
            <w:r w:rsidRPr="00FA03CA">
              <w:rPr>
                <w:rFonts w:eastAsia="Arial"/>
              </w:rPr>
              <w:t xml:space="preserve"> but </w:t>
            </w:r>
            <w:r w:rsidR="008501B9" w:rsidRPr="00FA03CA">
              <w:rPr>
                <w:rFonts w:eastAsia="Arial"/>
              </w:rPr>
              <w:t xml:space="preserve">the area of </w:t>
            </w:r>
            <w:r w:rsidR="00D17443" w:rsidRPr="00FA03CA">
              <w:rPr>
                <w:rFonts w:eastAsia="Arial"/>
              </w:rPr>
              <w:t>aquatic habitat</w:t>
            </w:r>
            <w:r w:rsidR="008501B9" w:rsidRPr="00FA03CA">
              <w:rPr>
                <w:rFonts w:eastAsia="Arial"/>
              </w:rPr>
              <w:t>s</w:t>
            </w:r>
            <w:r w:rsidR="00D17443" w:rsidRPr="00FA03CA">
              <w:rPr>
                <w:rFonts w:eastAsia="Arial"/>
              </w:rPr>
              <w:t xml:space="preserve"> </w:t>
            </w:r>
            <w:r w:rsidRPr="00FA03CA">
              <w:rPr>
                <w:rFonts w:eastAsia="Arial"/>
              </w:rPr>
              <w:t xml:space="preserve">is </w:t>
            </w:r>
            <w:r w:rsidR="00D17443" w:rsidRPr="00FA03CA">
              <w:rPr>
                <w:rFonts w:eastAsia="Arial"/>
              </w:rPr>
              <w:t xml:space="preserve">substantially </w:t>
            </w:r>
            <w:r w:rsidR="00072EE5" w:rsidRPr="00FA03CA">
              <w:rPr>
                <w:rFonts w:eastAsia="Arial"/>
              </w:rPr>
              <w:t>different</w:t>
            </w:r>
            <w:r w:rsidR="00D17443" w:rsidRPr="00FA03CA">
              <w:rPr>
                <w:rFonts w:eastAsia="Arial"/>
              </w:rPr>
              <w:t xml:space="preserve"> under</w:t>
            </w:r>
            <w:r w:rsidR="00072EE5" w:rsidRPr="00FA03CA">
              <w:rPr>
                <w:rFonts w:eastAsia="Arial"/>
              </w:rPr>
              <w:t xml:space="preserve"> </w:t>
            </w:r>
            <w:r w:rsidR="00D17443" w:rsidRPr="00FA03CA">
              <w:rPr>
                <w:rFonts w:eastAsia="Arial"/>
              </w:rPr>
              <w:t>flood</w:t>
            </w:r>
            <w:r w:rsidRPr="00FA03CA">
              <w:rPr>
                <w:rFonts w:eastAsia="Arial"/>
              </w:rPr>
              <w:t>, average</w:t>
            </w:r>
            <w:r w:rsidR="00D17443" w:rsidRPr="00FA03CA">
              <w:rPr>
                <w:rFonts w:eastAsia="Arial"/>
              </w:rPr>
              <w:t xml:space="preserve"> </w:t>
            </w:r>
            <w:r w:rsidRPr="00FA03CA">
              <w:rPr>
                <w:rFonts w:eastAsia="Arial"/>
              </w:rPr>
              <w:t>and</w:t>
            </w:r>
            <w:r w:rsidR="00D17443" w:rsidRPr="00FA03CA">
              <w:rPr>
                <w:rFonts w:eastAsia="Arial"/>
              </w:rPr>
              <w:t xml:space="preserve"> drought conditions (Todd et al.</w:t>
            </w:r>
            <w:r w:rsidR="003F0BC5" w:rsidRPr="00FA03CA">
              <w:rPr>
                <w:rFonts w:eastAsia="Arial"/>
              </w:rPr>
              <w:t>,</w:t>
            </w:r>
            <w:r w:rsidR="00D17443" w:rsidRPr="00FA03CA">
              <w:rPr>
                <w:rFonts w:eastAsia="Arial"/>
              </w:rPr>
              <w:t xml:space="preserve"> 2019).  </w:t>
            </w:r>
          </w:p>
        </w:tc>
      </w:tr>
      <w:tr w:rsidR="00D17443" w:rsidRPr="00FA03CA" w14:paraId="3E939446" w14:textId="77777777" w:rsidTr="00F83A80">
        <w:tc>
          <w:tcPr>
            <w:tcW w:w="6658" w:type="dxa"/>
          </w:tcPr>
          <w:p w14:paraId="60A2549C" w14:textId="26470306" w:rsidR="00D17443" w:rsidRPr="00FA03CA" w:rsidRDefault="00D17443" w:rsidP="000E6862">
            <w:pPr>
              <w:spacing w:after="160" w:line="360" w:lineRule="auto"/>
              <w:jc w:val="both"/>
              <w:rPr>
                <w:rFonts w:eastAsia="Arial"/>
              </w:rPr>
            </w:pPr>
            <w:r w:rsidRPr="00FA03CA">
              <w:rPr>
                <w:rFonts w:eastAsia="Arial"/>
              </w:rPr>
              <w:t xml:space="preserve">Spatial area (ha) </w:t>
            </w:r>
            <w:r w:rsidR="008501B9" w:rsidRPr="00FA03CA">
              <w:rPr>
                <w:rFonts w:eastAsia="Arial"/>
              </w:rPr>
              <w:t xml:space="preserve">is a </w:t>
            </w:r>
            <w:r w:rsidRPr="00FA03CA">
              <w:rPr>
                <w:rFonts w:eastAsia="Arial"/>
              </w:rPr>
              <w:t xml:space="preserve">less accurate </w:t>
            </w:r>
            <w:r w:rsidR="008501B9" w:rsidRPr="00FA03CA">
              <w:rPr>
                <w:rFonts w:eastAsia="Arial"/>
              </w:rPr>
              <w:t xml:space="preserve">habitat </w:t>
            </w:r>
            <w:r w:rsidRPr="00FA03CA">
              <w:rPr>
                <w:rFonts w:eastAsia="Arial"/>
              </w:rPr>
              <w:t xml:space="preserve">metric compared </w:t>
            </w:r>
            <w:r w:rsidR="008501B9" w:rsidRPr="00FA03CA">
              <w:rPr>
                <w:rFonts w:eastAsia="Arial"/>
              </w:rPr>
              <w:t xml:space="preserve">with </w:t>
            </w:r>
            <w:r w:rsidRPr="00FA03CA">
              <w:rPr>
                <w:rFonts w:eastAsia="Arial"/>
              </w:rPr>
              <w:t>volume (m</w:t>
            </w:r>
            <w:r w:rsidRPr="00FA03CA">
              <w:rPr>
                <w:rFonts w:eastAsia="Arial"/>
                <w:vertAlign w:val="superscript"/>
              </w:rPr>
              <w:t>3</w:t>
            </w:r>
            <w:r w:rsidRPr="00FA03CA">
              <w:rPr>
                <w:rFonts w:eastAsia="Arial"/>
              </w:rPr>
              <w:t>).</w:t>
            </w:r>
          </w:p>
        </w:tc>
        <w:tc>
          <w:tcPr>
            <w:tcW w:w="7087" w:type="dxa"/>
          </w:tcPr>
          <w:p w14:paraId="4E94D3F1" w14:textId="066D8151" w:rsidR="00D17443" w:rsidRPr="00FA03CA" w:rsidRDefault="00D17443" w:rsidP="000E6862">
            <w:pPr>
              <w:spacing w:after="160" w:line="360" w:lineRule="auto"/>
              <w:jc w:val="both"/>
              <w:rPr>
                <w:rFonts w:eastAsia="Arial"/>
              </w:rPr>
            </w:pPr>
            <w:r w:rsidRPr="00FA03CA">
              <w:rPr>
                <w:rFonts w:eastAsia="Arial"/>
              </w:rPr>
              <w:t>Carp occupy three-dimensional habitats and hence volume may be a superior spatial metric.  However, there are no GIS bathymetry layers for standing waterbodies or rivers and depth is even more temporally dynamic than spatial area.  Hence, carp density by area (ha) is the most commonly used metric (Bajer and Sorensen 2012</w:t>
            </w:r>
            <w:r w:rsidR="001B78C4" w:rsidRPr="00FA03CA">
              <w:rPr>
                <w:rFonts w:eastAsia="Arial"/>
              </w:rPr>
              <w:t>;</w:t>
            </w:r>
            <w:r w:rsidRPr="00FA03CA">
              <w:rPr>
                <w:rFonts w:eastAsia="Arial"/>
              </w:rPr>
              <w:t xml:space="preserve"> Farrier et al.</w:t>
            </w:r>
            <w:r w:rsidR="003F0BC5" w:rsidRPr="00FA03CA">
              <w:rPr>
                <w:rFonts w:eastAsia="Arial"/>
              </w:rPr>
              <w:t>,</w:t>
            </w:r>
            <w:r w:rsidRPr="00FA03CA">
              <w:rPr>
                <w:rFonts w:eastAsia="Arial"/>
              </w:rPr>
              <w:t xml:space="preserve"> 2018).</w:t>
            </w:r>
          </w:p>
        </w:tc>
      </w:tr>
      <w:tr w:rsidR="00D17443" w:rsidRPr="00FA03CA" w14:paraId="6D25E626" w14:textId="77777777" w:rsidTr="00F83A80">
        <w:tc>
          <w:tcPr>
            <w:tcW w:w="13745" w:type="dxa"/>
            <w:gridSpan w:val="2"/>
          </w:tcPr>
          <w:p w14:paraId="3EAC2576" w14:textId="5C0319CC" w:rsidR="00D17443" w:rsidRPr="00FA03CA" w:rsidRDefault="00D17443" w:rsidP="000E6862">
            <w:pPr>
              <w:spacing w:after="160" w:line="360" w:lineRule="auto"/>
              <w:jc w:val="both"/>
              <w:rPr>
                <w:rFonts w:eastAsia="Arial"/>
                <w:i/>
                <w:iCs/>
              </w:rPr>
            </w:pPr>
            <w:r w:rsidRPr="00FA03CA">
              <w:rPr>
                <w:rFonts w:eastAsia="Arial"/>
                <w:i/>
                <w:iCs/>
              </w:rPr>
              <w:t>Model assumptions</w:t>
            </w:r>
          </w:p>
        </w:tc>
      </w:tr>
      <w:tr w:rsidR="00D17443" w:rsidRPr="00FA03CA" w14:paraId="12649F16" w14:textId="77777777" w:rsidTr="00F83A80">
        <w:tc>
          <w:tcPr>
            <w:tcW w:w="6658" w:type="dxa"/>
          </w:tcPr>
          <w:p w14:paraId="61FB282E" w14:textId="2E545138" w:rsidR="00D17443" w:rsidRPr="00FA03CA" w:rsidRDefault="00D17443" w:rsidP="000E6862">
            <w:pPr>
              <w:spacing w:after="160" w:line="360" w:lineRule="auto"/>
              <w:jc w:val="both"/>
              <w:rPr>
                <w:rFonts w:eastAsia="Arial"/>
              </w:rPr>
            </w:pPr>
            <w:r w:rsidRPr="00FA03CA">
              <w:t>Conversion factor for young-of-the-year (YOY) fish &lt;150 mm FL was the same as for fish ≥150</w:t>
            </w:r>
            <w:r w:rsidR="008501B9" w:rsidRPr="00FA03CA">
              <w:t xml:space="preserve"> </w:t>
            </w:r>
            <w:r w:rsidRPr="00FA03CA">
              <w:t>mm FL.</w:t>
            </w:r>
          </w:p>
        </w:tc>
        <w:tc>
          <w:tcPr>
            <w:tcW w:w="7087" w:type="dxa"/>
          </w:tcPr>
          <w:p w14:paraId="7B414798" w14:textId="1579655C" w:rsidR="00D17443" w:rsidRPr="00FA03CA" w:rsidRDefault="00D17443" w:rsidP="00056D58">
            <w:pPr>
              <w:spacing w:after="160" w:line="360" w:lineRule="auto"/>
              <w:jc w:val="both"/>
              <w:rPr>
                <w:rFonts w:eastAsia="Arial"/>
              </w:rPr>
            </w:pPr>
            <w:r w:rsidRPr="00FA03CA">
              <w:rPr>
                <w:rFonts w:eastAsia="Arial"/>
              </w:rPr>
              <w:t xml:space="preserve">Small </w:t>
            </w:r>
            <w:r w:rsidRPr="005D473B">
              <w:rPr>
                <w:rFonts w:eastAsia="Arial"/>
              </w:rPr>
              <w:t>fish are difficult to electro-fish for reliable estimates of density (Dolan and Miranda 2003). Without any available information on detection rates, a conservative approach of using the</w:t>
            </w:r>
            <w:r w:rsidRPr="00FA03CA">
              <w:rPr>
                <w:rFonts w:eastAsia="Arial"/>
              </w:rPr>
              <w:t xml:space="preserve"> conversion factor for fish </w:t>
            </w:r>
            <w:r w:rsidR="00056D58" w:rsidRPr="00FA03CA">
              <w:t>≥</w:t>
            </w:r>
            <w:r w:rsidRPr="00FA03CA">
              <w:rPr>
                <w:rFonts w:eastAsia="Arial"/>
              </w:rPr>
              <w:t>150 mm fork length (FL) was adopted.  Juvenile carp biomass is likely underestimated.</w:t>
            </w:r>
          </w:p>
        </w:tc>
      </w:tr>
      <w:tr w:rsidR="00D17443" w:rsidRPr="00FA03CA" w14:paraId="30ED69FA" w14:textId="77777777" w:rsidTr="00F83A80">
        <w:tc>
          <w:tcPr>
            <w:tcW w:w="6658" w:type="dxa"/>
          </w:tcPr>
          <w:p w14:paraId="3937D50D" w14:textId="6F967FC4" w:rsidR="00D17443" w:rsidRPr="00FA03CA" w:rsidRDefault="00D17443" w:rsidP="000E6862">
            <w:pPr>
              <w:spacing w:after="160" w:line="360" w:lineRule="auto"/>
              <w:jc w:val="both"/>
              <w:rPr>
                <w:rFonts w:eastAsia="Arial"/>
              </w:rPr>
            </w:pPr>
            <w:r w:rsidRPr="00FA03CA">
              <w:t xml:space="preserve">Constant length-mass relationship </w:t>
            </w:r>
            <w:r w:rsidR="008501B9" w:rsidRPr="00FA03CA">
              <w:t xml:space="preserve">for carp </w:t>
            </w:r>
            <w:r w:rsidRPr="00FA03CA">
              <w:t xml:space="preserve">across the entire geographic range. </w:t>
            </w:r>
          </w:p>
        </w:tc>
        <w:tc>
          <w:tcPr>
            <w:tcW w:w="7087" w:type="dxa"/>
          </w:tcPr>
          <w:p w14:paraId="2DF52732" w14:textId="7F72EFFB" w:rsidR="00D17443" w:rsidRPr="00FA03CA" w:rsidRDefault="00D17443" w:rsidP="00056D58">
            <w:pPr>
              <w:spacing w:after="160" w:line="360" w:lineRule="auto"/>
              <w:jc w:val="both"/>
              <w:rPr>
                <w:rFonts w:eastAsia="Arial"/>
              </w:rPr>
            </w:pPr>
            <w:r w:rsidRPr="00FA03CA">
              <w:t>Carp length (</w:t>
            </w:r>
            <w:r w:rsidR="00072EE5" w:rsidRPr="00FA03CA">
              <w:t>FL</w:t>
            </w:r>
            <w:r w:rsidRPr="00FA03CA">
              <w:t>, mm) and mass (g) were extracted from the database and a general linear model (GLM) applied with mass (log</w:t>
            </w:r>
            <w:r w:rsidRPr="00FA03CA">
              <w:rPr>
                <w:vertAlign w:val="subscript"/>
              </w:rPr>
              <w:t>10</w:t>
            </w:r>
            <w:r w:rsidRPr="00FA03CA">
              <w:t>-transformed) as the response variable and length (log</w:t>
            </w:r>
            <w:r w:rsidRPr="00FA03CA">
              <w:rPr>
                <w:vertAlign w:val="subscript"/>
              </w:rPr>
              <w:t>10</w:t>
            </w:r>
            <w:r w:rsidRPr="00FA03CA">
              <w:t xml:space="preserve"> transformed) as the predictor. From th</w:t>
            </w:r>
            <w:r w:rsidR="008D31FC" w:rsidRPr="00FA03CA">
              <w:t>is</w:t>
            </w:r>
            <w:r w:rsidRPr="00FA03CA">
              <w:t xml:space="preserve"> </w:t>
            </w:r>
            <w:r w:rsidR="008D31FC" w:rsidRPr="00FA03CA">
              <w:t>model</w:t>
            </w:r>
            <w:r w:rsidRPr="00FA03CA">
              <w:t xml:space="preserve">, a constant length-mass relationship </w:t>
            </w:r>
            <w:r w:rsidR="00056D58" w:rsidRPr="00FA03CA">
              <w:t xml:space="preserve">was established </w:t>
            </w:r>
            <w:r w:rsidRPr="00FA03CA">
              <w:t xml:space="preserve">across the entire geographic distribution of carp.  </w:t>
            </w:r>
          </w:p>
        </w:tc>
      </w:tr>
      <w:tr w:rsidR="00DE567E" w:rsidRPr="00FA03CA" w14:paraId="3A159221" w14:textId="77777777" w:rsidTr="00F83A80">
        <w:tc>
          <w:tcPr>
            <w:tcW w:w="6658" w:type="dxa"/>
          </w:tcPr>
          <w:p w14:paraId="0D91108F" w14:textId="7B1121F7" w:rsidR="00DE567E" w:rsidRPr="00FA03CA" w:rsidRDefault="00DE567E" w:rsidP="000E6862">
            <w:pPr>
              <w:spacing w:after="160" w:line="360" w:lineRule="auto"/>
              <w:jc w:val="both"/>
              <w:rPr>
                <w:rFonts w:eastAsia="Arial"/>
              </w:rPr>
            </w:pPr>
            <w:r w:rsidRPr="00FA03CA">
              <w:rPr>
                <w:rFonts w:eastAsia="Arial"/>
                <w:i/>
                <w:iCs/>
              </w:rPr>
              <w:t>Model limitations</w:t>
            </w:r>
          </w:p>
        </w:tc>
        <w:tc>
          <w:tcPr>
            <w:tcW w:w="7087" w:type="dxa"/>
          </w:tcPr>
          <w:p w14:paraId="11350536" w14:textId="77777777" w:rsidR="00DE567E" w:rsidRPr="00FA03CA" w:rsidRDefault="00DE567E" w:rsidP="000E6862">
            <w:pPr>
              <w:spacing w:after="160" w:line="360" w:lineRule="auto"/>
              <w:jc w:val="both"/>
              <w:rPr>
                <w:rFonts w:eastAsia="Arial"/>
              </w:rPr>
            </w:pPr>
          </w:p>
        </w:tc>
      </w:tr>
      <w:tr w:rsidR="00D17443" w:rsidRPr="00FA03CA" w14:paraId="116BEEE6" w14:textId="77777777" w:rsidTr="00F83A80">
        <w:tc>
          <w:tcPr>
            <w:tcW w:w="6658" w:type="dxa"/>
          </w:tcPr>
          <w:p w14:paraId="1F077A3B" w14:textId="77777777" w:rsidR="00D17443" w:rsidRPr="00FA03CA" w:rsidRDefault="00D17443" w:rsidP="000E6862">
            <w:pPr>
              <w:spacing w:after="160" w:line="360" w:lineRule="auto"/>
              <w:jc w:val="both"/>
            </w:pPr>
            <w:r w:rsidRPr="00FA03CA">
              <w:rPr>
                <w:rFonts w:eastAsia="Arial"/>
              </w:rPr>
              <w:t>Exclusion of farm dams (&lt;4 ha) from the carp biomass estimate.</w:t>
            </w:r>
          </w:p>
        </w:tc>
        <w:tc>
          <w:tcPr>
            <w:tcW w:w="7087" w:type="dxa"/>
          </w:tcPr>
          <w:p w14:paraId="7CE8FE2D" w14:textId="77777777" w:rsidR="00D17443" w:rsidRPr="00FA03CA" w:rsidRDefault="00D17443" w:rsidP="000E6862">
            <w:pPr>
              <w:spacing w:after="160" w:line="360" w:lineRule="auto"/>
              <w:jc w:val="both"/>
            </w:pPr>
            <w:r w:rsidRPr="00FA03CA">
              <w:rPr>
                <w:rFonts w:eastAsia="Arial"/>
              </w:rPr>
              <w:t>No data were available as to carp presence in farm dams.</w:t>
            </w:r>
          </w:p>
        </w:tc>
      </w:tr>
      <w:tr w:rsidR="00D17443" w:rsidRPr="00FA03CA" w14:paraId="1074C3B0" w14:textId="77777777" w:rsidTr="00F83A80">
        <w:tc>
          <w:tcPr>
            <w:tcW w:w="6658" w:type="dxa"/>
          </w:tcPr>
          <w:p w14:paraId="74B8AC6B" w14:textId="77777777" w:rsidR="00D17443" w:rsidRPr="00FA03CA" w:rsidRDefault="00D17443" w:rsidP="000E6862">
            <w:pPr>
              <w:pStyle w:val="Normalnumbered"/>
              <w:numPr>
                <w:ilvl w:val="0"/>
                <w:numId w:val="0"/>
              </w:numPr>
              <w:spacing w:line="360" w:lineRule="auto"/>
              <w:jc w:val="both"/>
            </w:pPr>
            <w:r w:rsidRPr="00FA03CA">
              <w:rPr>
                <w:rFonts w:eastAsia="Arial"/>
              </w:rPr>
              <w:t>Estimates of conversion factors may underestimate the true conversion factor for standard boat electrofishing protocols.</w:t>
            </w:r>
          </w:p>
        </w:tc>
        <w:tc>
          <w:tcPr>
            <w:tcW w:w="7087" w:type="dxa"/>
          </w:tcPr>
          <w:p w14:paraId="6BBB6DEB" w14:textId="6CBD50EF" w:rsidR="00D17443" w:rsidRPr="00FA03CA" w:rsidRDefault="00D17443" w:rsidP="000E6862">
            <w:pPr>
              <w:spacing w:after="160" w:line="360" w:lineRule="auto"/>
              <w:jc w:val="both"/>
              <w:rPr>
                <w:rFonts w:eastAsia="Arial"/>
              </w:rPr>
            </w:pPr>
            <w:r w:rsidRPr="00FA03CA">
              <w:rPr>
                <w:rFonts w:eastAsia="Arial"/>
              </w:rPr>
              <w:t>Standardised electrofishing protocols are the most widely applied in eastern Australia (Davies et al.</w:t>
            </w:r>
            <w:r w:rsidR="003F0BC5" w:rsidRPr="00FA03CA">
              <w:rPr>
                <w:rFonts w:eastAsia="Arial"/>
              </w:rPr>
              <w:t>,</w:t>
            </w:r>
            <w:r w:rsidRPr="00FA03CA">
              <w:rPr>
                <w:rFonts w:eastAsia="Arial"/>
              </w:rPr>
              <w:t xml:space="preserve"> 2010).  During the conversion factor experiments, there was likely a higher detection probability than for historic surveys.  This effect may contribute to </w:t>
            </w:r>
            <w:r w:rsidR="008D31FC" w:rsidRPr="00FA03CA">
              <w:rPr>
                <w:rFonts w:eastAsia="Arial"/>
              </w:rPr>
              <w:t xml:space="preserve">an </w:t>
            </w:r>
            <w:r w:rsidRPr="00FA03CA">
              <w:rPr>
                <w:rFonts w:eastAsia="Arial"/>
              </w:rPr>
              <w:t xml:space="preserve">underestimation </w:t>
            </w:r>
            <w:r w:rsidR="008D31FC" w:rsidRPr="00FA03CA">
              <w:rPr>
                <w:rFonts w:eastAsia="Arial"/>
              </w:rPr>
              <w:t xml:space="preserve">of </w:t>
            </w:r>
            <w:r w:rsidRPr="00FA03CA">
              <w:rPr>
                <w:rFonts w:eastAsia="Arial"/>
              </w:rPr>
              <w:t>the total carp biomass.</w:t>
            </w:r>
          </w:p>
        </w:tc>
      </w:tr>
    </w:tbl>
    <w:p w14:paraId="6A83FF64" w14:textId="77777777" w:rsidR="00D17443" w:rsidRPr="00FA03CA" w:rsidRDefault="00D17443" w:rsidP="00D17443">
      <w:pPr>
        <w:spacing w:after="160" w:line="259" w:lineRule="auto"/>
        <w:rPr>
          <w:b/>
          <w:bCs/>
        </w:rPr>
      </w:pPr>
    </w:p>
    <w:p w14:paraId="64E991F7" w14:textId="77777777" w:rsidR="00D17443" w:rsidRPr="00FA03CA" w:rsidRDefault="00D17443" w:rsidP="00D17443">
      <w:pPr>
        <w:pStyle w:val="ARIERRefs"/>
        <w:ind w:left="0" w:firstLine="0"/>
        <w:rPr>
          <w:szCs w:val="20"/>
        </w:rPr>
        <w:sectPr w:rsidR="00D17443" w:rsidRPr="00FA03CA" w:rsidSect="00FA03CA">
          <w:pgSz w:w="16838" w:h="11906" w:orient="landscape"/>
          <w:pgMar w:top="1440" w:right="1440" w:bottom="1440" w:left="1440" w:header="708" w:footer="708" w:gutter="0"/>
          <w:cols w:space="708"/>
          <w:docGrid w:linePitch="360"/>
        </w:sectPr>
      </w:pPr>
    </w:p>
    <w:p w14:paraId="282844A7" w14:textId="06E980C4" w:rsidR="00C6407D" w:rsidRPr="00FA03CA" w:rsidRDefault="00C6407D" w:rsidP="0012238D">
      <w:pPr>
        <w:spacing w:after="200" w:line="360" w:lineRule="auto"/>
        <w:jc w:val="both"/>
        <w:rPr>
          <w:rFonts w:eastAsia="Arial"/>
        </w:rPr>
      </w:pPr>
      <w:r w:rsidRPr="00FA03CA">
        <w:rPr>
          <w:rFonts w:eastAsia="Arial"/>
          <w:b/>
          <w:bCs/>
        </w:rPr>
        <w:t xml:space="preserve">Table </w:t>
      </w:r>
      <w:r w:rsidR="00293305" w:rsidRPr="00FA03CA">
        <w:rPr>
          <w:rFonts w:eastAsia="Arial"/>
          <w:b/>
          <w:bCs/>
        </w:rPr>
        <w:t>A</w:t>
      </w:r>
      <w:r w:rsidR="00D17443" w:rsidRPr="00FA03CA">
        <w:rPr>
          <w:rFonts w:eastAsia="Arial"/>
          <w:b/>
          <w:bCs/>
        </w:rPr>
        <w:t>3</w:t>
      </w:r>
      <w:r w:rsidRPr="00FA03CA">
        <w:rPr>
          <w:rFonts w:eastAsia="Arial"/>
        </w:rPr>
        <w:t>.  Aquatic habitat types occupied by carp in Australia with rules developed for classifying</w:t>
      </w:r>
      <w:r w:rsidR="00313247" w:rsidRPr="00FA03CA">
        <w:rPr>
          <w:rFonts w:eastAsia="Arial"/>
        </w:rPr>
        <w:t xml:space="preserve"> </w:t>
      </w:r>
      <w:r w:rsidRPr="00FA03CA">
        <w:rPr>
          <w:rFonts w:eastAsia="Arial"/>
        </w:rPr>
        <w:t>each</w:t>
      </w:r>
      <w:r w:rsidR="008D31FC" w:rsidRPr="00FA03CA">
        <w:rPr>
          <w:rFonts w:eastAsia="Arial"/>
        </w:rPr>
        <w:t xml:space="preserve"> type</w:t>
      </w:r>
      <w:r w:rsidRPr="00FA03CA">
        <w:rPr>
          <w:rFonts w:eastAsia="Arial"/>
        </w:rPr>
        <w:t>.</w:t>
      </w:r>
    </w:p>
    <w:tbl>
      <w:tblPr>
        <w:tblStyle w:val="TableGrid"/>
        <w:tblW w:w="14029" w:type="dxa"/>
        <w:tblBorders>
          <w:left w:val="none" w:sz="0" w:space="0" w:color="auto"/>
          <w:right w:val="none" w:sz="0" w:space="0" w:color="auto"/>
          <w:insideV w:val="none" w:sz="0" w:space="0" w:color="auto"/>
        </w:tblBorders>
        <w:tblLook w:val="04A0" w:firstRow="1" w:lastRow="0" w:firstColumn="1" w:lastColumn="0" w:noHBand="0" w:noVBand="1"/>
      </w:tblPr>
      <w:tblGrid>
        <w:gridCol w:w="2093"/>
        <w:gridCol w:w="11936"/>
      </w:tblGrid>
      <w:tr w:rsidR="00C6407D" w:rsidRPr="00FA03CA" w14:paraId="494F82BF" w14:textId="77777777" w:rsidTr="009B39C5">
        <w:tc>
          <w:tcPr>
            <w:tcW w:w="2093" w:type="dxa"/>
          </w:tcPr>
          <w:p w14:paraId="2BDE82D3" w14:textId="77777777" w:rsidR="00C6407D" w:rsidRPr="00FA03CA" w:rsidRDefault="00C6407D" w:rsidP="00382397">
            <w:pPr>
              <w:spacing w:after="200" w:line="360" w:lineRule="auto"/>
              <w:rPr>
                <w:b/>
              </w:rPr>
            </w:pPr>
            <w:r w:rsidRPr="00FA03CA">
              <w:rPr>
                <w:b/>
              </w:rPr>
              <w:t>Carp-occupied aquatic habitat type</w:t>
            </w:r>
          </w:p>
        </w:tc>
        <w:tc>
          <w:tcPr>
            <w:tcW w:w="11936" w:type="dxa"/>
          </w:tcPr>
          <w:p w14:paraId="124DAF6C" w14:textId="77777777" w:rsidR="00C6407D" w:rsidRPr="00FA03CA" w:rsidRDefault="00C6407D" w:rsidP="004E66CB">
            <w:pPr>
              <w:spacing w:after="200" w:line="360" w:lineRule="auto"/>
              <w:jc w:val="both"/>
              <w:rPr>
                <w:b/>
              </w:rPr>
            </w:pPr>
            <w:r w:rsidRPr="00FA03CA">
              <w:rPr>
                <w:b/>
              </w:rPr>
              <w:t>Rules developed for aquatic habitat types</w:t>
            </w:r>
          </w:p>
        </w:tc>
      </w:tr>
      <w:tr w:rsidR="00C6407D" w:rsidRPr="00FA03CA" w14:paraId="15A2047E" w14:textId="77777777" w:rsidTr="009B39C5">
        <w:tc>
          <w:tcPr>
            <w:tcW w:w="2093" w:type="dxa"/>
          </w:tcPr>
          <w:p w14:paraId="0A57C24A" w14:textId="77777777" w:rsidR="00C6407D" w:rsidRPr="00FA03CA" w:rsidRDefault="00C6407D" w:rsidP="004E66CB">
            <w:pPr>
              <w:spacing w:after="200" w:line="360" w:lineRule="auto"/>
              <w:jc w:val="both"/>
            </w:pPr>
            <w:r w:rsidRPr="00FA03CA">
              <w:t>Perennial rivers</w:t>
            </w:r>
          </w:p>
        </w:tc>
        <w:tc>
          <w:tcPr>
            <w:tcW w:w="11936" w:type="dxa"/>
          </w:tcPr>
          <w:p w14:paraId="23913B70" w14:textId="45191E10" w:rsidR="00C6407D" w:rsidRPr="00FA03CA" w:rsidRDefault="00C6407D" w:rsidP="002F1C1F">
            <w:pPr>
              <w:pStyle w:val="BodyText"/>
              <w:spacing w:line="360" w:lineRule="auto"/>
              <w:jc w:val="both"/>
              <w:rPr>
                <w:rFonts w:ascii="Arial" w:eastAsia="Arial" w:hAnsi="Arial" w:cs="Arial"/>
                <w:color w:val="auto"/>
                <w:szCs w:val="24"/>
              </w:rPr>
            </w:pPr>
            <w:r w:rsidRPr="00FA03CA">
              <w:rPr>
                <w:rFonts w:ascii="Arial" w:eastAsia="Arial" w:hAnsi="Arial" w:cs="Arial"/>
                <w:color w:val="auto"/>
                <w:szCs w:val="24"/>
              </w:rPr>
              <w:t xml:space="preserve">For any river </w:t>
            </w:r>
            <w:r w:rsidR="000E216F" w:rsidRPr="00FA03CA">
              <w:rPr>
                <w:rFonts w:ascii="Arial" w:eastAsia="Arial" w:hAnsi="Arial" w:cs="Arial"/>
                <w:color w:val="auto"/>
                <w:szCs w:val="24"/>
              </w:rPr>
              <w:t>for</w:t>
            </w:r>
            <w:r w:rsidRPr="00FA03CA">
              <w:rPr>
                <w:rFonts w:ascii="Arial" w:eastAsia="Arial" w:hAnsi="Arial" w:cs="Arial"/>
                <w:color w:val="auto"/>
                <w:szCs w:val="24"/>
              </w:rPr>
              <w:t xml:space="preserve"> which width/area </w:t>
            </w:r>
            <w:r w:rsidR="00210821" w:rsidRPr="00FA03CA">
              <w:rPr>
                <w:rFonts w:ascii="Arial" w:eastAsia="Arial" w:hAnsi="Arial" w:cs="Arial"/>
                <w:color w:val="auto"/>
                <w:szCs w:val="24"/>
              </w:rPr>
              <w:t>was</w:t>
            </w:r>
            <w:r w:rsidRPr="00FA03CA">
              <w:rPr>
                <w:rFonts w:ascii="Arial" w:eastAsia="Arial" w:hAnsi="Arial" w:cs="Arial"/>
                <w:color w:val="auto"/>
                <w:szCs w:val="24"/>
              </w:rPr>
              <w:t xml:space="preserve"> mapped as surface hydrology polygons, the polygon area was used. For major rivers in Victoria with no surface hydrology polygons, river widths were predicted by using the wetted river width from LIDAR data used to map riverbeds.  For the remaining rivers (mainly in NSW), river widths were predicted by randomly sampling rivers from aerial maps across the whole river network combined with field measurements. Widths were then predicted based on models of </w:t>
            </w:r>
            <w:r w:rsidR="002F1C1F" w:rsidRPr="00FA03CA">
              <w:rPr>
                <w:rFonts w:ascii="Arial" w:eastAsia="Arial" w:hAnsi="Arial" w:cs="Arial"/>
                <w:color w:val="auto"/>
                <w:szCs w:val="24"/>
              </w:rPr>
              <w:t xml:space="preserve">catchment </w:t>
            </w:r>
            <w:r w:rsidRPr="00FA03CA">
              <w:rPr>
                <w:rFonts w:ascii="Arial" w:eastAsia="Arial" w:hAnsi="Arial" w:cs="Arial"/>
                <w:color w:val="auto"/>
                <w:szCs w:val="24"/>
              </w:rPr>
              <w:t xml:space="preserve">hydrological </w:t>
            </w:r>
            <w:r w:rsidR="002F1C1F" w:rsidRPr="00FA03CA">
              <w:rPr>
                <w:rFonts w:ascii="Arial" w:eastAsia="Arial" w:hAnsi="Arial" w:cs="Arial"/>
                <w:color w:val="auto"/>
                <w:szCs w:val="24"/>
              </w:rPr>
              <w:t>metrics</w:t>
            </w:r>
            <w:r w:rsidRPr="00FA03CA">
              <w:rPr>
                <w:rFonts w:ascii="Arial" w:eastAsia="Arial" w:hAnsi="Arial" w:cs="Arial"/>
                <w:color w:val="auto"/>
                <w:szCs w:val="24"/>
              </w:rPr>
              <w:t xml:space="preserve">. Rivers were designated as permanent or temporary using the Geofabric perennialism attribute. Ephemeral headwater streams that flow too infrequently to support carp populations (stream order &lt;5 with summer month flow rates &lt;100 ML/day) were removed to improve model performance. These thresholds were chosen </w:t>
            </w:r>
            <w:r w:rsidR="00DF098B" w:rsidRPr="00FA03CA">
              <w:rPr>
                <w:rFonts w:ascii="Arial" w:eastAsia="Arial" w:hAnsi="Arial" w:cs="Arial"/>
                <w:color w:val="auto"/>
                <w:szCs w:val="24"/>
              </w:rPr>
              <w:t>arbitrarily</w:t>
            </w:r>
            <w:r w:rsidRPr="00FA03CA">
              <w:rPr>
                <w:rFonts w:ascii="Arial" w:eastAsia="Arial" w:hAnsi="Arial" w:cs="Arial"/>
                <w:color w:val="auto"/>
                <w:szCs w:val="24"/>
              </w:rPr>
              <w:t xml:space="preserve"> and the resulting maps were checked by jurisdictional experts against catch data to ensure streams </w:t>
            </w:r>
            <w:r w:rsidR="00CB4DDE" w:rsidRPr="00FA03CA">
              <w:rPr>
                <w:rFonts w:ascii="Arial" w:eastAsia="Arial" w:hAnsi="Arial" w:cs="Arial"/>
                <w:color w:val="auto"/>
                <w:szCs w:val="24"/>
              </w:rPr>
              <w:t>with</w:t>
            </w:r>
            <w:r w:rsidRPr="00FA03CA">
              <w:rPr>
                <w:rFonts w:ascii="Arial" w:eastAsia="Arial" w:hAnsi="Arial" w:cs="Arial"/>
                <w:color w:val="auto"/>
                <w:szCs w:val="24"/>
              </w:rPr>
              <w:t xml:space="preserve"> carp were not removed prematurely.</w:t>
            </w:r>
          </w:p>
        </w:tc>
      </w:tr>
      <w:tr w:rsidR="00C6407D" w:rsidRPr="00FA03CA" w14:paraId="686F87F4" w14:textId="77777777" w:rsidTr="009B39C5">
        <w:tc>
          <w:tcPr>
            <w:tcW w:w="2093" w:type="dxa"/>
          </w:tcPr>
          <w:p w14:paraId="03931039" w14:textId="3D2C712A" w:rsidR="00C6407D" w:rsidRPr="00FA03CA" w:rsidRDefault="00C6407D" w:rsidP="004E66CB">
            <w:pPr>
              <w:spacing w:after="200" w:line="360" w:lineRule="auto"/>
              <w:jc w:val="both"/>
            </w:pPr>
            <w:r w:rsidRPr="00FA03CA">
              <w:t>Non-perennial rivers</w:t>
            </w:r>
            <w:r w:rsidR="00D7147B" w:rsidRPr="00FA03CA">
              <w:t xml:space="preserve"> and waterholes</w:t>
            </w:r>
          </w:p>
        </w:tc>
        <w:tc>
          <w:tcPr>
            <w:tcW w:w="11936" w:type="dxa"/>
          </w:tcPr>
          <w:p w14:paraId="3BE201E5" w14:textId="7C4F568F" w:rsidR="00C6407D" w:rsidRPr="00FA03CA" w:rsidRDefault="00C6407D" w:rsidP="004E66CB">
            <w:pPr>
              <w:spacing w:after="200" w:line="360" w:lineRule="auto"/>
              <w:jc w:val="both"/>
              <w:rPr>
                <w:szCs w:val="20"/>
              </w:rPr>
            </w:pPr>
            <w:r w:rsidRPr="00FA03CA">
              <w:rPr>
                <w:rFonts w:eastAsia="Arial"/>
              </w:rPr>
              <w:t>In the northern Murray–Darling Basin</w:t>
            </w:r>
            <w:r w:rsidR="0008599A" w:rsidRPr="00FA03CA">
              <w:rPr>
                <w:rFonts w:eastAsia="Arial"/>
              </w:rPr>
              <w:t>,</w:t>
            </w:r>
            <w:r w:rsidRPr="00FA03CA">
              <w:rPr>
                <w:rFonts w:eastAsia="Arial"/>
              </w:rPr>
              <w:t xml:space="preserve"> many rivers recede to pools in the dry season, which is the time when fish surveys and monitoring typically occur. For these intermittent and ephemeral rivers, the estimate of potential </w:t>
            </w:r>
            <w:r w:rsidR="0091212D" w:rsidRPr="00FA03CA">
              <w:rPr>
                <w:rFonts w:eastAsia="Arial"/>
              </w:rPr>
              <w:t>c</w:t>
            </w:r>
            <w:r w:rsidRPr="00FA03CA">
              <w:rPr>
                <w:rFonts w:eastAsia="Arial"/>
              </w:rPr>
              <w:t xml:space="preserve">arp habitat at the time of sampling was improved by using the summed area of mapped waterholes within each river segment, instead of the total channel area (width </w:t>
            </w:r>
            <w:r w:rsidRPr="00FA03CA">
              <w:rPr>
                <w:rFonts w:ascii="MS Gothic" w:eastAsia="MS Gothic" w:hAnsi="MS Gothic"/>
              </w:rPr>
              <w:sym w:font="Symbol" w:char="F0B4"/>
            </w:r>
            <w:r w:rsidRPr="00FA03CA">
              <w:rPr>
                <w:rFonts w:eastAsia="Arial"/>
              </w:rPr>
              <w:t xml:space="preserve"> length), which can overestimate habitat availability in these ephemeral arid-zone rivers. </w:t>
            </w:r>
            <w:r w:rsidRPr="00FA03CA">
              <w:rPr>
                <w:szCs w:val="20"/>
              </w:rPr>
              <w:t xml:space="preserve">Spatial data were lacking for the </w:t>
            </w:r>
            <w:r w:rsidR="0091212D" w:rsidRPr="00FA03CA">
              <w:rPr>
                <w:szCs w:val="20"/>
              </w:rPr>
              <w:t xml:space="preserve">isolated </w:t>
            </w:r>
            <w:r w:rsidRPr="00FA03CA">
              <w:rPr>
                <w:szCs w:val="20"/>
              </w:rPr>
              <w:t xml:space="preserve">Paroo and Warrego </w:t>
            </w:r>
            <w:r w:rsidR="0091212D" w:rsidRPr="00FA03CA">
              <w:rPr>
                <w:szCs w:val="20"/>
              </w:rPr>
              <w:t>r</w:t>
            </w:r>
            <w:r w:rsidRPr="00FA03CA">
              <w:rPr>
                <w:szCs w:val="20"/>
              </w:rPr>
              <w:t>iver regions, whose waterhole area was predicted</w:t>
            </w:r>
            <w:r w:rsidR="00210821" w:rsidRPr="00FA03CA">
              <w:rPr>
                <w:szCs w:val="20"/>
              </w:rPr>
              <w:t xml:space="preserve"> </w:t>
            </w:r>
            <w:r w:rsidR="00492319" w:rsidRPr="00FA03CA">
              <w:rPr>
                <w:szCs w:val="20"/>
              </w:rPr>
              <w:t>from local waterhole mapping</w:t>
            </w:r>
            <w:r w:rsidRPr="00FA03CA">
              <w:t>.</w:t>
            </w:r>
          </w:p>
        </w:tc>
      </w:tr>
      <w:tr w:rsidR="00C6407D" w:rsidRPr="00FA03CA" w14:paraId="7DECD38D" w14:textId="77777777" w:rsidTr="009B39C5">
        <w:tc>
          <w:tcPr>
            <w:tcW w:w="2093" w:type="dxa"/>
          </w:tcPr>
          <w:p w14:paraId="19BF8CB6" w14:textId="77777777" w:rsidR="00C6407D" w:rsidRPr="00FA03CA" w:rsidRDefault="00C6407D" w:rsidP="004E66CB">
            <w:pPr>
              <w:spacing w:after="200" w:line="360" w:lineRule="auto"/>
              <w:jc w:val="both"/>
            </w:pPr>
            <w:r w:rsidRPr="00FA03CA">
              <w:t>Estuaries</w:t>
            </w:r>
          </w:p>
        </w:tc>
        <w:tc>
          <w:tcPr>
            <w:tcW w:w="11936" w:type="dxa"/>
          </w:tcPr>
          <w:p w14:paraId="6485D943" w14:textId="3C63C185" w:rsidR="00C6407D" w:rsidRPr="00FA03CA" w:rsidRDefault="00C6407D" w:rsidP="004E66CB">
            <w:pPr>
              <w:spacing w:after="200" w:line="360" w:lineRule="auto"/>
              <w:jc w:val="both"/>
            </w:pPr>
            <w:r w:rsidRPr="00FA03CA">
              <w:rPr>
                <w:rFonts w:eastAsia="Arial"/>
              </w:rPr>
              <w:t>Estuar</w:t>
            </w:r>
            <w:r w:rsidR="00C40120" w:rsidRPr="00FA03CA">
              <w:rPr>
                <w:rFonts w:eastAsia="Arial"/>
              </w:rPr>
              <w:t xml:space="preserve">ine </w:t>
            </w:r>
            <w:r w:rsidRPr="00FA03CA">
              <w:rPr>
                <w:rFonts w:eastAsia="Arial"/>
              </w:rPr>
              <w:t xml:space="preserve">surface area was available from ANAE </w:t>
            </w:r>
            <w:r w:rsidR="00126DFB" w:rsidRPr="00FA03CA">
              <w:rPr>
                <w:rFonts w:eastAsia="Arial"/>
              </w:rPr>
              <w:t xml:space="preserve"> and Geofabric waterbody </w:t>
            </w:r>
            <w:r w:rsidRPr="00FA03CA">
              <w:rPr>
                <w:rFonts w:eastAsia="Arial"/>
              </w:rPr>
              <w:t>mapping.</w:t>
            </w:r>
          </w:p>
        </w:tc>
      </w:tr>
      <w:tr w:rsidR="00C6407D" w:rsidRPr="00FA03CA" w14:paraId="0E56D09E" w14:textId="77777777" w:rsidTr="009B39C5">
        <w:tc>
          <w:tcPr>
            <w:tcW w:w="2093" w:type="dxa"/>
          </w:tcPr>
          <w:p w14:paraId="017CBDDD" w14:textId="77777777" w:rsidR="00C6407D" w:rsidRPr="00FA03CA" w:rsidRDefault="00C6407D" w:rsidP="004E66CB">
            <w:pPr>
              <w:spacing w:after="200" w:line="360" w:lineRule="auto"/>
              <w:jc w:val="both"/>
            </w:pPr>
            <w:r w:rsidRPr="00FA03CA">
              <w:t>Wetlands</w:t>
            </w:r>
          </w:p>
        </w:tc>
        <w:tc>
          <w:tcPr>
            <w:tcW w:w="11936" w:type="dxa"/>
          </w:tcPr>
          <w:p w14:paraId="298C81A8" w14:textId="78B36570" w:rsidR="00C6407D" w:rsidRPr="00FA03CA" w:rsidRDefault="00C6407D" w:rsidP="00126DFB">
            <w:pPr>
              <w:spacing w:before="120" w:line="360" w:lineRule="auto"/>
              <w:jc w:val="both"/>
              <w:rPr>
                <w:rFonts w:eastAsia="Arial"/>
              </w:rPr>
            </w:pPr>
            <w:r w:rsidRPr="00FA03CA">
              <w:rPr>
                <w:rFonts w:eastAsia="Arial"/>
              </w:rPr>
              <w:t xml:space="preserve">Wetlands were assigned to permanent and temporary categories using the relevant hydrological regime attributes from state classifications and </w:t>
            </w:r>
            <w:r w:rsidR="00126DFB" w:rsidRPr="00FA03CA">
              <w:rPr>
                <w:rFonts w:eastAsia="Arial"/>
              </w:rPr>
              <w:t xml:space="preserve">the </w:t>
            </w:r>
            <w:r w:rsidRPr="00FA03CA">
              <w:rPr>
                <w:rFonts w:eastAsia="Arial"/>
              </w:rPr>
              <w:t xml:space="preserve">ANAE </w:t>
            </w:r>
            <w:r w:rsidR="00126DFB" w:rsidRPr="00FA03CA">
              <w:rPr>
                <w:rFonts w:eastAsia="Arial"/>
              </w:rPr>
              <w:t>water regime attribute</w:t>
            </w:r>
            <w:r w:rsidRPr="00FA03CA">
              <w:rPr>
                <w:rFonts w:eastAsia="Arial"/>
              </w:rPr>
              <w:t xml:space="preserve">. Habitat area was calculated </w:t>
            </w:r>
            <w:r w:rsidR="00126DFB" w:rsidRPr="00FA03CA">
              <w:rPr>
                <w:rFonts w:eastAsia="Arial"/>
              </w:rPr>
              <w:t xml:space="preserve">in </w:t>
            </w:r>
            <w:r w:rsidRPr="00FA03CA">
              <w:rPr>
                <w:rFonts w:eastAsia="Arial"/>
              </w:rPr>
              <w:t xml:space="preserve">GIS from the mapped extent.  </w:t>
            </w:r>
            <w:r w:rsidR="00126DFB" w:rsidRPr="00FA03CA">
              <w:rPr>
                <w:rFonts w:eastAsia="Arial"/>
              </w:rPr>
              <w:t>W</w:t>
            </w:r>
            <w:r w:rsidRPr="00FA03CA">
              <w:rPr>
                <w:rFonts w:eastAsia="Arial"/>
              </w:rPr>
              <w:t xml:space="preserve">etland ecosystems </w:t>
            </w:r>
            <w:r w:rsidR="003B6096" w:rsidRPr="00FA03CA">
              <w:rPr>
                <w:rFonts w:eastAsia="Arial"/>
              </w:rPr>
              <w:t>that regularly dry out</w:t>
            </w:r>
            <w:r w:rsidR="00126DFB" w:rsidRPr="00FA03CA">
              <w:rPr>
                <w:rFonts w:eastAsia="Arial"/>
              </w:rPr>
              <w:t xml:space="preserve"> and that were unlikely to support carp populations were excluded including</w:t>
            </w:r>
            <w:r w:rsidR="003B6096" w:rsidRPr="00FA03CA">
              <w:rPr>
                <w:rFonts w:eastAsia="Arial"/>
              </w:rPr>
              <w:t xml:space="preserve">: </w:t>
            </w:r>
            <w:r w:rsidRPr="00FA03CA">
              <w:rPr>
                <w:rFonts w:eastAsia="Arial"/>
              </w:rPr>
              <w:t xml:space="preserve">salt lakes, clay pans, </w:t>
            </w:r>
            <w:r w:rsidR="00126DFB" w:rsidRPr="00FA03CA">
              <w:rPr>
                <w:rFonts w:eastAsia="Arial"/>
              </w:rPr>
              <w:t xml:space="preserve">ephemeral </w:t>
            </w:r>
            <w:r w:rsidRPr="00FA03CA">
              <w:rPr>
                <w:rFonts w:eastAsia="Arial"/>
              </w:rPr>
              <w:t xml:space="preserve">freshwater meadows, temporary marshes, peat bogs and springs. </w:t>
            </w:r>
          </w:p>
        </w:tc>
      </w:tr>
      <w:tr w:rsidR="00C6407D" w:rsidRPr="00FA03CA" w14:paraId="144EE110" w14:textId="77777777" w:rsidTr="009B39C5">
        <w:tc>
          <w:tcPr>
            <w:tcW w:w="2093" w:type="dxa"/>
          </w:tcPr>
          <w:p w14:paraId="338E006C" w14:textId="77777777" w:rsidR="00C6407D" w:rsidRPr="00FA03CA" w:rsidRDefault="00C6407D" w:rsidP="004E66CB">
            <w:pPr>
              <w:spacing w:after="200" w:line="360" w:lineRule="auto"/>
              <w:jc w:val="both"/>
            </w:pPr>
            <w:r w:rsidRPr="00FA03CA">
              <w:t>Lakes</w:t>
            </w:r>
          </w:p>
        </w:tc>
        <w:tc>
          <w:tcPr>
            <w:tcW w:w="11936" w:type="dxa"/>
          </w:tcPr>
          <w:p w14:paraId="69B30836" w14:textId="3277599A" w:rsidR="00C6407D" w:rsidRPr="00FA03CA" w:rsidRDefault="00C6407D" w:rsidP="00126DFB">
            <w:pPr>
              <w:spacing w:before="120" w:line="360" w:lineRule="auto"/>
              <w:jc w:val="both"/>
              <w:rPr>
                <w:rFonts w:eastAsia="Arial"/>
              </w:rPr>
            </w:pPr>
            <w:r w:rsidRPr="00FA03CA">
              <w:rPr>
                <w:rFonts w:eastAsia="Arial"/>
              </w:rPr>
              <w:t xml:space="preserve">Lakes are open-water systems characterised by deep, standing or slow-moving water with little or no emergent vegetation. Temporary lakes that </w:t>
            </w:r>
            <w:r w:rsidR="00210821" w:rsidRPr="00FA03CA">
              <w:rPr>
                <w:rFonts w:eastAsia="Arial"/>
              </w:rPr>
              <w:t xml:space="preserve">periodically </w:t>
            </w:r>
            <w:r w:rsidRPr="00FA03CA">
              <w:rPr>
                <w:rFonts w:eastAsia="Arial"/>
              </w:rPr>
              <w:t xml:space="preserve">dry out </w:t>
            </w:r>
            <w:r w:rsidR="00210821" w:rsidRPr="00FA03CA">
              <w:rPr>
                <w:rFonts w:eastAsia="Arial"/>
              </w:rPr>
              <w:t>we</w:t>
            </w:r>
            <w:r w:rsidRPr="00FA03CA">
              <w:rPr>
                <w:rFonts w:eastAsia="Arial"/>
              </w:rPr>
              <w:t xml:space="preserve">re included.  </w:t>
            </w:r>
            <w:r w:rsidR="00126DFB" w:rsidRPr="00FA03CA">
              <w:rPr>
                <w:rFonts w:eastAsia="Arial"/>
              </w:rPr>
              <w:t>Temporary lakes were included only if they were within 250 m of a waterway or floodplain. Large temporary lakes &gt;10 ha were removed if the WOfS (Geoscience Australia) data set showed water was not detected at any location in at least 40% of Landsat views since 1987.  Lake area was divided into offshore and littoral zones using WOfS to define deep offshore habitat as the area that recorded water at least 80% of the time.</w:t>
            </w:r>
          </w:p>
        </w:tc>
      </w:tr>
      <w:tr w:rsidR="00C6407D" w:rsidRPr="00FA03CA" w14:paraId="52EEE469" w14:textId="77777777" w:rsidTr="009B39C5">
        <w:tc>
          <w:tcPr>
            <w:tcW w:w="2093" w:type="dxa"/>
          </w:tcPr>
          <w:p w14:paraId="311CF216" w14:textId="77777777" w:rsidR="00C6407D" w:rsidRPr="00FA03CA" w:rsidRDefault="00C6407D" w:rsidP="004E66CB">
            <w:pPr>
              <w:spacing w:after="200" w:line="360" w:lineRule="auto"/>
              <w:jc w:val="both"/>
            </w:pPr>
            <w:r w:rsidRPr="00FA03CA">
              <w:t>Storages</w:t>
            </w:r>
          </w:p>
        </w:tc>
        <w:tc>
          <w:tcPr>
            <w:tcW w:w="11936" w:type="dxa"/>
          </w:tcPr>
          <w:p w14:paraId="3E801693" w14:textId="26EB1CEA" w:rsidR="00C6407D" w:rsidRPr="00FA03CA" w:rsidRDefault="00C6407D" w:rsidP="004E66CB">
            <w:pPr>
              <w:spacing w:before="120" w:line="360" w:lineRule="auto"/>
              <w:jc w:val="both"/>
              <w:rPr>
                <w:rFonts w:eastAsia="Arial"/>
              </w:rPr>
            </w:pPr>
            <w:r w:rsidRPr="00FA03CA">
              <w:rPr>
                <w:rFonts w:eastAsia="Arial"/>
              </w:rPr>
              <w:t>Storages are artificially constructed reservoirs, town water storages</w:t>
            </w:r>
            <w:r w:rsidR="00B20A3C" w:rsidRPr="00FA03CA">
              <w:rPr>
                <w:rFonts w:eastAsia="Arial"/>
              </w:rPr>
              <w:t>, impoundments</w:t>
            </w:r>
            <w:r w:rsidRPr="00FA03CA">
              <w:rPr>
                <w:rFonts w:eastAsia="Arial"/>
              </w:rPr>
              <w:t xml:space="preserve"> and large irrigation storages. They are similar to lakes with highly regulated hydrological regimes. </w:t>
            </w:r>
            <w:r w:rsidR="00A632D2" w:rsidRPr="00FA03CA">
              <w:rPr>
                <w:rFonts w:eastAsia="Arial"/>
              </w:rPr>
              <w:t>S</w:t>
            </w:r>
            <w:r w:rsidRPr="00FA03CA">
              <w:rPr>
                <w:rFonts w:eastAsia="Arial"/>
              </w:rPr>
              <w:t xml:space="preserve">torages were included as permanent waterbodies, unless data or jurisdiction experts nominated them as not supporting carp. </w:t>
            </w:r>
            <w:r w:rsidR="00A632D2" w:rsidRPr="00FA03CA">
              <w:rPr>
                <w:rFonts w:eastAsia="Arial"/>
              </w:rPr>
              <w:t>D</w:t>
            </w:r>
            <w:r w:rsidRPr="00FA03CA">
              <w:rPr>
                <w:rFonts w:eastAsia="Arial"/>
              </w:rPr>
              <w:t xml:space="preserve">eep-water zones </w:t>
            </w:r>
            <w:r w:rsidR="00A632D2" w:rsidRPr="00FA03CA">
              <w:rPr>
                <w:rFonts w:eastAsia="Arial"/>
              </w:rPr>
              <w:t xml:space="preserve">were classified </w:t>
            </w:r>
            <w:r w:rsidRPr="00FA03CA">
              <w:rPr>
                <w:rFonts w:eastAsia="Arial"/>
              </w:rPr>
              <w:t>as the area containing water in &gt;80% of satellite views since 1987 (W</w:t>
            </w:r>
            <w:r w:rsidR="00640AC8">
              <w:rPr>
                <w:rFonts w:eastAsia="Arial"/>
              </w:rPr>
              <w:t>Of</w:t>
            </w:r>
            <w:r w:rsidRPr="00FA03CA">
              <w:rPr>
                <w:rFonts w:eastAsia="Arial"/>
              </w:rPr>
              <w:t xml:space="preserve">S), including areas that retained water in the </w:t>
            </w:r>
            <w:r w:rsidR="00A632D2" w:rsidRPr="00FA03CA">
              <w:rPr>
                <w:rFonts w:eastAsia="Arial"/>
              </w:rPr>
              <w:t>M</w:t>
            </w:r>
            <w:r w:rsidRPr="00FA03CA">
              <w:rPr>
                <w:rFonts w:eastAsia="Arial"/>
              </w:rPr>
              <w:t>illennium drought</w:t>
            </w:r>
            <w:r w:rsidR="00A632D2" w:rsidRPr="00FA03CA">
              <w:rPr>
                <w:rFonts w:eastAsia="Arial"/>
              </w:rPr>
              <w:t xml:space="preserve"> (i.e. 1996-2010)</w:t>
            </w:r>
            <w:r w:rsidRPr="00FA03CA">
              <w:rPr>
                <w:rFonts w:eastAsia="Arial"/>
              </w:rPr>
              <w:t>. The area of the littoral zone was calculated by subtracting the area of the deep-water zone from the mapped storage area.</w:t>
            </w:r>
          </w:p>
        </w:tc>
      </w:tr>
      <w:tr w:rsidR="00C6407D" w:rsidRPr="00FA03CA" w14:paraId="5EEBA5CD" w14:textId="77777777" w:rsidTr="009B39C5">
        <w:tc>
          <w:tcPr>
            <w:tcW w:w="2093" w:type="dxa"/>
          </w:tcPr>
          <w:p w14:paraId="31BD7646" w14:textId="77777777" w:rsidR="00C6407D" w:rsidRPr="00FA03CA" w:rsidRDefault="00C6407D" w:rsidP="004E66CB">
            <w:pPr>
              <w:spacing w:after="200" w:line="360" w:lineRule="auto"/>
              <w:jc w:val="both"/>
            </w:pPr>
            <w:r w:rsidRPr="00FA03CA">
              <w:t>Irrigation channels</w:t>
            </w:r>
          </w:p>
        </w:tc>
        <w:tc>
          <w:tcPr>
            <w:tcW w:w="11936" w:type="dxa"/>
          </w:tcPr>
          <w:p w14:paraId="4C6F2502" w14:textId="6EF8C49F" w:rsidR="00C6407D" w:rsidRPr="00FA03CA" w:rsidRDefault="00C6407D" w:rsidP="004E66CB">
            <w:pPr>
              <w:spacing w:before="120" w:line="360" w:lineRule="auto"/>
              <w:jc w:val="both"/>
              <w:rPr>
                <w:rFonts w:eastAsia="Arial"/>
              </w:rPr>
            </w:pPr>
            <w:r w:rsidRPr="00FA03CA">
              <w:rPr>
                <w:rFonts w:eastAsia="Arial"/>
              </w:rPr>
              <w:t>For irrigation channel</w:t>
            </w:r>
            <w:r w:rsidR="00D7147B" w:rsidRPr="00FA03CA">
              <w:rPr>
                <w:rFonts w:eastAsia="Arial"/>
              </w:rPr>
              <w:t xml:space="preserve"> networks</w:t>
            </w:r>
            <w:r w:rsidR="00CB4DDE" w:rsidRPr="00FA03CA">
              <w:rPr>
                <w:rFonts w:eastAsia="Arial"/>
              </w:rPr>
              <w:t>,</w:t>
            </w:r>
            <w:r w:rsidR="00D7147B" w:rsidRPr="00FA03CA">
              <w:rPr>
                <w:rFonts w:eastAsia="Arial"/>
              </w:rPr>
              <w:t xml:space="preserve"> </w:t>
            </w:r>
            <w:r w:rsidRPr="00FA03CA">
              <w:rPr>
                <w:rFonts w:eastAsia="Arial"/>
              </w:rPr>
              <w:t>GIS layers were built where data were available</w:t>
            </w:r>
            <w:r w:rsidR="00D7147B" w:rsidRPr="00FA03CA">
              <w:rPr>
                <w:rFonts w:eastAsia="Arial"/>
              </w:rPr>
              <w:t>,</w:t>
            </w:r>
            <w:r w:rsidRPr="00FA03CA">
              <w:rPr>
                <w:rFonts w:eastAsia="Arial"/>
              </w:rPr>
              <w:t xml:space="preserve"> focus</w:t>
            </w:r>
            <w:r w:rsidR="00D7147B" w:rsidRPr="00FA03CA">
              <w:rPr>
                <w:rFonts w:eastAsia="Arial"/>
              </w:rPr>
              <w:t>ing</w:t>
            </w:r>
            <w:r w:rsidRPr="00FA03CA">
              <w:rPr>
                <w:rFonts w:eastAsia="Arial"/>
              </w:rPr>
              <w:t xml:space="preserve"> on larger supply channels that typically held permanent water to sustain carp populations</w:t>
            </w:r>
            <w:r w:rsidR="00D7147B" w:rsidRPr="00FA03CA">
              <w:rPr>
                <w:rFonts w:eastAsia="Arial"/>
              </w:rPr>
              <w:t>.  I</w:t>
            </w:r>
            <w:r w:rsidRPr="00FA03CA">
              <w:rPr>
                <w:rFonts w:eastAsia="Arial"/>
              </w:rPr>
              <w:t xml:space="preserve">rrigation channel area was estimated using aerial imagery from Google Earth to measure the wetted width of channels at 1233 randomly selected spot locations spread over 28 irrigation districts.  </w:t>
            </w:r>
            <w:r w:rsidR="00D7147B" w:rsidRPr="00FA03CA">
              <w:rPr>
                <w:rFonts w:eastAsia="Arial"/>
              </w:rPr>
              <w:t>Then</w:t>
            </w:r>
            <w:r w:rsidRPr="00FA03CA">
              <w:rPr>
                <w:rFonts w:eastAsia="Arial"/>
              </w:rPr>
              <w:t xml:space="preserve"> mixture modelling was applied to estimate probability of having water and if water was present, the estimated channel width</w:t>
            </w:r>
            <w:r w:rsidR="00D7147B" w:rsidRPr="00FA03CA">
              <w:rPr>
                <w:rFonts w:eastAsia="Arial"/>
              </w:rPr>
              <w:t xml:space="preserve">.  </w:t>
            </w:r>
            <w:r w:rsidR="00CB4DDE" w:rsidRPr="00FA03CA">
              <w:rPr>
                <w:rFonts w:eastAsia="Arial"/>
              </w:rPr>
              <w:t>T</w:t>
            </w:r>
            <w:r w:rsidRPr="00FA03CA">
              <w:rPr>
                <w:rFonts w:eastAsia="Arial"/>
              </w:rPr>
              <w:t>here were few jurisdictional carp electrofishing survey data (i.e. CPUE) so total channel area was multiplied by three density levels (low</w:t>
            </w:r>
            <w:r w:rsidR="00CB4DDE" w:rsidRPr="00FA03CA">
              <w:rPr>
                <w:rFonts w:eastAsia="Arial"/>
              </w:rPr>
              <w:t>=</w:t>
            </w:r>
            <w:r w:rsidRPr="00FA03CA">
              <w:rPr>
                <w:rFonts w:eastAsia="Arial"/>
              </w:rPr>
              <w:t>50 kg/ha, medium=150 kg/ha, and high=300 kg/ha).  No attempt was made at quantifying uncertainty in estimates.</w:t>
            </w:r>
          </w:p>
        </w:tc>
      </w:tr>
      <w:tr w:rsidR="00D7147B" w:rsidRPr="00FA03CA" w14:paraId="69A4D6FD" w14:textId="77777777" w:rsidTr="009B39C5">
        <w:tc>
          <w:tcPr>
            <w:tcW w:w="2093" w:type="dxa"/>
          </w:tcPr>
          <w:p w14:paraId="15FD73F1" w14:textId="754A11F2" w:rsidR="00D7147B" w:rsidRPr="00FA03CA" w:rsidRDefault="00D7147B" w:rsidP="00D7147B">
            <w:pPr>
              <w:spacing w:after="200" w:line="360" w:lineRule="auto"/>
              <w:jc w:val="both"/>
            </w:pPr>
            <w:r w:rsidRPr="00FA03CA">
              <w:t>Western Australia</w:t>
            </w:r>
          </w:p>
        </w:tc>
        <w:tc>
          <w:tcPr>
            <w:tcW w:w="11936" w:type="dxa"/>
          </w:tcPr>
          <w:p w14:paraId="37559794" w14:textId="6D08C375" w:rsidR="00D7147B" w:rsidRPr="00FA03CA" w:rsidRDefault="00D7147B" w:rsidP="00D7147B">
            <w:pPr>
              <w:spacing w:before="120" w:line="360" w:lineRule="auto"/>
              <w:jc w:val="both"/>
              <w:rPr>
                <w:rFonts w:eastAsia="Arial"/>
              </w:rPr>
            </w:pPr>
            <w:r w:rsidRPr="00FA03CA">
              <w:rPr>
                <w:rFonts w:eastAsia="Cambria"/>
                <w:szCs w:val="20"/>
                <w:lang w:val="en-US"/>
              </w:rPr>
              <w:t>For Western Australia, river width was predicted from the eastern Australian river width model to calculate total aquatic habitat area with no separation of habitats.  As for irrigation channels, there were few CPUE data and hence the coarse three density estimate was applied with no quantification of uncertainty.</w:t>
            </w:r>
          </w:p>
        </w:tc>
      </w:tr>
      <w:tr w:rsidR="00D7147B" w:rsidRPr="00FA03CA" w14:paraId="05EAB627" w14:textId="77777777" w:rsidTr="009B39C5">
        <w:tc>
          <w:tcPr>
            <w:tcW w:w="2093" w:type="dxa"/>
          </w:tcPr>
          <w:p w14:paraId="64684A06" w14:textId="3D33BE07" w:rsidR="00D7147B" w:rsidRPr="00FA03CA" w:rsidRDefault="00D7147B" w:rsidP="00D7147B">
            <w:pPr>
              <w:spacing w:after="200" w:line="360" w:lineRule="auto"/>
              <w:jc w:val="both"/>
            </w:pPr>
            <w:r w:rsidRPr="00FA03CA">
              <w:t>Farm dams</w:t>
            </w:r>
          </w:p>
        </w:tc>
        <w:tc>
          <w:tcPr>
            <w:tcW w:w="11936" w:type="dxa"/>
          </w:tcPr>
          <w:p w14:paraId="0FECAE63" w14:textId="080DFF6F" w:rsidR="00D7147B" w:rsidRPr="00FA03CA" w:rsidRDefault="00D7147B" w:rsidP="00D7147B">
            <w:pPr>
              <w:spacing w:before="120" w:line="360" w:lineRule="auto"/>
              <w:jc w:val="both"/>
              <w:rPr>
                <w:rFonts w:eastAsia="Cambria"/>
                <w:szCs w:val="20"/>
                <w:lang w:val="en-US"/>
              </w:rPr>
            </w:pPr>
            <w:r w:rsidRPr="00FA03CA">
              <w:rPr>
                <w:rFonts w:eastAsia="Arial"/>
              </w:rPr>
              <w:t>Small farm dams (&lt;4 ha) typically used for watering stock were excluded from the biomass model due to lack of fish survey data and hydrological information to determine those which might support carp</w:t>
            </w:r>
            <w:r w:rsidRPr="00FA03CA">
              <w:t>.</w:t>
            </w:r>
          </w:p>
        </w:tc>
      </w:tr>
    </w:tbl>
    <w:p w14:paraId="48B2B5B6" w14:textId="77777777" w:rsidR="00C6407D" w:rsidRPr="00FA03CA" w:rsidRDefault="00C6407D" w:rsidP="00C6407D">
      <w:pPr>
        <w:spacing w:before="120" w:line="360" w:lineRule="auto"/>
        <w:jc w:val="both"/>
        <w:rPr>
          <w:rFonts w:eastAsia="Arial"/>
        </w:rPr>
        <w:sectPr w:rsidR="00C6407D" w:rsidRPr="00FA03CA" w:rsidSect="00FA03CA">
          <w:pgSz w:w="16838" w:h="11906" w:orient="landscape"/>
          <w:pgMar w:top="1440" w:right="1440" w:bottom="1440" w:left="1440" w:header="708" w:footer="708" w:gutter="0"/>
          <w:cols w:space="708"/>
          <w:docGrid w:linePitch="360"/>
        </w:sectPr>
      </w:pPr>
    </w:p>
    <w:p w14:paraId="1D28D9B4" w14:textId="50625163" w:rsidR="00630CB3" w:rsidRPr="00FA03CA" w:rsidRDefault="00630CB3" w:rsidP="00630CB3">
      <w:pPr>
        <w:pStyle w:val="Heading5"/>
        <w:rPr>
          <w:rFonts w:eastAsia="Arial"/>
          <w:b w:val="0"/>
          <w:i w:val="0"/>
          <w:iCs w:val="0"/>
          <w:sz w:val="20"/>
          <w:szCs w:val="24"/>
        </w:rPr>
      </w:pPr>
      <w:bookmarkStart w:id="2" w:name="_Hlk14794529"/>
      <w:r w:rsidRPr="00FA03CA">
        <w:rPr>
          <w:rFonts w:eastAsia="Arial"/>
          <w:i w:val="0"/>
          <w:iCs w:val="0"/>
          <w:sz w:val="20"/>
          <w:szCs w:val="24"/>
        </w:rPr>
        <w:t>Table A4</w:t>
      </w:r>
      <w:r w:rsidR="00555492" w:rsidRPr="00FA03CA">
        <w:rPr>
          <w:rFonts w:eastAsia="Arial"/>
          <w:i w:val="0"/>
          <w:iCs w:val="0"/>
          <w:sz w:val="20"/>
          <w:szCs w:val="24"/>
        </w:rPr>
        <w:t>.</w:t>
      </w:r>
      <w:r w:rsidRPr="00FA03CA">
        <w:rPr>
          <w:rFonts w:eastAsia="Arial"/>
          <w:i w:val="0"/>
          <w:iCs w:val="0"/>
          <w:sz w:val="20"/>
          <w:szCs w:val="24"/>
        </w:rPr>
        <w:t xml:space="preserve"> </w:t>
      </w:r>
      <w:r w:rsidRPr="00FA03CA">
        <w:rPr>
          <w:rFonts w:eastAsia="Arial"/>
          <w:b w:val="0"/>
          <w:bCs w:val="0"/>
          <w:i w:val="0"/>
          <w:iCs w:val="0"/>
          <w:sz w:val="20"/>
          <w:szCs w:val="24"/>
        </w:rPr>
        <w:t>Environmental attributes considered for river models.</w:t>
      </w:r>
    </w:p>
    <w:tbl>
      <w:tblPr>
        <w:tblW w:w="11103" w:type="dxa"/>
        <w:jc w:val="center"/>
        <w:tblLayout w:type="fixed"/>
        <w:tblLook w:val="04A0" w:firstRow="1" w:lastRow="0" w:firstColumn="1" w:lastColumn="0" w:noHBand="0" w:noVBand="1"/>
      </w:tblPr>
      <w:tblGrid>
        <w:gridCol w:w="929"/>
        <w:gridCol w:w="1528"/>
        <w:gridCol w:w="1642"/>
        <w:gridCol w:w="6298"/>
        <w:gridCol w:w="706"/>
      </w:tblGrid>
      <w:tr w:rsidR="00630CB3" w:rsidRPr="00FA03CA" w14:paraId="42BAE0C3" w14:textId="77777777" w:rsidTr="00676A0A">
        <w:trPr>
          <w:cantSplit/>
          <w:trHeight w:val="436"/>
          <w:tblHeader/>
          <w:jc w:val="center"/>
        </w:trPr>
        <w:tc>
          <w:tcPr>
            <w:tcW w:w="929" w:type="dxa"/>
            <w:tcBorders>
              <w:top w:val="single" w:sz="8" w:space="0" w:color="000000"/>
              <w:bottom w:val="single" w:sz="8" w:space="0" w:color="000000"/>
            </w:tcBorders>
            <w:tcMar>
              <w:top w:w="0" w:type="dxa"/>
              <w:left w:w="0" w:type="dxa"/>
              <w:bottom w:w="0" w:type="dxa"/>
              <w:right w:w="0" w:type="dxa"/>
            </w:tcMar>
            <w:vAlign w:val="center"/>
          </w:tcPr>
          <w:p w14:paraId="433493B3" w14:textId="77777777" w:rsidR="00630CB3" w:rsidRPr="00FA03CA" w:rsidRDefault="00630CB3" w:rsidP="004C78AE">
            <w:pPr>
              <w:spacing w:before="40" w:after="40"/>
              <w:ind w:left="23" w:right="40" w:firstLine="17"/>
              <w:rPr>
                <w:b/>
                <w:szCs w:val="20"/>
              </w:rPr>
            </w:pPr>
            <w:r w:rsidRPr="00FA03CA">
              <w:rPr>
                <w:b/>
                <w:szCs w:val="20"/>
              </w:rPr>
              <w:t>Type</w:t>
            </w:r>
          </w:p>
        </w:tc>
        <w:tc>
          <w:tcPr>
            <w:tcW w:w="1528" w:type="dxa"/>
            <w:tcBorders>
              <w:top w:val="single" w:sz="8" w:space="0" w:color="000000"/>
              <w:bottom w:val="single" w:sz="8" w:space="0" w:color="000000"/>
            </w:tcBorders>
          </w:tcPr>
          <w:p w14:paraId="7AAB76FA" w14:textId="77777777" w:rsidR="00630CB3" w:rsidRPr="00FA03CA" w:rsidRDefault="00630CB3" w:rsidP="004C78AE">
            <w:pPr>
              <w:spacing w:before="40" w:after="40"/>
              <w:ind w:left="23" w:right="40" w:firstLine="17"/>
              <w:rPr>
                <w:b/>
                <w:szCs w:val="20"/>
              </w:rPr>
            </w:pPr>
          </w:p>
        </w:tc>
        <w:tc>
          <w:tcPr>
            <w:tcW w:w="1642" w:type="dxa"/>
            <w:tcBorders>
              <w:top w:val="single" w:sz="8" w:space="0" w:color="000000"/>
              <w:bottom w:val="single" w:sz="8" w:space="0" w:color="000000"/>
            </w:tcBorders>
            <w:tcMar>
              <w:top w:w="0" w:type="dxa"/>
              <w:left w:w="0" w:type="dxa"/>
              <w:bottom w:w="0" w:type="dxa"/>
              <w:right w:w="0" w:type="dxa"/>
            </w:tcMar>
            <w:vAlign w:val="center"/>
          </w:tcPr>
          <w:p w14:paraId="5313148A" w14:textId="25A9B5AD" w:rsidR="00630CB3" w:rsidRPr="00FA03CA" w:rsidRDefault="00630CB3" w:rsidP="004C78AE">
            <w:pPr>
              <w:spacing w:before="40" w:after="40"/>
              <w:ind w:left="23" w:right="40" w:firstLine="17"/>
              <w:rPr>
                <w:b/>
                <w:szCs w:val="20"/>
              </w:rPr>
            </w:pPr>
            <w:r w:rsidRPr="00FA03CA">
              <w:rPr>
                <w:b/>
                <w:szCs w:val="20"/>
              </w:rPr>
              <w:t>Variable</w:t>
            </w:r>
          </w:p>
        </w:tc>
        <w:tc>
          <w:tcPr>
            <w:tcW w:w="6298" w:type="dxa"/>
            <w:tcBorders>
              <w:top w:val="single" w:sz="8" w:space="0" w:color="000000"/>
              <w:bottom w:val="single" w:sz="8" w:space="0" w:color="000000"/>
            </w:tcBorders>
            <w:tcMar>
              <w:top w:w="0" w:type="dxa"/>
              <w:left w:w="0" w:type="dxa"/>
              <w:bottom w:w="0" w:type="dxa"/>
              <w:right w:w="0" w:type="dxa"/>
            </w:tcMar>
            <w:vAlign w:val="center"/>
          </w:tcPr>
          <w:p w14:paraId="1E07DC29" w14:textId="77777777" w:rsidR="00630CB3" w:rsidRPr="00FA03CA" w:rsidRDefault="00630CB3" w:rsidP="004C78AE">
            <w:pPr>
              <w:spacing w:before="40" w:after="40"/>
              <w:ind w:left="23" w:right="40" w:firstLine="17"/>
              <w:rPr>
                <w:b/>
                <w:szCs w:val="20"/>
              </w:rPr>
            </w:pPr>
            <w:r w:rsidRPr="00FA03CA">
              <w:rPr>
                <w:b/>
                <w:szCs w:val="20"/>
              </w:rPr>
              <w:t>Description</w:t>
            </w:r>
          </w:p>
        </w:tc>
        <w:tc>
          <w:tcPr>
            <w:tcW w:w="706" w:type="dxa"/>
            <w:tcBorders>
              <w:top w:val="single" w:sz="8" w:space="0" w:color="000000"/>
              <w:bottom w:val="single" w:sz="8" w:space="0" w:color="000000"/>
            </w:tcBorders>
            <w:tcMar>
              <w:top w:w="0" w:type="dxa"/>
              <w:left w:w="0" w:type="dxa"/>
              <w:bottom w:w="0" w:type="dxa"/>
              <w:right w:w="0" w:type="dxa"/>
            </w:tcMar>
            <w:vAlign w:val="center"/>
          </w:tcPr>
          <w:p w14:paraId="2E95C532" w14:textId="77777777" w:rsidR="00630CB3" w:rsidRPr="00FA03CA" w:rsidRDefault="00630CB3" w:rsidP="004C78AE">
            <w:pPr>
              <w:spacing w:before="40" w:after="40"/>
              <w:ind w:left="23" w:right="40" w:firstLine="17"/>
              <w:rPr>
                <w:b/>
                <w:szCs w:val="20"/>
              </w:rPr>
            </w:pPr>
            <w:r w:rsidRPr="00FA03CA">
              <w:rPr>
                <w:b/>
                <w:szCs w:val="20"/>
              </w:rPr>
              <w:t>Units</w:t>
            </w:r>
          </w:p>
        </w:tc>
      </w:tr>
      <w:tr w:rsidR="00630CB3" w:rsidRPr="00FA03CA" w14:paraId="6B3FA738" w14:textId="77777777" w:rsidTr="00676A0A">
        <w:trPr>
          <w:cantSplit/>
          <w:trHeight w:val="438"/>
          <w:jc w:val="center"/>
        </w:trPr>
        <w:tc>
          <w:tcPr>
            <w:tcW w:w="929" w:type="dxa"/>
            <w:vMerge w:val="restart"/>
            <w:tcBorders>
              <w:bottom w:val="single" w:sz="4" w:space="0" w:color="000000"/>
            </w:tcBorders>
            <w:tcMar>
              <w:top w:w="0" w:type="dxa"/>
              <w:left w:w="0" w:type="dxa"/>
              <w:bottom w:w="0" w:type="dxa"/>
              <w:right w:w="0" w:type="dxa"/>
            </w:tcMar>
          </w:tcPr>
          <w:p w14:paraId="164D6B44" w14:textId="77777777" w:rsidR="00630CB3" w:rsidRPr="00FA03CA" w:rsidRDefault="00630CB3" w:rsidP="004C78AE">
            <w:pPr>
              <w:spacing w:before="100" w:after="40"/>
              <w:ind w:left="23" w:right="40" w:firstLine="17"/>
              <w:rPr>
                <w:szCs w:val="20"/>
              </w:rPr>
            </w:pPr>
            <w:r w:rsidRPr="00FA03CA">
              <w:rPr>
                <w:szCs w:val="20"/>
              </w:rPr>
              <w:t>Climate</w:t>
            </w:r>
          </w:p>
        </w:tc>
        <w:tc>
          <w:tcPr>
            <w:tcW w:w="1528" w:type="dxa"/>
            <w:tcBorders>
              <w:bottom w:val="single" w:sz="4" w:space="0" w:color="000000"/>
            </w:tcBorders>
          </w:tcPr>
          <w:p w14:paraId="6A1B40E3" w14:textId="77777777" w:rsidR="00630CB3" w:rsidRPr="00FA03CA" w:rsidRDefault="00630CB3" w:rsidP="004C78AE">
            <w:pPr>
              <w:spacing w:before="20" w:after="40"/>
              <w:ind w:left="23" w:right="40" w:firstLine="17"/>
              <w:rPr>
                <w:szCs w:val="20"/>
              </w:rPr>
            </w:pPr>
          </w:p>
        </w:tc>
        <w:tc>
          <w:tcPr>
            <w:tcW w:w="1642" w:type="dxa"/>
            <w:tcBorders>
              <w:bottom w:val="single" w:sz="4" w:space="0" w:color="000000"/>
            </w:tcBorders>
            <w:tcMar>
              <w:top w:w="0" w:type="dxa"/>
              <w:left w:w="0" w:type="dxa"/>
              <w:bottom w:w="0" w:type="dxa"/>
              <w:right w:w="0" w:type="dxa"/>
            </w:tcMar>
            <w:vAlign w:val="center"/>
          </w:tcPr>
          <w:p w14:paraId="3318BBB0" w14:textId="1F005074" w:rsidR="00630CB3" w:rsidRPr="00FA03CA" w:rsidRDefault="00630CB3" w:rsidP="004C78AE">
            <w:pPr>
              <w:spacing w:before="20" w:after="40"/>
              <w:ind w:left="23" w:right="40" w:firstLine="17"/>
              <w:rPr>
                <w:szCs w:val="20"/>
              </w:rPr>
            </w:pPr>
            <w:r w:rsidRPr="00FA03CA">
              <w:rPr>
                <w:szCs w:val="20"/>
              </w:rPr>
              <w:t>strannrain</w:t>
            </w:r>
          </w:p>
        </w:tc>
        <w:tc>
          <w:tcPr>
            <w:tcW w:w="6298" w:type="dxa"/>
            <w:tcBorders>
              <w:bottom w:val="single" w:sz="4" w:space="0" w:color="000000"/>
            </w:tcBorders>
            <w:tcMar>
              <w:top w:w="0" w:type="dxa"/>
              <w:left w:w="0" w:type="dxa"/>
              <w:bottom w:w="0" w:type="dxa"/>
              <w:right w:w="0" w:type="dxa"/>
            </w:tcMar>
            <w:vAlign w:val="center"/>
          </w:tcPr>
          <w:p w14:paraId="56E51A50" w14:textId="77777777" w:rsidR="00630CB3" w:rsidRPr="00FA03CA" w:rsidRDefault="00630CB3" w:rsidP="004C78AE">
            <w:pPr>
              <w:spacing w:before="20" w:after="40"/>
              <w:ind w:left="23" w:right="40" w:firstLine="17"/>
              <w:rPr>
                <w:szCs w:val="20"/>
              </w:rPr>
            </w:pPr>
            <w:r w:rsidRPr="00FA03CA">
              <w:rPr>
                <w:szCs w:val="20"/>
              </w:rPr>
              <w:t xml:space="preserve">Stream and environs average annual mean rainfall </w:t>
            </w:r>
          </w:p>
        </w:tc>
        <w:tc>
          <w:tcPr>
            <w:tcW w:w="706" w:type="dxa"/>
            <w:tcBorders>
              <w:bottom w:val="single" w:sz="4" w:space="0" w:color="000000"/>
            </w:tcBorders>
            <w:tcMar>
              <w:top w:w="0" w:type="dxa"/>
              <w:left w:w="0" w:type="dxa"/>
              <w:bottom w:w="0" w:type="dxa"/>
              <w:right w:w="0" w:type="dxa"/>
            </w:tcMar>
            <w:vAlign w:val="center"/>
          </w:tcPr>
          <w:p w14:paraId="2E2F64ED" w14:textId="77777777" w:rsidR="00630CB3" w:rsidRPr="00FA03CA" w:rsidRDefault="00630CB3" w:rsidP="004C78AE">
            <w:pPr>
              <w:spacing w:before="20" w:after="40"/>
              <w:ind w:left="23" w:right="40" w:firstLine="17"/>
              <w:rPr>
                <w:szCs w:val="20"/>
              </w:rPr>
            </w:pPr>
            <w:r w:rsidRPr="00FA03CA">
              <w:rPr>
                <w:szCs w:val="20"/>
              </w:rPr>
              <w:t>mm</w:t>
            </w:r>
          </w:p>
        </w:tc>
      </w:tr>
      <w:tr w:rsidR="00630CB3" w:rsidRPr="00FA03CA" w14:paraId="614CE0C6" w14:textId="77777777" w:rsidTr="00676A0A">
        <w:trPr>
          <w:cantSplit/>
          <w:trHeight w:val="438"/>
          <w:jc w:val="center"/>
        </w:trPr>
        <w:tc>
          <w:tcPr>
            <w:tcW w:w="929" w:type="dxa"/>
            <w:vMerge/>
            <w:tcBorders>
              <w:top w:val="single" w:sz="4" w:space="0" w:color="000000"/>
              <w:bottom w:val="single" w:sz="4" w:space="0" w:color="000000"/>
            </w:tcBorders>
            <w:tcMar>
              <w:top w:w="0" w:type="dxa"/>
              <w:left w:w="0" w:type="dxa"/>
              <w:bottom w:w="0" w:type="dxa"/>
              <w:right w:w="0" w:type="dxa"/>
            </w:tcMar>
          </w:tcPr>
          <w:p w14:paraId="03FF085B" w14:textId="77777777" w:rsidR="00630CB3" w:rsidRPr="00FA03CA" w:rsidRDefault="00630CB3" w:rsidP="004C78AE">
            <w:pPr>
              <w:spacing w:before="100" w:after="40"/>
              <w:ind w:left="23" w:right="40" w:firstLine="17"/>
              <w:rPr>
                <w:szCs w:val="20"/>
              </w:rPr>
            </w:pPr>
          </w:p>
        </w:tc>
        <w:tc>
          <w:tcPr>
            <w:tcW w:w="1528" w:type="dxa"/>
            <w:tcBorders>
              <w:top w:val="single" w:sz="4" w:space="0" w:color="000000"/>
              <w:bottom w:val="single" w:sz="4" w:space="0" w:color="000000"/>
            </w:tcBorders>
          </w:tcPr>
          <w:p w14:paraId="22EB4C22" w14:textId="77777777" w:rsidR="00630CB3" w:rsidRPr="00FA03CA" w:rsidRDefault="00630CB3" w:rsidP="004C78AE">
            <w:pPr>
              <w:spacing w:before="20" w:after="40"/>
              <w:ind w:left="23" w:right="40" w:firstLine="17"/>
              <w:rPr>
                <w:szCs w:val="20"/>
              </w:rPr>
            </w:pPr>
          </w:p>
        </w:tc>
        <w:tc>
          <w:tcPr>
            <w:tcW w:w="1642" w:type="dxa"/>
            <w:tcBorders>
              <w:top w:val="single" w:sz="4" w:space="0" w:color="000000"/>
              <w:bottom w:val="single" w:sz="4" w:space="0" w:color="000000"/>
            </w:tcBorders>
            <w:tcMar>
              <w:top w:w="0" w:type="dxa"/>
              <w:left w:w="0" w:type="dxa"/>
              <w:bottom w:w="0" w:type="dxa"/>
              <w:right w:w="0" w:type="dxa"/>
            </w:tcMar>
            <w:vAlign w:val="center"/>
          </w:tcPr>
          <w:p w14:paraId="69F04C05" w14:textId="329540FF" w:rsidR="00630CB3" w:rsidRPr="00FA03CA" w:rsidRDefault="00630CB3" w:rsidP="004C78AE">
            <w:pPr>
              <w:spacing w:before="20" w:after="40"/>
              <w:ind w:left="23" w:right="40" w:firstLine="17"/>
              <w:rPr>
                <w:szCs w:val="20"/>
              </w:rPr>
            </w:pPr>
            <w:r w:rsidRPr="00FA03CA">
              <w:rPr>
                <w:szCs w:val="20"/>
              </w:rPr>
              <w:t>stranntemp</w:t>
            </w:r>
          </w:p>
        </w:tc>
        <w:tc>
          <w:tcPr>
            <w:tcW w:w="6298" w:type="dxa"/>
            <w:tcBorders>
              <w:top w:val="single" w:sz="4" w:space="0" w:color="000000"/>
              <w:bottom w:val="single" w:sz="4" w:space="0" w:color="000000"/>
            </w:tcBorders>
            <w:tcMar>
              <w:top w:w="0" w:type="dxa"/>
              <w:left w:w="0" w:type="dxa"/>
              <w:bottom w:w="0" w:type="dxa"/>
              <w:right w:w="0" w:type="dxa"/>
            </w:tcMar>
            <w:vAlign w:val="center"/>
          </w:tcPr>
          <w:p w14:paraId="42A1482A" w14:textId="77777777" w:rsidR="00630CB3" w:rsidRPr="00FA03CA" w:rsidRDefault="00630CB3" w:rsidP="004C78AE">
            <w:pPr>
              <w:spacing w:before="20" w:after="40"/>
              <w:ind w:left="23" w:right="40" w:firstLine="17"/>
              <w:rPr>
                <w:szCs w:val="20"/>
              </w:rPr>
            </w:pPr>
            <w:r w:rsidRPr="00FA03CA">
              <w:rPr>
                <w:szCs w:val="20"/>
              </w:rPr>
              <w:t>Stream and environs average annual mean temperature</w:t>
            </w:r>
          </w:p>
        </w:tc>
        <w:tc>
          <w:tcPr>
            <w:tcW w:w="706" w:type="dxa"/>
            <w:tcBorders>
              <w:top w:val="single" w:sz="4" w:space="0" w:color="000000"/>
              <w:bottom w:val="single" w:sz="4" w:space="0" w:color="000000"/>
            </w:tcBorders>
            <w:tcMar>
              <w:top w:w="0" w:type="dxa"/>
              <w:left w:w="0" w:type="dxa"/>
              <w:bottom w:w="0" w:type="dxa"/>
              <w:right w:w="0" w:type="dxa"/>
            </w:tcMar>
            <w:vAlign w:val="center"/>
          </w:tcPr>
          <w:p w14:paraId="405A3FC3" w14:textId="77777777" w:rsidR="00630CB3" w:rsidRPr="00FA03CA" w:rsidRDefault="00630CB3" w:rsidP="004C78AE">
            <w:pPr>
              <w:spacing w:before="20" w:after="40"/>
              <w:ind w:left="23" w:right="40" w:firstLine="17"/>
              <w:rPr>
                <w:szCs w:val="20"/>
              </w:rPr>
            </w:pPr>
            <w:r w:rsidRPr="00FA03CA">
              <w:rPr>
                <w:szCs w:val="20"/>
              </w:rPr>
              <w:t>°C</w:t>
            </w:r>
          </w:p>
        </w:tc>
      </w:tr>
      <w:tr w:rsidR="00630CB3" w:rsidRPr="00FA03CA" w14:paraId="38D84432" w14:textId="77777777" w:rsidTr="00676A0A">
        <w:trPr>
          <w:cantSplit/>
          <w:trHeight w:val="438"/>
          <w:jc w:val="center"/>
        </w:trPr>
        <w:tc>
          <w:tcPr>
            <w:tcW w:w="929" w:type="dxa"/>
            <w:vMerge/>
            <w:tcBorders>
              <w:top w:val="single" w:sz="4" w:space="0" w:color="000000"/>
              <w:bottom w:val="single" w:sz="4" w:space="0" w:color="000000"/>
            </w:tcBorders>
            <w:tcMar>
              <w:top w:w="0" w:type="dxa"/>
              <w:left w:w="0" w:type="dxa"/>
              <w:bottom w:w="0" w:type="dxa"/>
              <w:right w:w="0" w:type="dxa"/>
            </w:tcMar>
          </w:tcPr>
          <w:p w14:paraId="5D57E9F7" w14:textId="77777777" w:rsidR="00630CB3" w:rsidRPr="00FA03CA" w:rsidRDefault="00630CB3" w:rsidP="004C78AE">
            <w:pPr>
              <w:spacing w:before="100" w:after="40"/>
              <w:ind w:left="23" w:right="40" w:firstLine="17"/>
              <w:rPr>
                <w:szCs w:val="20"/>
              </w:rPr>
            </w:pPr>
          </w:p>
        </w:tc>
        <w:tc>
          <w:tcPr>
            <w:tcW w:w="1528" w:type="dxa"/>
            <w:tcBorders>
              <w:top w:val="single" w:sz="4" w:space="0" w:color="000000"/>
              <w:bottom w:val="single" w:sz="4" w:space="0" w:color="000000"/>
            </w:tcBorders>
          </w:tcPr>
          <w:p w14:paraId="6C12D101" w14:textId="77777777" w:rsidR="00630CB3" w:rsidRPr="00FA03CA" w:rsidRDefault="00630CB3" w:rsidP="004C78AE">
            <w:pPr>
              <w:spacing w:before="20" w:after="40"/>
              <w:ind w:left="23" w:right="40" w:firstLine="17"/>
              <w:rPr>
                <w:szCs w:val="20"/>
              </w:rPr>
            </w:pPr>
          </w:p>
        </w:tc>
        <w:tc>
          <w:tcPr>
            <w:tcW w:w="1642" w:type="dxa"/>
            <w:tcBorders>
              <w:top w:val="single" w:sz="4" w:space="0" w:color="000000"/>
              <w:bottom w:val="single" w:sz="4" w:space="0" w:color="000000"/>
            </w:tcBorders>
            <w:tcMar>
              <w:top w:w="0" w:type="dxa"/>
              <w:left w:w="0" w:type="dxa"/>
              <w:bottom w:w="0" w:type="dxa"/>
              <w:right w:w="0" w:type="dxa"/>
            </w:tcMar>
            <w:vAlign w:val="center"/>
          </w:tcPr>
          <w:p w14:paraId="10B78100" w14:textId="37D4717E" w:rsidR="00630CB3" w:rsidRPr="00FA03CA" w:rsidRDefault="00630CB3" w:rsidP="004C78AE">
            <w:pPr>
              <w:spacing w:before="20" w:after="40"/>
              <w:ind w:left="23" w:right="40" w:firstLine="17"/>
              <w:rPr>
                <w:szCs w:val="20"/>
              </w:rPr>
            </w:pPr>
            <w:r w:rsidRPr="00FA03CA">
              <w:rPr>
                <w:szCs w:val="20"/>
              </w:rPr>
              <w:t>strcoldmthmin</w:t>
            </w:r>
          </w:p>
        </w:tc>
        <w:tc>
          <w:tcPr>
            <w:tcW w:w="6298" w:type="dxa"/>
            <w:tcBorders>
              <w:top w:val="single" w:sz="4" w:space="0" w:color="000000"/>
              <w:bottom w:val="single" w:sz="4" w:space="0" w:color="000000"/>
            </w:tcBorders>
            <w:tcMar>
              <w:top w:w="0" w:type="dxa"/>
              <w:left w:w="0" w:type="dxa"/>
              <w:bottom w:w="0" w:type="dxa"/>
              <w:right w:w="0" w:type="dxa"/>
            </w:tcMar>
            <w:vAlign w:val="center"/>
          </w:tcPr>
          <w:p w14:paraId="6ADC8F6D" w14:textId="77777777" w:rsidR="00630CB3" w:rsidRPr="00FA03CA" w:rsidRDefault="00630CB3" w:rsidP="004C78AE">
            <w:pPr>
              <w:spacing w:before="20" w:after="40"/>
              <w:ind w:left="23" w:right="40" w:firstLine="17"/>
              <w:rPr>
                <w:szCs w:val="20"/>
              </w:rPr>
            </w:pPr>
            <w:r w:rsidRPr="00FA03CA">
              <w:rPr>
                <w:szCs w:val="20"/>
              </w:rPr>
              <w:t>Stream and environs average coldest month minimum temperature</w:t>
            </w:r>
          </w:p>
        </w:tc>
        <w:tc>
          <w:tcPr>
            <w:tcW w:w="706" w:type="dxa"/>
            <w:tcBorders>
              <w:top w:val="single" w:sz="4" w:space="0" w:color="000000"/>
              <w:bottom w:val="single" w:sz="4" w:space="0" w:color="000000"/>
            </w:tcBorders>
            <w:tcMar>
              <w:top w:w="0" w:type="dxa"/>
              <w:left w:w="0" w:type="dxa"/>
              <w:bottom w:w="0" w:type="dxa"/>
              <w:right w:w="0" w:type="dxa"/>
            </w:tcMar>
            <w:vAlign w:val="center"/>
          </w:tcPr>
          <w:p w14:paraId="2A772BCE" w14:textId="77777777" w:rsidR="00630CB3" w:rsidRPr="00FA03CA" w:rsidRDefault="00630CB3" w:rsidP="004C78AE">
            <w:pPr>
              <w:spacing w:before="20" w:after="40"/>
              <w:ind w:left="23" w:right="40" w:firstLine="17"/>
              <w:rPr>
                <w:szCs w:val="20"/>
              </w:rPr>
            </w:pPr>
            <w:r w:rsidRPr="00FA03CA">
              <w:rPr>
                <w:szCs w:val="20"/>
              </w:rPr>
              <w:t>°C</w:t>
            </w:r>
          </w:p>
        </w:tc>
      </w:tr>
      <w:tr w:rsidR="00630CB3" w:rsidRPr="00FA03CA" w14:paraId="5AC23890" w14:textId="77777777" w:rsidTr="00676A0A">
        <w:trPr>
          <w:cantSplit/>
          <w:trHeight w:val="438"/>
          <w:jc w:val="center"/>
        </w:trPr>
        <w:tc>
          <w:tcPr>
            <w:tcW w:w="929" w:type="dxa"/>
            <w:vMerge/>
            <w:tcBorders>
              <w:top w:val="single" w:sz="4" w:space="0" w:color="000000"/>
              <w:bottom w:val="single" w:sz="4" w:space="0" w:color="000000"/>
            </w:tcBorders>
            <w:tcMar>
              <w:top w:w="0" w:type="dxa"/>
              <w:left w:w="0" w:type="dxa"/>
              <w:bottom w:w="0" w:type="dxa"/>
              <w:right w:w="0" w:type="dxa"/>
            </w:tcMar>
          </w:tcPr>
          <w:p w14:paraId="5BBCFB25" w14:textId="77777777" w:rsidR="00630CB3" w:rsidRPr="00FA03CA" w:rsidRDefault="00630CB3" w:rsidP="004C78AE">
            <w:pPr>
              <w:spacing w:before="100" w:after="40"/>
              <w:ind w:left="23" w:right="40" w:firstLine="17"/>
              <w:rPr>
                <w:szCs w:val="20"/>
              </w:rPr>
            </w:pPr>
          </w:p>
        </w:tc>
        <w:tc>
          <w:tcPr>
            <w:tcW w:w="1528" w:type="dxa"/>
            <w:tcBorders>
              <w:top w:val="single" w:sz="4" w:space="0" w:color="000000"/>
              <w:bottom w:val="single" w:sz="4" w:space="0" w:color="000000"/>
            </w:tcBorders>
          </w:tcPr>
          <w:p w14:paraId="0BA14D0D" w14:textId="77777777" w:rsidR="00630CB3" w:rsidRPr="00FA03CA" w:rsidRDefault="00630CB3" w:rsidP="004C78AE">
            <w:pPr>
              <w:spacing w:before="20" w:after="40"/>
              <w:ind w:left="23" w:right="40" w:firstLine="17"/>
              <w:rPr>
                <w:szCs w:val="20"/>
              </w:rPr>
            </w:pPr>
          </w:p>
        </w:tc>
        <w:tc>
          <w:tcPr>
            <w:tcW w:w="1642" w:type="dxa"/>
            <w:tcBorders>
              <w:top w:val="single" w:sz="4" w:space="0" w:color="000000"/>
              <w:bottom w:val="single" w:sz="4" w:space="0" w:color="000000"/>
            </w:tcBorders>
            <w:tcMar>
              <w:top w:w="0" w:type="dxa"/>
              <w:left w:w="0" w:type="dxa"/>
              <w:bottom w:w="0" w:type="dxa"/>
              <w:right w:w="0" w:type="dxa"/>
            </w:tcMar>
            <w:vAlign w:val="center"/>
          </w:tcPr>
          <w:p w14:paraId="7BFB9121" w14:textId="28E8F239" w:rsidR="00630CB3" w:rsidRPr="00FA03CA" w:rsidRDefault="00630CB3" w:rsidP="004C78AE">
            <w:pPr>
              <w:spacing w:before="20" w:after="40"/>
              <w:ind w:left="23" w:right="40" w:firstLine="17"/>
              <w:rPr>
                <w:szCs w:val="20"/>
              </w:rPr>
            </w:pPr>
            <w:r w:rsidRPr="00FA03CA">
              <w:rPr>
                <w:szCs w:val="20"/>
              </w:rPr>
              <w:t>strdryqrain</w:t>
            </w:r>
          </w:p>
        </w:tc>
        <w:tc>
          <w:tcPr>
            <w:tcW w:w="6298" w:type="dxa"/>
            <w:tcBorders>
              <w:top w:val="single" w:sz="4" w:space="0" w:color="000000"/>
              <w:bottom w:val="single" w:sz="4" w:space="0" w:color="000000"/>
            </w:tcBorders>
            <w:tcMar>
              <w:top w:w="0" w:type="dxa"/>
              <w:left w:w="0" w:type="dxa"/>
              <w:bottom w:w="0" w:type="dxa"/>
              <w:right w:w="0" w:type="dxa"/>
            </w:tcMar>
            <w:vAlign w:val="center"/>
          </w:tcPr>
          <w:p w14:paraId="7CFBA542" w14:textId="77777777" w:rsidR="00630CB3" w:rsidRPr="00FA03CA" w:rsidRDefault="00630CB3" w:rsidP="004C78AE">
            <w:pPr>
              <w:spacing w:before="20" w:after="40"/>
              <w:ind w:left="23" w:right="40" w:firstLine="17"/>
              <w:rPr>
                <w:szCs w:val="20"/>
              </w:rPr>
            </w:pPr>
            <w:r w:rsidRPr="00FA03CA">
              <w:rPr>
                <w:szCs w:val="20"/>
              </w:rPr>
              <w:t xml:space="preserve">Stream and environs average driest quarter rainfall </w:t>
            </w:r>
          </w:p>
        </w:tc>
        <w:tc>
          <w:tcPr>
            <w:tcW w:w="706" w:type="dxa"/>
            <w:tcBorders>
              <w:top w:val="single" w:sz="4" w:space="0" w:color="000000"/>
              <w:bottom w:val="single" w:sz="4" w:space="0" w:color="000000"/>
            </w:tcBorders>
            <w:tcMar>
              <w:top w:w="0" w:type="dxa"/>
              <w:left w:w="0" w:type="dxa"/>
              <w:bottom w:w="0" w:type="dxa"/>
              <w:right w:w="0" w:type="dxa"/>
            </w:tcMar>
            <w:vAlign w:val="center"/>
          </w:tcPr>
          <w:p w14:paraId="5CFFC1FF" w14:textId="77777777" w:rsidR="00630CB3" w:rsidRPr="00FA03CA" w:rsidRDefault="00630CB3" w:rsidP="004C78AE">
            <w:pPr>
              <w:spacing w:before="20" w:after="40"/>
              <w:ind w:left="23" w:right="40" w:firstLine="17"/>
              <w:rPr>
                <w:szCs w:val="20"/>
              </w:rPr>
            </w:pPr>
            <w:r w:rsidRPr="00FA03CA">
              <w:rPr>
                <w:szCs w:val="20"/>
              </w:rPr>
              <w:t>mm</w:t>
            </w:r>
          </w:p>
        </w:tc>
      </w:tr>
      <w:tr w:rsidR="00630CB3" w:rsidRPr="00FA03CA" w14:paraId="3A90552E" w14:textId="77777777" w:rsidTr="00676A0A">
        <w:trPr>
          <w:cantSplit/>
          <w:trHeight w:val="438"/>
          <w:jc w:val="center"/>
        </w:trPr>
        <w:tc>
          <w:tcPr>
            <w:tcW w:w="929" w:type="dxa"/>
            <w:vMerge/>
            <w:tcBorders>
              <w:top w:val="single" w:sz="4" w:space="0" w:color="000000"/>
              <w:bottom w:val="single" w:sz="4" w:space="0" w:color="000000"/>
            </w:tcBorders>
            <w:tcMar>
              <w:top w:w="0" w:type="dxa"/>
              <w:left w:w="0" w:type="dxa"/>
              <w:bottom w:w="0" w:type="dxa"/>
              <w:right w:w="0" w:type="dxa"/>
            </w:tcMar>
          </w:tcPr>
          <w:p w14:paraId="6800DFDA" w14:textId="77777777" w:rsidR="00630CB3" w:rsidRPr="00FA03CA" w:rsidRDefault="00630CB3" w:rsidP="004C78AE">
            <w:pPr>
              <w:spacing w:before="100" w:after="40"/>
              <w:ind w:left="23" w:right="40" w:firstLine="17"/>
              <w:rPr>
                <w:szCs w:val="20"/>
              </w:rPr>
            </w:pPr>
          </w:p>
        </w:tc>
        <w:tc>
          <w:tcPr>
            <w:tcW w:w="1528" w:type="dxa"/>
            <w:tcBorders>
              <w:top w:val="single" w:sz="4" w:space="0" w:color="000000"/>
              <w:bottom w:val="single" w:sz="4" w:space="0" w:color="000000"/>
            </w:tcBorders>
          </w:tcPr>
          <w:p w14:paraId="476C4EFB" w14:textId="77777777" w:rsidR="00630CB3" w:rsidRPr="00FA03CA" w:rsidRDefault="00630CB3" w:rsidP="004C78AE">
            <w:pPr>
              <w:spacing w:before="20" w:after="40"/>
              <w:ind w:left="23" w:right="40" w:firstLine="17"/>
              <w:rPr>
                <w:szCs w:val="20"/>
              </w:rPr>
            </w:pPr>
          </w:p>
        </w:tc>
        <w:tc>
          <w:tcPr>
            <w:tcW w:w="1642" w:type="dxa"/>
            <w:tcBorders>
              <w:top w:val="single" w:sz="4" w:space="0" w:color="000000"/>
              <w:bottom w:val="single" w:sz="4" w:space="0" w:color="000000"/>
            </w:tcBorders>
            <w:tcMar>
              <w:top w:w="0" w:type="dxa"/>
              <w:left w:w="0" w:type="dxa"/>
              <w:bottom w:w="0" w:type="dxa"/>
              <w:right w:w="0" w:type="dxa"/>
            </w:tcMar>
            <w:vAlign w:val="center"/>
          </w:tcPr>
          <w:p w14:paraId="04988B7C" w14:textId="4615A51E" w:rsidR="00630CB3" w:rsidRPr="00FA03CA" w:rsidRDefault="00630CB3" w:rsidP="004C78AE">
            <w:pPr>
              <w:spacing w:before="20" w:after="40"/>
              <w:ind w:left="23" w:right="40" w:firstLine="17"/>
              <w:rPr>
                <w:szCs w:val="20"/>
              </w:rPr>
            </w:pPr>
            <w:r w:rsidRPr="00FA03CA">
              <w:rPr>
                <w:szCs w:val="20"/>
              </w:rPr>
              <w:t>strhotmthmax</w:t>
            </w:r>
          </w:p>
        </w:tc>
        <w:tc>
          <w:tcPr>
            <w:tcW w:w="6298" w:type="dxa"/>
            <w:tcBorders>
              <w:top w:val="single" w:sz="4" w:space="0" w:color="000000"/>
              <w:bottom w:val="single" w:sz="4" w:space="0" w:color="000000"/>
            </w:tcBorders>
            <w:tcMar>
              <w:top w:w="0" w:type="dxa"/>
              <w:left w:w="0" w:type="dxa"/>
              <w:bottom w:w="0" w:type="dxa"/>
              <w:right w:w="0" w:type="dxa"/>
            </w:tcMar>
            <w:vAlign w:val="center"/>
          </w:tcPr>
          <w:p w14:paraId="6B2BCCFD" w14:textId="77777777" w:rsidR="00630CB3" w:rsidRPr="00FA03CA" w:rsidRDefault="00630CB3" w:rsidP="004C78AE">
            <w:pPr>
              <w:spacing w:before="20" w:after="40"/>
              <w:ind w:left="23" w:right="40" w:firstLine="17"/>
              <w:rPr>
                <w:szCs w:val="20"/>
              </w:rPr>
            </w:pPr>
            <w:r w:rsidRPr="00FA03CA">
              <w:rPr>
                <w:szCs w:val="20"/>
              </w:rPr>
              <w:t xml:space="preserve">Stream and environs average hottest month maximum temperature </w:t>
            </w:r>
          </w:p>
        </w:tc>
        <w:tc>
          <w:tcPr>
            <w:tcW w:w="706" w:type="dxa"/>
            <w:tcBorders>
              <w:top w:val="single" w:sz="4" w:space="0" w:color="000000"/>
              <w:bottom w:val="single" w:sz="4" w:space="0" w:color="000000"/>
            </w:tcBorders>
            <w:tcMar>
              <w:top w:w="0" w:type="dxa"/>
              <w:left w:w="0" w:type="dxa"/>
              <w:bottom w:w="0" w:type="dxa"/>
              <w:right w:w="0" w:type="dxa"/>
            </w:tcMar>
            <w:vAlign w:val="center"/>
          </w:tcPr>
          <w:p w14:paraId="0A6407EA" w14:textId="77777777" w:rsidR="00630CB3" w:rsidRPr="00FA03CA" w:rsidRDefault="00630CB3" w:rsidP="004C78AE">
            <w:pPr>
              <w:spacing w:before="20" w:after="40"/>
              <w:ind w:left="23" w:right="40" w:firstLine="17"/>
              <w:rPr>
                <w:szCs w:val="20"/>
              </w:rPr>
            </w:pPr>
            <w:r w:rsidRPr="00FA03CA">
              <w:rPr>
                <w:szCs w:val="20"/>
              </w:rPr>
              <w:t>°C</w:t>
            </w:r>
          </w:p>
        </w:tc>
      </w:tr>
      <w:tr w:rsidR="00630CB3" w:rsidRPr="00FA03CA" w14:paraId="0FF877B2" w14:textId="77777777" w:rsidTr="00676A0A">
        <w:trPr>
          <w:cantSplit/>
          <w:trHeight w:val="433"/>
          <w:jc w:val="center"/>
        </w:trPr>
        <w:tc>
          <w:tcPr>
            <w:tcW w:w="929" w:type="dxa"/>
            <w:vMerge w:val="restart"/>
            <w:tcBorders>
              <w:top w:val="single" w:sz="4" w:space="0" w:color="000000"/>
              <w:bottom w:val="single" w:sz="4" w:space="0" w:color="000000"/>
            </w:tcBorders>
            <w:tcMar>
              <w:top w:w="0" w:type="dxa"/>
              <w:left w:w="0" w:type="dxa"/>
              <w:bottom w:w="0" w:type="dxa"/>
              <w:right w:w="0" w:type="dxa"/>
            </w:tcMar>
          </w:tcPr>
          <w:p w14:paraId="4E208FE4" w14:textId="77777777" w:rsidR="00630CB3" w:rsidRPr="00FA03CA" w:rsidRDefault="00630CB3" w:rsidP="004C78AE">
            <w:pPr>
              <w:spacing w:before="100" w:after="40"/>
              <w:ind w:left="23" w:right="40" w:firstLine="17"/>
              <w:rPr>
                <w:szCs w:val="20"/>
              </w:rPr>
            </w:pPr>
            <w:r w:rsidRPr="00FA03CA">
              <w:rPr>
                <w:szCs w:val="20"/>
              </w:rPr>
              <w:t>Flow</w:t>
            </w:r>
          </w:p>
        </w:tc>
        <w:tc>
          <w:tcPr>
            <w:tcW w:w="1528" w:type="dxa"/>
            <w:tcBorders>
              <w:top w:val="single" w:sz="4" w:space="0" w:color="000000"/>
              <w:bottom w:val="single" w:sz="4" w:space="0" w:color="000000"/>
            </w:tcBorders>
          </w:tcPr>
          <w:p w14:paraId="388EEF9E" w14:textId="77777777" w:rsidR="00630CB3" w:rsidRPr="00FA03CA" w:rsidRDefault="00630CB3" w:rsidP="004C78AE">
            <w:pPr>
              <w:spacing w:before="20" w:after="40"/>
              <w:ind w:left="23" w:right="40" w:firstLine="17"/>
              <w:rPr>
                <w:szCs w:val="20"/>
              </w:rPr>
            </w:pPr>
          </w:p>
        </w:tc>
        <w:tc>
          <w:tcPr>
            <w:tcW w:w="1642" w:type="dxa"/>
            <w:tcBorders>
              <w:top w:val="single" w:sz="4" w:space="0" w:color="000000"/>
              <w:bottom w:val="single" w:sz="4" w:space="0" w:color="000000"/>
            </w:tcBorders>
            <w:tcMar>
              <w:top w:w="0" w:type="dxa"/>
              <w:left w:w="0" w:type="dxa"/>
              <w:bottom w:w="0" w:type="dxa"/>
              <w:right w:w="0" w:type="dxa"/>
            </w:tcMar>
            <w:vAlign w:val="center"/>
          </w:tcPr>
          <w:p w14:paraId="523CF0EC" w14:textId="211EE048" w:rsidR="00630CB3" w:rsidRPr="00FA03CA" w:rsidRDefault="00630CB3" w:rsidP="004C78AE">
            <w:pPr>
              <w:spacing w:before="20" w:after="40"/>
              <w:ind w:left="23" w:right="40" w:firstLine="17"/>
              <w:rPr>
                <w:szCs w:val="20"/>
              </w:rPr>
            </w:pPr>
            <w:r w:rsidRPr="00FA03CA">
              <w:rPr>
                <w:szCs w:val="20"/>
              </w:rPr>
              <w:t>runannmean</w:t>
            </w:r>
          </w:p>
        </w:tc>
        <w:tc>
          <w:tcPr>
            <w:tcW w:w="6298" w:type="dxa"/>
            <w:tcBorders>
              <w:top w:val="single" w:sz="4" w:space="0" w:color="000000"/>
              <w:bottom w:val="single" w:sz="4" w:space="0" w:color="000000"/>
            </w:tcBorders>
            <w:tcMar>
              <w:top w:w="0" w:type="dxa"/>
              <w:left w:w="0" w:type="dxa"/>
              <w:bottom w:w="0" w:type="dxa"/>
              <w:right w:w="0" w:type="dxa"/>
            </w:tcMar>
            <w:vAlign w:val="center"/>
          </w:tcPr>
          <w:p w14:paraId="06F37870" w14:textId="77777777" w:rsidR="00630CB3" w:rsidRPr="00FA03CA" w:rsidRDefault="00630CB3" w:rsidP="004C78AE">
            <w:pPr>
              <w:spacing w:before="20" w:after="40"/>
              <w:ind w:left="23" w:right="40" w:firstLine="17"/>
              <w:rPr>
                <w:szCs w:val="20"/>
              </w:rPr>
            </w:pPr>
            <w:r w:rsidRPr="00FA03CA">
              <w:rPr>
                <w:szCs w:val="20"/>
              </w:rPr>
              <w:t xml:space="preserve">Annual mean accumulated soil water surplus </w:t>
            </w:r>
          </w:p>
        </w:tc>
        <w:tc>
          <w:tcPr>
            <w:tcW w:w="706" w:type="dxa"/>
            <w:tcBorders>
              <w:top w:val="single" w:sz="4" w:space="0" w:color="000000"/>
              <w:bottom w:val="single" w:sz="4" w:space="0" w:color="000000"/>
            </w:tcBorders>
            <w:tcMar>
              <w:top w:w="0" w:type="dxa"/>
              <w:left w:w="0" w:type="dxa"/>
              <w:bottom w:w="0" w:type="dxa"/>
              <w:right w:w="0" w:type="dxa"/>
            </w:tcMar>
            <w:vAlign w:val="center"/>
          </w:tcPr>
          <w:p w14:paraId="456006FA" w14:textId="77777777" w:rsidR="00630CB3" w:rsidRPr="00FA03CA" w:rsidRDefault="00630CB3" w:rsidP="004C78AE">
            <w:pPr>
              <w:spacing w:before="20" w:after="40"/>
              <w:ind w:left="23" w:right="40" w:firstLine="17"/>
              <w:rPr>
                <w:szCs w:val="20"/>
              </w:rPr>
            </w:pPr>
            <w:r w:rsidRPr="00FA03CA">
              <w:rPr>
                <w:szCs w:val="20"/>
              </w:rPr>
              <w:t>ML</w:t>
            </w:r>
          </w:p>
        </w:tc>
      </w:tr>
      <w:tr w:rsidR="00630CB3" w:rsidRPr="00FA03CA" w14:paraId="56250529" w14:textId="77777777" w:rsidTr="00676A0A">
        <w:trPr>
          <w:cantSplit/>
          <w:trHeight w:val="438"/>
          <w:jc w:val="center"/>
        </w:trPr>
        <w:tc>
          <w:tcPr>
            <w:tcW w:w="929" w:type="dxa"/>
            <w:vMerge/>
            <w:tcBorders>
              <w:top w:val="single" w:sz="4" w:space="0" w:color="000000"/>
              <w:bottom w:val="single" w:sz="4" w:space="0" w:color="000000"/>
            </w:tcBorders>
            <w:tcMar>
              <w:top w:w="0" w:type="dxa"/>
              <w:left w:w="0" w:type="dxa"/>
              <w:bottom w:w="0" w:type="dxa"/>
              <w:right w:w="0" w:type="dxa"/>
            </w:tcMar>
          </w:tcPr>
          <w:p w14:paraId="4A149718" w14:textId="77777777" w:rsidR="00630CB3" w:rsidRPr="00FA03CA" w:rsidRDefault="00630CB3" w:rsidP="004C78AE">
            <w:pPr>
              <w:spacing w:before="100" w:after="40"/>
              <w:ind w:left="23" w:right="40" w:firstLine="17"/>
              <w:rPr>
                <w:szCs w:val="20"/>
              </w:rPr>
            </w:pPr>
          </w:p>
        </w:tc>
        <w:tc>
          <w:tcPr>
            <w:tcW w:w="1528" w:type="dxa"/>
            <w:tcBorders>
              <w:top w:val="single" w:sz="4" w:space="0" w:color="000000"/>
              <w:bottom w:val="single" w:sz="4" w:space="0" w:color="000000"/>
            </w:tcBorders>
          </w:tcPr>
          <w:p w14:paraId="1F8270D5" w14:textId="77777777" w:rsidR="00630CB3" w:rsidRPr="00FA03CA" w:rsidRDefault="00630CB3" w:rsidP="004C78AE">
            <w:pPr>
              <w:spacing w:before="20" w:after="40"/>
              <w:ind w:left="23" w:right="40" w:firstLine="17"/>
              <w:rPr>
                <w:szCs w:val="20"/>
              </w:rPr>
            </w:pPr>
          </w:p>
        </w:tc>
        <w:tc>
          <w:tcPr>
            <w:tcW w:w="1642" w:type="dxa"/>
            <w:tcBorders>
              <w:top w:val="single" w:sz="4" w:space="0" w:color="000000"/>
              <w:bottom w:val="single" w:sz="4" w:space="0" w:color="000000"/>
            </w:tcBorders>
            <w:tcMar>
              <w:top w:w="0" w:type="dxa"/>
              <w:left w:w="0" w:type="dxa"/>
              <w:bottom w:w="0" w:type="dxa"/>
              <w:right w:w="0" w:type="dxa"/>
            </w:tcMar>
            <w:vAlign w:val="center"/>
          </w:tcPr>
          <w:p w14:paraId="12F54CBD" w14:textId="5E8B427C" w:rsidR="00630CB3" w:rsidRPr="00FA03CA" w:rsidRDefault="00630CB3" w:rsidP="004C78AE">
            <w:pPr>
              <w:spacing w:before="20" w:after="40"/>
              <w:ind w:left="23" w:right="40" w:firstLine="17"/>
              <w:rPr>
                <w:szCs w:val="20"/>
              </w:rPr>
            </w:pPr>
            <w:r w:rsidRPr="00FA03CA">
              <w:rPr>
                <w:szCs w:val="20"/>
              </w:rPr>
              <w:t>runmthcofv</w:t>
            </w:r>
          </w:p>
        </w:tc>
        <w:tc>
          <w:tcPr>
            <w:tcW w:w="6298" w:type="dxa"/>
            <w:tcBorders>
              <w:top w:val="single" w:sz="4" w:space="0" w:color="000000"/>
              <w:bottom w:val="single" w:sz="4" w:space="0" w:color="000000"/>
            </w:tcBorders>
            <w:tcMar>
              <w:top w:w="0" w:type="dxa"/>
              <w:left w:w="0" w:type="dxa"/>
              <w:bottom w:w="0" w:type="dxa"/>
              <w:right w:w="0" w:type="dxa"/>
            </w:tcMar>
            <w:vAlign w:val="center"/>
          </w:tcPr>
          <w:p w14:paraId="678D9A0B" w14:textId="77777777" w:rsidR="00630CB3" w:rsidRPr="00FA03CA" w:rsidRDefault="00630CB3" w:rsidP="004C78AE">
            <w:pPr>
              <w:spacing w:before="20" w:after="40"/>
              <w:ind w:left="23" w:right="40" w:firstLine="17"/>
              <w:rPr>
                <w:szCs w:val="20"/>
              </w:rPr>
            </w:pPr>
            <w:r w:rsidRPr="00FA03CA">
              <w:rPr>
                <w:szCs w:val="20"/>
              </w:rPr>
              <w:t>Coefficient of variation of monthly totals of accumulated soil water surplus</w:t>
            </w:r>
          </w:p>
        </w:tc>
        <w:tc>
          <w:tcPr>
            <w:tcW w:w="706" w:type="dxa"/>
            <w:tcBorders>
              <w:top w:val="single" w:sz="4" w:space="0" w:color="000000"/>
              <w:bottom w:val="single" w:sz="4" w:space="0" w:color="000000"/>
            </w:tcBorders>
            <w:tcMar>
              <w:top w:w="0" w:type="dxa"/>
              <w:left w:w="0" w:type="dxa"/>
              <w:bottom w:w="0" w:type="dxa"/>
              <w:right w:w="0" w:type="dxa"/>
            </w:tcMar>
            <w:vAlign w:val="center"/>
          </w:tcPr>
          <w:p w14:paraId="3E5B785B" w14:textId="77777777" w:rsidR="00630CB3" w:rsidRPr="00FA03CA" w:rsidRDefault="00630CB3" w:rsidP="004C78AE">
            <w:pPr>
              <w:spacing w:before="20" w:after="40"/>
              <w:ind w:left="23" w:right="40" w:firstLine="17"/>
              <w:rPr>
                <w:szCs w:val="20"/>
              </w:rPr>
            </w:pPr>
          </w:p>
        </w:tc>
      </w:tr>
      <w:tr w:rsidR="00630CB3" w:rsidRPr="00FA03CA" w14:paraId="0F801354" w14:textId="77777777" w:rsidTr="00676A0A">
        <w:trPr>
          <w:cantSplit/>
          <w:trHeight w:val="438"/>
          <w:jc w:val="center"/>
        </w:trPr>
        <w:tc>
          <w:tcPr>
            <w:tcW w:w="929" w:type="dxa"/>
            <w:vMerge/>
            <w:tcBorders>
              <w:top w:val="single" w:sz="4" w:space="0" w:color="000000"/>
              <w:bottom w:val="single" w:sz="4" w:space="0" w:color="000000"/>
            </w:tcBorders>
            <w:tcMar>
              <w:top w:w="0" w:type="dxa"/>
              <w:left w:w="0" w:type="dxa"/>
              <w:bottom w:w="0" w:type="dxa"/>
              <w:right w:w="0" w:type="dxa"/>
            </w:tcMar>
          </w:tcPr>
          <w:p w14:paraId="6543E862" w14:textId="77777777" w:rsidR="00630CB3" w:rsidRPr="00FA03CA" w:rsidRDefault="00630CB3" w:rsidP="004C78AE">
            <w:pPr>
              <w:spacing w:before="100" w:after="40"/>
              <w:ind w:left="23" w:right="40" w:firstLine="17"/>
              <w:rPr>
                <w:szCs w:val="20"/>
              </w:rPr>
            </w:pPr>
          </w:p>
        </w:tc>
        <w:tc>
          <w:tcPr>
            <w:tcW w:w="1528" w:type="dxa"/>
            <w:tcBorders>
              <w:top w:val="single" w:sz="4" w:space="0" w:color="000000"/>
              <w:bottom w:val="single" w:sz="4" w:space="0" w:color="000000"/>
            </w:tcBorders>
          </w:tcPr>
          <w:p w14:paraId="342D5684" w14:textId="77777777" w:rsidR="00630CB3" w:rsidRPr="00FA03CA" w:rsidRDefault="00630CB3" w:rsidP="004C78AE">
            <w:pPr>
              <w:spacing w:before="20" w:after="40"/>
              <w:ind w:left="23" w:right="40" w:firstLine="17"/>
              <w:rPr>
                <w:szCs w:val="20"/>
              </w:rPr>
            </w:pPr>
          </w:p>
        </w:tc>
        <w:tc>
          <w:tcPr>
            <w:tcW w:w="1642" w:type="dxa"/>
            <w:tcBorders>
              <w:top w:val="single" w:sz="4" w:space="0" w:color="000000"/>
              <w:bottom w:val="single" w:sz="4" w:space="0" w:color="000000"/>
            </w:tcBorders>
            <w:tcMar>
              <w:top w:w="0" w:type="dxa"/>
              <w:left w:w="0" w:type="dxa"/>
              <w:bottom w:w="0" w:type="dxa"/>
              <w:right w:w="0" w:type="dxa"/>
            </w:tcMar>
            <w:vAlign w:val="center"/>
          </w:tcPr>
          <w:p w14:paraId="7936E66B" w14:textId="6A2F506D" w:rsidR="00630CB3" w:rsidRPr="00FA03CA" w:rsidRDefault="00630CB3" w:rsidP="004C78AE">
            <w:pPr>
              <w:spacing w:before="20" w:after="40"/>
              <w:ind w:left="23" w:right="40" w:firstLine="17"/>
              <w:rPr>
                <w:szCs w:val="20"/>
              </w:rPr>
            </w:pPr>
            <w:r w:rsidRPr="00FA03CA">
              <w:rPr>
                <w:szCs w:val="20"/>
              </w:rPr>
              <w:t>runperenia</w:t>
            </w:r>
          </w:p>
        </w:tc>
        <w:tc>
          <w:tcPr>
            <w:tcW w:w="6298" w:type="dxa"/>
            <w:tcBorders>
              <w:top w:val="single" w:sz="4" w:space="0" w:color="000000"/>
              <w:bottom w:val="single" w:sz="4" w:space="0" w:color="000000"/>
            </w:tcBorders>
            <w:tcMar>
              <w:top w:w="0" w:type="dxa"/>
              <w:left w:w="0" w:type="dxa"/>
              <w:bottom w:w="0" w:type="dxa"/>
              <w:right w:w="0" w:type="dxa"/>
            </w:tcMar>
            <w:vAlign w:val="center"/>
          </w:tcPr>
          <w:p w14:paraId="4A328983" w14:textId="77777777" w:rsidR="00630CB3" w:rsidRPr="00FA03CA" w:rsidRDefault="00630CB3" w:rsidP="004C78AE">
            <w:pPr>
              <w:spacing w:before="20" w:after="40"/>
              <w:ind w:left="23" w:right="40" w:firstLine="17"/>
              <w:rPr>
                <w:szCs w:val="20"/>
              </w:rPr>
            </w:pPr>
            <w:r w:rsidRPr="00FA03CA">
              <w:rPr>
                <w:szCs w:val="20"/>
              </w:rPr>
              <w:t>% contribution to mean annual discharge by the six driest months of the year</w:t>
            </w:r>
          </w:p>
        </w:tc>
        <w:tc>
          <w:tcPr>
            <w:tcW w:w="706" w:type="dxa"/>
            <w:tcBorders>
              <w:top w:val="single" w:sz="4" w:space="0" w:color="000000"/>
              <w:bottom w:val="single" w:sz="4" w:space="0" w:color="000000"/>
            </w:tcBorders>
            <w:tcMar>
              <w:top w:w="0" w:type="dxa"/>
              <w:left w:w="0" w:type="dxa"/>
              <w:bottom w:w="0" w:type="dxa"/>
              <w:right w:w="0" w:type="dxa"/>
            </w:tcMar>
            <w:vAlign w:val="center"/>
          </w:tcPr>
          <w:p w14:paraId="0FD23D23" w14:textId="77777777" w:rsidR="00630CB3" w:rsidRPr="00FA03CA" w:rsidRDefault="00630CB3" w:rsidP="004C78AE">
            <w:pPr>
              <w:spacing w:before="20" w:after="40"/>
              <w:ind w:left="23" w:right="40" w:firstLine="17"/>
              <w:rPr>
                <w:szCs w:val="20"/>
              </w:rPr>
            </w:pPr>
            <w:r w:rsidRPr="00FA03CA">
              <w:rPr>
                <w:szCs w:val="20"/>
              </w:rPr>
              <w:t>%</w:t>
            </w:r>
          </w:p>
        </w:tc>
      </w:tr>
      <w:tr w:rsidR="00630CB3" w:rsidRPr="00FA03CA" w14:paraId="0549AC32" w14:textId="77777777" w:rsidTr="00676A0A">
        <w:trPr>
          <w:cantSplit/>
          <w:trHeight w:val="438"/>
          <w:jc w:val="center"/>
        </w:trPr>
        <w:tc>
          <w:tcPr>
            <w:tcW w:w="929" w:type="dxa"/>
            <w:vMerge/>
            <w:tcBorders>
              <w:top w:val="single" w:sz="4" w:space="0" w:color="000000"/>
              <w:bottom w:val="single" w:sz="4" w:space="0" w:color="000000"/>
            </w:tcBorders>
            <w:tcMar>
              <w:top w:w="0" w:type="dxa"/>
              <w:left w:w="0" w:type="dxa"/>
              <w:bottom w:w="0" w:type="dxa"/>
              <w:right w:w="0" w:type="dxa"/>
            </w:tcMar>
          </w:tcPr>
          <w:p w14:paraId="3F72260D" w14:textId="77777777" w:rsidR="00630CB3" w:rsidRPr="00FA03CA" w:rsidRDefault="00630CB3" w:rsidP="004C78AE">
            <w:pPr>
              <w:spacing w:before="100" w:after="40"/>
              <w:ind w:left="23" w:right="40" w:firstLine="17"/>
              <w:rPr>
                <w:szCs w:val="20"/>
              </w:rPr>
            </w:pPr>
          </w:p>
        </w:tc>
        <w:tc>
          <w:tcPr>
            <w:tcW w:w="1528" w:type="dxa"/>
            <w:tcBorders>
              <w:top w:val="single" w:sz="4" w:space="0" w:color="000000"/>
              <w:bottom w:val="single" w:sz="4" w:space="0" w:color="000000"/>
            </w:tcBorders>
          </w:tcPr>
          <w:p w14:paraId="66787222" w14:textId="77777777" w:rsidR="00630CB3" w:rsidRPr="00FA03CA" w:rsidRDefault="00630CB3" w:rsidP="004C78AE">
            <w:pPr>
              <w:spacing w:before="20" w:after="40"/>
              <w:ind w:left="23" w:right="40" w:firstLine="17"/>
              <w:rPr>
                <w:szCs w:val="20"/>
              </w:rPr>
            </w:pPr>
          </w:p>
        </w:tc>
        <w:tc>
          <w:tcPr>
            <w:tcW w:w="1642" w:type="dxa"/>
            <w:tcBorders>
              <w:top w:val="single" w:sz="4" w:space="0" w:color="000000"/>
              <w:bottom w:val="single" w:sz="4" w:space="0" w:color="000000"/>
            </w:tcBorders>
            <w:tcMar>
              <w:top w:w="0" w:type="dxa"/>
              <w:left w:w="0" w:type="dxa"/>
              <w:bottom w:w="0" w:type="dxa"/>
              <w:right w:w="0" w:type="dxa"/>
            </w:tcMar>
            <w:vAlign w:val="center"/>
          </w:tcPr>
          <w:p w14:paraId="192AA4D4" w14:textId="4A5CD587" w:rsidR="00630CB3" w:rsidRPr="00FA03CA" w:rsidRDefault="00630CB3" w:rsidP="004C78AE">
            <w:pPr>
              <w:spacing w:before="20" w:after="40"/>
              <w:ind w:left="23" w:right="40" w:firstLine="17"/>
              <w:rPr>
                <w:szCs w:val="20"/>
              </w:rPr>
            </w:pPr>
            <w:r w:rsidRPr="00FA03CA">
              <w:rPr>
                <w:szCs w:val="20"/>
              </w:rPr>
              <w:t>runsummermean</w:t>
            </w:r>
          </w:p>
        </w:tc>
        <w:tc>
          <w:tcPr>
            <w:tcW w:w="6298" w:type="dxa"/>
            <w:tcBorders>
              <w:top w:val="single" w:sz="4" w:space="0" w:color="000000"/>
              <w:bottom w:val="single" w:sz="4" w:space="0" w:color="000000"/>
            </w:tcBorders>
            <w:tcMar>
              <w:top w:w="0" w:type="dxa"/>
              <w:left w:w="0" w:type="dxa"/>
              <w:bottom w:w="0" w:type="dxa"/>
              <w:right w:w="0" w:type="dxa"/>
            </w:tcMar>
            <w:vAlign w:val="center"/>
          </w:tcPr>
          <w:p w14:paraId="14022645" w14:textId="77777777" w:rsidR="00630CB3" w:rsidRPr="00FA03CA" w:rsidRDefault="00630CB3" w:rsidP="004C78AE">
            <w:pPr>
              <w:spacing w:before="20" w:after="40"/>
              <w:ind w:left="23" w:right="40" w:firstLine="17"/>
              <w:rPr>
                <w:szCs w:val="20"/>
              </w:rPr>
            </w:pPr>
            <w:r w:rsidRPr="00FA03CA">
              <w:rPr>
                <w:szCs w:val="20"/>
              </w:rPr>
              <w:t>Summer means of accumulated soil water surplus</w:t>
            </w:r>
          </w:p>
        </w:tc>
        <w:tc>
          <w:tcPr>
            <w:tcW w:w="706" w:type="dxa"/>
            <w:tcBorders>
              <w:top w:val="single" w:sz="4" w:space="0" w:color="000000"/>
              <w:bottom w:val="single" w:sz="4" w:space="0" w:color="000000"/>
            </w:tcBorders>
            <w:tcMar>
              <w:top w:w="0" w:type="dxa"/>
              <w:left w:w="0" w:type="dxa"/>
              <w:bottom w:w="0" w:type="dxa"/>
              <w:right w:w="0" w:type="dxa"/>
            </w:tcMar>
            <w:vAlign w:val="center"/>
          </w:tcPr>
          <w:p w14:paraId="3182E2F5" w14:textId="77777777" w:rsidR="00630CB3" w:rsidRPr="00FA03CA" w:rsidRDefault="00630CB3" w:rsidP="004C78AE">
            <w:pPr>
              <w:spacing w:before="20" w:after="40"/>
              <w:ind w:left="23" w:right="40" w:firstLine="17"/>
              <w:rPr>
                <w:szCs w:val="20"/>
              </w:rPr>
            </w:pPr>
            <w:r w:rsidRPr="00FA03CA">
              <w:rPr>
                <w:szCs w:val="20"/>
              </w:rPr>
              <w:t>ML</w:t>
            </w:r>
          </w:p>
        </w:tc>
      </w:tr>
      <w:tr w:rsidR="00630CB3" w:rsidRPr="00FA03CA" w14:paraId="584CDD2E" w14:textId="77777777" w:rsidTr="00676A0A">
        <w:trPr>
          <w:cantSplit/>
          <w:trHeight w:val="436"/>
          <w:jc w:val="center"/>
        </w:trPr>
        <w:tc>
          <w:tcPr>
            <w:tcW w:w="929" w:type="dxa"/>
            <w:vMerge/>
            <w:tcBorders>
              <w:top w:val="single" w:sz="4" w:space="0" w:color="000000"/>
              <w:bottom w:val="single" w:sz="4" w:space="0" w:color="000000"/>
            </w:tcBorders>
            <w:tcMar>
              <w:top w:w="0" w:type="dxa"/>
              <w:left w:w="0" w:type="dxa"/>
              <w:bottom w:w="0" w:type="dxa"/>
              <w:right w:w="0" w:type="dxa"/>
            </w:tcMar>
          </w:tcPr>
          <w:p w14:paraId="765FAFCF" w14:textId="77777777" w:rsidR="00630CB3" w:rsidRPr="00FA03CA" w:rsidRDefault="00630CB3" w:rsidP="004C78AE">
            <w:pPr>
              <w:spacing w:before="100" w:after="40"/>
              <w:ind w:left="23" w:right="40" w:firstLine="17"/>
              <w:rPr>
                <w:szCs w:val="20"/>
              </w:rPr>
            </w:pPr>
          </w:p>
        </w:tc>
        <w:tc>
          <w:tcPr>
            <w:tcW w:w="1528" w:type="dxa"/>
            <w:tcBorders>
              <w:top w:val="single" w:sz="4" w:space="0" w:color="000000"/>
              <w:bottom w:val="single" w:sz="4" w:space="0" w:color="000000"/>
            </w:tcBorders>
          </w:tcPr>
          <w:p w14:paraId="0D4E46CA" w14:textId="77777777" w:rsidR="00630CB3" w:rsidRPr="00FA03CA" w:rsidRDefault="00630CB3" w:rsidP="004C78AE">
            <w:pPr>
              <w:spacing w:before="20" w:after="40"/>
              <w:ind w:left="23" w:right="40" w:firstLine="17"/>
              <w:rPr>
                <w:szCs w:val="20"/>
              </w:rPr>
            </w:pPr>
          </w:p>
        </w:tc>
        <w:tc>
          <w:tcPr>
            <w:tcW w:w="1642" w:type="dxa"/>
            <w:tcBorders>
              <w:top w:val="single" w:sz="4" w:space="0" w:color="000000"/>
              <w:bottom w:val="single" w:sz="4" w:space="0" w:color="000000"/>
            </w:tcBorders>
            <w:tcMar>
              <w:top w:w="0" w:type="dxa"/>
              <w:left w:w="0" w:type="dxa"/>
              <w:bottom w:w="0" w:type="dxa"/>
              <w:right w:w="0" w:type="dxa"/>
            </w:tcMar>
            <w:vAlign w:val="center"/>
          </w:tcPr>
          <w:p w14:paraId="4FE89A80" w14:textId="35BF773E" w:rsidR="00630CB3" w:rsidRPr="00FA03CA" w:rsidRDefault="00630CB3" w:rsidP="004C78AE">
            <w:pPr>
              <w:spacing w:before="20" w:after="40"/>
              <w:ind w:left="23" w:right="40" w:firstLine="17"/>
              <w:rPr>
                <w:szCs w:val="20"/>
              </w:rPr>
            </w:pPr>
            <w:r w:rsidRPr="00FA03CA">
              <w:rPr>
                <w:szCs w:val="20"/>
              </w:rPr>
              <w:t>runspringmean</w:t>
            </w:r>
          </w:p>
        </w:tc>
        <w:tc>
          <w:tcPr>
            <w:tcW w:w="6298" w:type="dxa"/>
            <w:tcBorders>
              <w:top w:val="single" w:sz="4" w:space="0" w:color="000000"/>
              <w:bottom w:val="single" w:sz="4" w:space="0" w:color="000000"/>
            </w:tcBorders>
            <w:tcMar>
              <w:top w:w="0" w:type="dxa"/>
              <w:left w:w="0" w:type="dxa"/>
              <w:bottom w:w="0" w:type="dxa"/>
              <w:right w:w="0" w:type="dxa"/>
            </w:tcMar>
            <w:vAlign w:val="center"/>
          </w:tcPr>
          <w:p w14:paraId="297BF58C" w14:textId="77777777" w:rsidR="00630CB3" w:rsidRPr="00FA03CA" w:rsidRDefault="00630CB3" w:rsidP="004C78AE">
            <w:pPr>
              <w:spacing w:before="20" w:after="40"/>
              <w:ind w:left="23" w:right="40" w:firstLine="17"/>
              <w:rPr>
                <w:szCs w:val="20"/>
              </w:rPr>
            </w:pPr>
            <w:r w:rsidRPr="00FA03CA">
              <w:rPr>
                <w:szCs w:val="20"/>
              </w:rPr>
              <w:t>Spring means of accumulated soil water surplus</w:t>
            </w:r>
          </w:p>
        </w:tc>
        <w:tc>
          <w:tcPr>
            <w:tcW w:w="706" w:type="dxa"/>
            <w:tcBorders>
              <w:top w:val="single" w:sz="4" w:space="0" w:color="000000"/>
              <w:bottom w:val="single" w:sz="4" w:space="0" w:color="000000"/>
            </w:tcBorders>
            <w:tcMar>
              <w:top w:w="0" w:type="dxa"/>
              <w:left w:w="0" w:type="dxa"/>
              <w:bottom w:w="0" w:type="dxa"/>
              <w:right w:w="0" w:type="dxa"/>
            </w:tcMar>
            <w:vAlign w:val="center"/>
          </w:tcPr>
          <w:p w14:paraId="1387B58F" w14:textId="77777777" w:rsidR="00630CB3" w:rsidRPr="00FA03CA" w:rsidRDefault="00630CB3" w:rsidP="004C78AE">
            <w:pPr>
              <w:spacing w:before="20" w:after="40"/>
              <w:ind w:left="23" w:right="40" w:firstLine="17"/>
              <w:rPr>
                <w:szCs w:val="20"/>
              </w:rPr>
            </w:pPr>
            <w:r w:rsidRPr="00FA03CA">
              <w:rPr>
                <w:szCs w:val="20"/>
              </w:rPr>
              <w:t>ML</w:t>
            </w:r>
          </w:p>
        </w:tc>
      </w:tr>
      <w:tr w:rsidR="00630CB3" w:rsidRPr="00FA03CA" w14:paraId="59F1548A" w14:textId="77777777" w:rsidTr="00676A0A">
        <w:trPr>
          <w:cantSplit/>
          <w:trHeight w:val="396"/>
          <w:jc w:val="center"/>
        </w:trPr>
        <w:tc>
          <w:tcPr>
            <w:tcW w:w="929" w:type="dxa"/>
            <w:vMerge w:val="restart"/>
            <w:tcBorders>
              <w:top w:val="single" w:sz="4" w:space="0" w:color="000000"/>
              <w:bottom w:val="single" w:sz="4" w:space="0" w:color="000000"/>
            </w:tcBorders>
            <w:tcMar>
              <w:top w:w="0" w:type="dxa"/>
              <w:left w:w="0" w:type="dxa"/>
              <w:bottom w:w="0" w:type="dxa"/>
              <w:right w:w="0" w:type="dxa"/>
            </w:tcMar>
          </w:tcPr>
          <w:p w14:paraId="17CE0A53" w14:textId="77777777" w:rsidR="00630CB3" w:rsidRPr="00FA03CA" w:rsidRDefault="00630CB3" w:rsidP="004C78AE">
            <w:pPr>
              <w:spacing w:before="100" w:after="40"/>
              <w:ind w:left="23" w:right="40" w:firstLine="17"/>
              <w:rPr>
                <w:szCs w:val="20"/>
              </w:rPr>
            </w:pPr>
            <w:r w:rsidRPr="00FA03CA">
              <w:rPr>
                <w:szCs w:val="20"/>
              </w:rPr>
              <w:t>Habitat</w:t>
            </w:r>
          </w:p>
        </w:tc>
        <w:tc>
          <w:tcPr>
            <w:tcW w:w="1528" w:type="dxa"/>
            <w:tcBorders>
              <w:top w:val="single" w:sz="4" w:space="0" w:color="000000"/>
              <w:bottom w:val="single" w:sz="4" w:space="0" w:color="000000"/>
            </w:tcBorders>
          </w:tcPr>
          <w:p w14:paraId="51F069C1" w14:textId="77777777" w:rsidR="00630CB3" w:rsidRPr="00FA03CA" w:rsidRDefault="00630CB3" w:rsidP="004C78AE">
            <w:pPr>
              <w:spacing w:before="20" w:after="40"/>
              <w:ind w:left="23" w:right="40" w:firstLine="17"/>
              <w:rPr>
                <w:szCs w:val="20"/>
              </w:rPr>
            </w:pPr>
          </w:p>
        </w:tc>
        <w:tc>
          <w:tcPr>
            <w:tcW w:w="1642" w:type="dxa"/>
            <w:tcBorders>
              <w:top w:val="single" w:sz="4" w:space="0" w:color="000000"/>
              <w:bottom w:val="single" w:sz="4" w:space="0" w:color="000000"/>
            </w:tcBorders>
            <w:tcMar>
              <w:top w:w="0" w:type="dxa"/>
              <w:left w:w="0" w:type="dxa"/>
              <w:bottom w:w="0" w:type="dxa"/>
              <w:right w:w="0" w:type="dxa"/>
            </w:tcMar>
            <w:vAlign w:val="center"/>
          </w:tcPr>
          <w:p w14:paraId="566ED91C" w14:textId="0EFE6EE1" w:rsidR="00630CB3" w:rsidRPr="00FA03CA" w:rsidRDefault="00630CB3" w:rsidP="004C78AE">
            <w:pPr>
              <w:spacing w:before="20" w:after="40"/>
              <w:ind w:left="23" w:right="40" w:firstLine="17"/>
              <w:rPr>
                <w:szCs w:val="20"/>
              </w:rPr>
            </w:pPr>
            <w:r w:rsidRPr="00FA03CA">
              <w:rPr>
                <w:szCs w:val="20"/>
              </w:rPr>
              <w:t>habitatcla</w:t>
            </w:r>
          </w:p>
        </w:tc>
        <w:tc>
          <w:tcPr>
            <w:tcW w:w="6298" w:type="dxa"/>
            <w:tcBorders>
              <w:top w:val="single" w:sz="4" w:space="0" w:color="000000"/>
              <w:bottom w:val="single" w:sz="4" w:space="0" w:color="000000"/>
            </w:tcBorders>
            <w:tcMar>
              <w:top w:w="0" w:type="dxa"/>
              <w:left w:w="0" w:type="dxa"/>
              <w:bottom w:w="0" w:type="dxa"/>
              <w:right w:w="0" w:type="dxa"/>
            </w:tcMar>
            <w:vAlign w:val="center"/>
          </w:tcPr>
          <w:p w14:paraId="758BE188" w14:textId="77777777" w:rsidR="00630CB3" w:rsidRPr="00FA03CA" w:rsidRDefault="00630CB3" w:rsidP="004C78AE">
            <w:pPr>
              <w:spacing w:before="20" w:after="40"/>
              <w:ind w:left="23" w:right="40" w:firstLine="17"/>
              <w:rPr>
                <w:szCs w:val="20"/>
              </w:rPr>
            </w:pPr>
            <w:r w:rsidRPr="00FA03CA">
              <w:rPr>
                <w:szCs w:val="20"/>
              </w:rPr>
              <w:t>Habitat class</w:t>
            </w:r>
          </w:p>
        </w:tc>
        <w:tc>
          <w:tcPr>
            <w:tcW w:w="706" w:type="dxa"/>
            <w:tcBorders>
              <w:top w:val="single" w:sz="4" w:space="0" w:color="000000"/>
              <w:bottom w:val="single" w:sz="4" w:space="0" w:color="000000"/>
            </w:tcBorders>
            <w:tcMar>
              <w:top w:w="0" w:type="dxa"/>
              <w:left w:w="0" w:type="dxa"/>
              <w:bottom w:w="0" w:type="dxa"/>
              <w:right w:w="0" w:type="dxa"/>
            </w:tcMar>
            <w:vAlign w:val="center"/>
          </w:tcPr>
          <w:p w14:paraId="125820DC" w14:textId="77777777" w:rsidR="00630CB3" w:rsidRPr="00FA03CA" w:rsidRDefault="00630CB3" w:rsidP="004C78AE">
            <w:pPr>
              <w:spacing w:before="20" w:after="40"/>
              <w:ind w:left="23" w:right="40" w:firstLine="17"/>
              <w:rPr>
                <w:szCs w:val="20"/>
              </w:rPr>
            </w:pPr>
          </w:p>
        </w:tc>
      </w:tr>
      <w:tr w:rsidR="00630CB3" w:rsidRPr="00FA03CA" w14:paraId="7B2D8D04" w14:textId="77777777" w:rsidTr="00676A0A">
        <w:trPr>
          <w:cantSplit/>
          <w:trHeight w:val="436"/>
          <w:jc w:val="center"/>
        </w:trPr>
        <w:tc>
          <w:tcPr>
            <w:tcW w:w="929" w:type="dxa"/>
            <w:vMerge/>
            <w:tcBorders>
              <w:top w:val="single" w:sz="4" w:space="0" w:color="000000"/>
              <w:bottom w:val="single" w:sz="4" w:space="0" w:color="000000"/>
            </w:tcBorders>
            <w:tcMar>
              <w:top w:w="0" w:type="dxa"/>
              <w:left w:w="0" w:type="dxa"/>
              <w:bottom w:w="0" w:type="dxa"/>
              <w:right w:w="0" w:type="dxa"/>
            </w:tcMar>
          </w:tcPr>
          <w:p w14:paraId="1A4509F4" w14:textId="77777777" w:rsidR="00630CB3" w:rsidRPr="00FA03CA" w:rsidRDefault="00630CB3" w:rsidP="004C78AE">
            <w:pPr>
              <w:spacing w:before="100" w:after="40"/>
              <w:ind w:left="23" w:right="40" w:firstLine="17"/>
              <w:rPr>
                <w:szCs w:val="20"/>
              </w:rPr>
            </w:pPr>
          </w:p>
        </w:tc>
        <w:tc>
          <w:tcPr>
            <w:tcW w:w="1528" w:type="dxa"/>
            <w:tcBorders>
              <w:top w:val="single" w:sz="4" w:space="0" w:color="000000"/>
              <w:bottom w:val="single" w:sz="4" w:space="0" w:color="000000"/>
            </w:tcBorders>
          </w:tcPr>
          <w:p w14:paraId="59BAA397" w14:textId="77777777" w:rsidR="00630CB3" w:rsidRPr="00FA03CA" w:rsidRDefault="00630CB3" w:rsidP="004C78AE">
            <w:pPr>
              <w:spacing w:before="20" w:after="40"/>
              <w:ind w:left="23" w:right="40" w:firstLine="17"/>
              <w:rPr>
                <w:szCs w:val="20"/>
              </w:rPr>
            </w:pPr>
          </w:p>
        </w:tc>
        <w:tc>
          <w:tcPr>
            <w:tcW w:w="1642" w:type="dxa"/>
            <w:tcBorders>
              <w:top w:val="single" w:sz="4" w:space="0" w:color="000000"/>
              <w:bottom w:val="single" w:sz="4" w:space="0" w:color="000000"/>
            </w:tcBorders>
            <w:tcMar>
              <w:top w:w="0" w:type="dxa"/>
              <w:left w:w="0" w:type="dxa"/>
              <w:bottom w:w="0" w:type="dxa"/>
              <w:right w:w="0" w:type="dxa"/>
            </w:tcMar>
            <w:vAlign w:val="center"/>
          </w:tcPr>
          <w:p w14:paraId="659B849E" w14:textId="0F15FDEA" w:rsidR="00630CB3" w:rsidRPr="00FA03CA" w:rsidRDefault="00630CB3" w:rsidP="004C78AE">
            <w:pPr>
              <w:spacing w:before="20" w:after="40"/>
              <w:ind w:left="23" w:right="40" w:firstLine="17"/>
              <w:rPr>
                <w:szCs w:val="20"/>
              </w:rPr>
            </w:pPr>
            <w:r w:rsidRPr="00FA03CA">
              <w:rPr>
                <w:szCs w:val="20"/>
              </w:rPr>
              <w:t>hierarchy</w:t>
            </w:r>
          </w:p>
        </w:tc>
        <w:tc>
          <w:tcPr>
            <w:tcW w:w="6298" w:type="dxa"/>
            <w:tcBorders>
              <w:top w:val="single" w:sz="4" w:space="0" w:color="000000"/>
              <w:bottom w:val="single" w:sz="4" w:space="0" w:color="000000"/>
            </w:tcBorders>
            <w:tcMar>
              <w:top w:w="0" w:type="dxa"/>
              <w:left w:w="0" w:type="dxa"/>
              <w:bottom w:w="0" w:type="dxa"/>
              <w:right w:w="0" w:type="dxa"/>
            </w:tcMar>
            <w:vAlign w:val="center"/>
          </w:tcPr>
          <w:p w14:paraId="1A3B9D55" w14:textId="77777777" w:rsidR="00630CB3" w:rsidRPr="00FA03CA" w:rsidRDefault="00630CB3" w:rsidP="004C78AE">
            <w:pPr>
              <w:spacing w:before="20" w:after="40"/>
              <w:ind w:left="23" w:right="40" w:firstLine="17"/>
              <w:rPr>
                <w:szCs w:val="20"/>
              </w:rPr>
            </w:pPr>
            <w:r w:rsidRPr="00FA03CA">
              <w:rPr>
                <w:szCs w:val="20"/>
              </w:rPr>
              <w:t>Major or minor stream classification</w:t>
            </w:r>
          </w:p>
        </w:tc>
        <w:tc>
          <w:tcPr>
            <w:tcW w:w="706" w:type="dxa"/>
            <w:tcBorders>
              <w:top w:val="single" w:sz="4" w:space="0" w:color="000000"/>
              <w:bottom w:val="single" w:sz="4" w:space="0" w:color="000000"/>
            </w:tcBorders>
            <w:tcMar>
              <w:top w:w="0" w:type="dxa"/>
              <w:left w:w="0" w:type="dxa"/>
              <w:bottom w:w="0" w:type="dxa"/>
              <w:right w:w="0" w:type="dxa"/>
            </w:tcMar>
            <w:vAlign w:val="center"/>
          </w:tcPr>
          <w:p w14:paraId="7C0F89FC" w14:textId="77777777" w:rsidR="00630CB3" w:rsidRPr="00FA03CA" w:rsidRDefault="00630CB3" w:rsidP="004C78AE">
            <w:pPr>
              <w:spacing w:before="20" w:after="40"/>
              <w:ind w:left="23" w:right="40" w:firstLine="17"/>
              <w:rPr>
                <w:szCs w:val="20"/>
              </w:rPr>
            </w:pPr>
          </w:p>
        </w:tc>
      </w:tr>
      <w:tr w:rsidR="00630CB3" w:rsidRPr="00FA03CA" w14:paraId="2B87845E" w14:textId="77777777" w:rsidTr="00676A0A">
        <w:trPr>
          <w:cantSplit/>
          <w:trHeight w:val="436"/>
          <w:jc w:val="center"/>
        </w:trPr>
        <w:tc>
          <w:tcPr>
            <w:tcW w:w="929" w:type="dxa"/>
            <w:vMerge/>
            <w:tcBorders>
              <w:top w:val="single" w:sz="4" w:space="0" w:color="000000"/>
              <w:bottom w:val="single" w:sz="4" w:space="0" w:color="000000"/>
            </w:tcBorders>
            <w:tcMar>
              <w:top w:w="0" w:type="dxa"/>
              <w:left w:w="0" w:type="dxa"/>
              <w:bottom w:w="0" w:type="dxa"/>
              <w:right w:w="0" w:type="dxa"/>
            </w:tcMar>
          </w:tcPr>
          <w:p w14:paraId="1D87D80D" w14:textId="77777777" w:rsidR="00630CB3" w:rsidRPr="00FA03CA" w:rsidRDefault="00630CB3" w:rsidP="004C78AE">
            <w:pPr>
              <w:spacing w:before="100" w:after="40"/>
              <w:ind w:left="23" w:right="40" w:firstLine="17"/>
              <w:rPr>
                <w:szCs w:val="20"/>
              </w:rPr>
            </w:pPr>
          </w:p>
        </w:tc>
        <w:tc>
          <w:tcPr>
            <w:tcW w:w="1528" w:type="dxa"/>
            <w:tcBorders>
              <w:top w:val="single" w:sz="4" w:space="0" w:color="000000"/>
              <w:bottom w:val="single" w:sz="4" w:space="0" w:color="000000"/>
            </w:tcBorders>
          </w:tcPr>
          <w:p w14:paraId="1AB0B5AB" w14:textId="77777777" w:rsidR="00630CB3" w:rsidRPr="00FA03CA" w:rsidRDefault="00630CB3" w:rsidP="004C78AE">
            <w:pPr>
              <w:spacing w:before="20" w:after="40"/>
              <w:ind w:left="23" w:right="40" w:firstLine="17"/>
              <w:rPr>
                <w:szCs w:val="20"/>
              </w:rPr>
            </w:pPr>
          </w:p>
        </w:tc>
        <w:tc>
          <w:tcPr>
            <w:tcW w:w="1642" w:type="dxa"/>
            <w:tcBorders>
              <w:top w:val="single" w:sz="4" w:space="0" w:color="000000"/>
              <w:bottom w:val="single" w:sz="4" w:space="0" w:color="000000"/>
            </w:tcBorders>
            <w:tcMar>
              <w:top w:w="0" w:type="dxa"/>
              <w:left w:w="0" w:type="dxa"/>
              <w:bottom w:w="0" w:type="dxa"/>
              <w:right w:w="0" w:type="dxa"/>
            </w:tcMar>
            <w:vAlign w:val="center"/>
          </w:tcPr>
          <w:p w14:paraId="7F783F77" w14:textId="6822D0CA" w:rsidR="00630CB3" w:rsidRPr="00FA03CA" w:rsidRDefault="00630CB3" w:rsidP="004C78AE">
            <w:pPr>
              <w:spacing w:before="20" w:after="40"/>
              <w:ind w:left="23" w:right="40" w:firstLine="17"/>
              <w:rPr>
                <w:szCs w:val="20"/>
              </w:rPr>
            </w:pPr>
            <w:r w:rsidRPr="00FA03CA">
              <w:rPr>
                <w:szCs w:val="20"/>
              </w:rPr>
              <w:t>perennial</w:t>
            </w:r>
          </w:p>
        </w:tc>
        <w:tc>
          <w:tcPr>
            <w:tcW w:w="6298" w:type="dxa"/>
            <w:tcBorders>
              <w:top w:val="single" w:sz="4" w:space="0" w:color="000000"/>
              <w:bottom w:val="single" w:sz="4" w:space="0" w:color="000000"/>
            </w:tcBorders>
            <w:tcMar>
              <w:top w:w="0" w:type="dxa"/>
              <w:left w:w="0" w:type="dxa"/>
              <w:bottom w:w="0" w:type="dxa"/>
              <w:right w:w="0" w:type="dxa"/>
            </w:tcMar>
            <w:vAlign w:val="center"/>
          </w:tcPr>
          <w:p w14:paraId="4327A2C7" w14:textId="77777777" w:rsidR="00630CB3" w:rsidRPr="00FA03CA" w:rsidRDefault="00630CB3" w:rsidP="004C78AE">
            <w:pPr>
              <w:spacing w:before="20" w:after="40"/>
              <w:ind w:left="23" w:right="40" w:firstLine="17"/>
              <w:rPr>
                <w:szCs w:val="20"/>
              </w:rPr>
            </w:pPr>
            <w:r w:rsidRPr="00FA03CA">
              <w:rPr>
                <w:szCs w:val="20"/>
              </w:rPr>
              <w:t>ANAE permanent or temporary</w:t>
            </w:r>
          </w:p>
        </w:tc>
        <w:tc>
          <w:tcPr>
            <w:tcW w:w="706" w:type="dxa"/>
            <w:tcBorders>
              <w:top w:val="single" w:sz="4" w:space="0" w:color="000000"/>
              <w:bottom w:val="single" w:sz="4" w:space="0" w:color="000000"/>
            </w:tcBorders>
            <w:tcMar>
              <w:top w:w="0" w:type="dxa"/>
              <w:left w:w="0" w:type="dxa"/>
              <w:bottom w:w="0" w:type="dxa"/>
              <w:right w:w="0" w:type="dxa"/>
            </w:tcMar>
            <w:vAlign w:val="center"/>
          </w:tcPr>
          <w:p w14:paraId="629C9185" w14:textId="77777777" w:rsidR="00630CB3" w:rsidRPr="00FA03CA" w:rsidRDefault="00630CB3" w:rsidP="004C78AE">
            <w:pPr>
              <w:spacing w:before="20" w:after="40"/>
              <w:ind w:left="23" w:right="40" w:firstLine="17"/>
              <w:rPr>
                <w:szCs w:val="20"/>
              </w:rPr>
            </w:pPr>
          </w:p>
        </w:tc>
      </w:tr>
      <w:tr w:rsidR="00630CB3" w:rsidRPr="00FA03CA" w14:paraId="5613D90B" w14:textId="77777777" w:rsidTr="00676A0A">
        <w:trPr>
          <w:cantSplit/>
          <w:trHeight w:val="399"/>
          <w:jc w:val="center"/>
        </w:trPr>
        <w:tc>
          <w:tcPr>
            <w:tcW w:w="929" w:type="dxa"/>
            <w:vMerge w:val="restart"/>
            <w:tcBorders>
              <w:top w:val="single" w:sz="4" w:space="0" w:color="000000"/>
              <w:bottom w:val="single" w:sz="8" w:space="0" w:color="000000"/>
            </w:tcBorders>
            <w:tcMar>
              <w:top w:w="0" w:type="dxa"/>
              <w:left w:w="0" w:type="dxa"/>
              <w:bottom w:w="0" w:type="dxa"/>
              <w:right w:w="0" w:type="dxa"/>
            </w:tcMar>
          </w:tcPr>
          <w:p w14:paraId="08EDD6F4" w14:textId="77777777" w:rsidR="00630CB3" w:rsidRPr="00FA03CA" w:rsidRDefault="00630CB3" w:rsidP="004C78AE">
            <w:pPr>
              <w:spacing w:before="100" w:after="40"/>
              <w:ind w:left="23" w:right="40" w:firstLine="17"/>
              <w:rPr>
                <w:szCs w:val="20"/>
              </w:rPr>
            </w:pPr>
            <w:r w:rsidRPr="00FA03CA">
              <w:rPr>
                <w:szCs w:val="20"/>
              </w:rPr>
              <w:t>Terrain</w:t>
            </w:r>
          </w:p>
        </w:tc>
        <w:tc>
          <w:tcPr>
            <w:tcW w:w="1528" w:type="dxa"/>
            <w:tcBorders>
              <w:top w:val="single" w:sz="4" w:space="0" w:color="000000"/>
              <w:bottom w:val="single" w:sz="4" w:space="0" w:color="000000"/>
            </w:tcBorders>
          </w:tcPr>
          <w:p w14:paraId="2019C83A" w14:textId="77777777" w:rsidR="00630CB3" w:rsidRPr="00FA03CA" w:rsidRDefault="00630CB3" w:rsidP="004C78AE">
            <w:pPr>
              <w:spacing w:before="20" w:after="40"/>
              <w:ind w:left="23" w:right="40" w:firstLine="17"/>
              <w:rPr>
                <w:szCs w:val="20"/>
              </w:rPr>
            </w:pPr>
          </w:p>
        </w:tc>
        <w:tc>
          <w:tcPr>
            <w:tcW w:w="1642" w:type="dxa"/>
            <w:tcBorders>
              <w:top w:val="single" w:sz="4" w:space="0" w:color="000000"/>
              <w:bottom w:val="single" w:sz="4" w:space="0" w:color="000000"/>
            </w:tcBorders>
            <w:tcMar>
              <w:top w:w="0" w:type="dxa"/>
              <w:left w:w="0" w:type="dxa"/>
              <w:bottom w:w="0" w:type="dxa"/>
              <w:right w:w="0" w:type="dxa"/>
            </w:tcMar>
            <w:vAlign w:val="center"/>
          </w:tcPr>
          <w:p w14:paraId="275C0916" w14:textId="08362443" w:rsidR="00630CB3" w:rsidRPr="00FA03CA" w:rsidRDefault="00630CB3" w:rsidP="004C78AE">
            <w:pPr>
              <w:spacing w:before="20" w:after="40"/>
              <w:ind w:left="23" w:right="40" w:firstLine="17"/>
              <w:rPr>
                <w:szCs w:val="20"/>
              </w:rPr>
            </w:pPr>
            <w:r w:rsidRPr="00FA03CA">
              <w:rPr>
                <w:szCs w:val="20"/>
              </w:rPr>
              <w:t>catarea</w:t>
            </w:r>
          </w:p>
        </w:tc>
        <w:tc>
          <w:tcPr>
            <w:tcW w:w="6298" w:type="dxa"/>
            <w:tcBorders>
              <w:top w:val="single" w:sz="4" w:space="0" w:color="000000"/>
              <w:bottom w:val="single" w:sz="4" w:space="0" w:color="000000"/>
            </w:tcBorders>
            <w:tcMar>
              <w:top w:w="0" w:type="dxa"/>
              <w:left w:w="0" w:type="dxa"/>
              <w:bottom w:w="0" w:type="dxa"/>
              <w:right w:w="0" w:type="dxa"/>
            </w:tcMar>
            <w:vAlign w:val="center"/>
          </w:tcPr>
          <w:p w14:paraId="10D55E8C" w14:textId="77777777" w:rsidR="00630CB3" w:rsidRPr="00FA03CA" w:rsidRDefault="00630CB3" w:rsidP="004C78AE">
            <w:pPr>
              <w:spacing w:before="20" w:after="40"/>
              <w:ind w:left="23" w:right="40" w:firstLine="17"/>
              <w:rPr>
                <w:szCs w:val="20"/>
              </w:rPr>
            </w:pPr>
            <w:r w:rsidRPr="00FA03CA">
              <w:rPr>
                <w:szCs w:val="20"/>
              </w:rPr>
              <w:t>Catchment area</w:t>
            </w:r>
          </w:p>
        </w:tc>
        <w:tc>
          <w:tcPr>
            <w:tcW w:w="706" w:type="dxa"/>
            <w:tcBorders>
              <w:top w:val="single" w:sz="4" w:space="0" w:color="000000"/>
              <w:bottom w:val="single" w:sz="4" w:space="0" w:color="000000"/>
            </w:tcBorders>
            <w:tcMar>
              <w:top w:w="0" w:type="dxa"/>
              <w:left w:w="0" w:type="dxa"/>
              <w:bottom w:w="0" w:type="dxa"/>
              <w:right w:w="0" w:type="dxa"/>
            </w:tcMar>
            <w:vAlign w:val="center"/>
          </w:tcPr>
          <w:p w14:paraId="6498D442" w14:textId="77777777" w:rsidR="00630CB3" w:rsidRPr="00FA03CA" w:rsidRDefault="00630CB3" w:rsidP="004C78AE">
            <w:pPr>
              <w:spacing w:before="20" w:after="40"/>
              <w:ind w:left="23" w:right="40" w:firstLine="17"/>
              <w:rPr>
                <w:szCs w:val="20"/>
              </w:rPr>
            </w:pPr>
            <w:r w:rsidRPr="00FA03CA">
              <w:rPr>
                <w:szCs w:val="20"/>
              </w:rPr>
              <w:t>km</w:t>
            </w:r>
            <w:r w:rsidRPr="00FA03CA">
              <w:rPr>
                <w:szCs w:val="20"/>
                <w:vertAlign w:val="superscript"/>
              </w:rPr>
              <w:t>2</w:t>
            </w:r>
          </w:p>
        </w:tc>
      </w:tr>
      <w:tr w:rsidR="00630CB3" w:rsidRPr="00FA03CA" w14:paraId="08DEE491" w14:textId="77777777" w:rsidTr="00676A0A">
        <w:trPr>
          <w:cantSplit/>
          <w:trHeight w:val="397"/>
          <w:jc w:val="center"/>
        </w:trPr>
        <w:tc>
          <w:tcPr>
            <w:tcW w:w="929" w:type="dxa"/>
            <w:vMerge/>
            <w:tcBorders>
              <w:top w:val="single" w:sz="4" w:space="0" w:color="000000"/>
              <w:bottom w:val="single" w:sz="4" w:space="0" w:color="000000"/>
            </w:tcBorders>
            <w:tcMar>
              <w:top w:w="0" w:type="dxa"/>
              <w:left w:w="0" w:type="dxa"/>
              <w:bottom w:w="0" w:type="dxa"/>
              <w:right w:w="0" w:type="dxa"/>
            </w:tcMar>
          </w:tcPr>
          <w:p w14:paraId="527A5881" w14:textId="77777777" w:rsidR="00630CB3" w:rsidRPr="00FA03CA" w:rsidRDefault="00630CB3" w:rsidP="004C78AE">
            <w:pPr>
              <w:spacing w:before="40" w:after="40"/>
              <w:ind w:left="23" w:right="40" w:firstLine="17"/>
              <w:rPr>
                <w:szCs w:val="20"/>
              </w:rPr>
            </w:pPr>
          </w:p>
        </w:tc>
        <w:tc>
          <w:tcPr>
            <w:tcW w:w="1528" w:type="dxa"/>
            <w:tcBorders>
              <w:top w:val="single" w:sz="4" w:space="0" w:color="000000"/>
              <w:bottom w:val="single" w:sz="4" w:space="0" w:color="000000"/>
            </w:tcBorders>
          </w:tcPr>
          <w:p w14:paraId="16BBA4F8" w14:textId="77777777" w:rsidR="00630CB3" w:rsidRPr="00FA03CA" w:rsidRDefault="00630CB3" w:rsidP="004C78AE">
            <w:pPr>
              <w:spacing w:before="20" w:after="40"/>
              <w:ind w:left="23" w:right="40" w:firstLine="17"/>
              <w:rPr>
                <w:szCs w:val="20"/>
              </w:rPr>
            </w:pPr>
          </w:p>
        </w:tc>
        <w:tc>
          <w:tcPr>
            <w:tcW w:w="1642" w:type="dxa"/>
            <w:tcBorders>
              <w:top w:val="single" w:sz="4" w:space="0" w:color="000000"/>
              <w:bottom w:val="single" w:sz="4" w:space="0" w:color="000000"/>
            </w:tcBorders>
            <w:tcMar>
              <w:top w:w="0" w:type="dxa"/>
              <w:left w:w="0" w:type="dxa"/>
              <w:bottom w:w="0" w:type="dxa"/>
              <w:right w:w="0" w:type="dxa"/>
            </w:tcMar>
            <w:vAlign w:val="center"/>
          </w:tcPr>
          <w:p w14:paraId="3AA24114" w14:textId="18232127" w:rsidR="00630CB3" w:rsidRPr="00FA03CA" w:rsidRDefault="00630CB3" w:rsidP="004C78AE">
            <w:pPr>
              <w:spacing w:before="20" w:after="40"/>
              <w:ind w:left="23" w:right="40" w:firstLine="17"/>
              <w:rPr>
                <w:szCs w:val="20"/>
              </w:rPr>
            </w:pPr>
            <w:r w:rsidRPr="00FA03CA">
              <w:rPr>
                <w:szCs w:val="20"/>
              </w:rPr>
              <w:t>d2outlet</w:t>
            </w:r>
          </w:p>
        </w:tc>
        <w:tc>
          <w:tcPr>
            <w:tcW w:w="6298" w:type="dxa"/>
            <w:tcBorders>
              <w:top w:val="single" w:sz="4" w:space="0" w:color="000000"/>
              <w:bottom w:val="single" w:sz="4" w:space="0" w:color="000000"/>
            </w:tcBorders>
            <w:tcMar>
              <w:top w:w="0" w:type="dxa"/>
              <w:left w:w="0" w:type="dxa"/>
              <w:bottom w:w="0" w:type="dxa"/>
              <w:right w:w="0" w:type="dxa"/>
            </w:tcMar>
            <w:vAlign w:val="center"/>
          </w:tcPr>
          <w:p w14:paraId="7DA76B89" w14:textId="77777777" w:rsidR="00630CB3" w:rsidRPr="00FA03CA" w:rsidRDefault="00630CB3" w:rsidP="004C78AE">
            <w:pPr>
              <w:spacing w:before="20" w:after="40"/>
              <w:ind w:left="23" w:right="40" w:firstLine="17"/>
              <w:rPr>
                <w:szCs w:val="20"/>
              </w:rPr>
            </w:pPr>
            <w:r w:rsidRPr="00FA03CA">
              <w:rPr>
                <w:szCs w:val="20"/>
              </w:rPr>
              <w:t>Distance to outlet</w:t>
            </w:r>
          </w:p>
        </w:tc>
        <w:tc>
          <w:tcPr>
            <w:tcW w:w="706" w:type="dxa"/>
            <w:tcBorders>
              <w:top w:val="single" w:sz="4" w:space="0" w:color="000000"/>
              <w:bottom w:val="single" w:sz="4" w:space="0" w:color="000000"/>
            </w:tcBorders>
            <w:tcMar>
              <w:top w:w="0" w:type="dxa"/>
              <w:left w:w="0" w:type="dxa"/>
              <w:bottom w:w="0" w:type="dxa"/>
              <w:right w:w="0" w:type="dxa"/>
            </w:tcMar>
            <w:vAlign w:val="center"/>
          </w:tcPr>
          <w:p w14:paraId="1AD56DB8" w14:textId="77777777" w:rsidR="00630CB3" w:rsidRPr="00FA03CA" w:rsidRDefault="00630CB3" w:rsidP="004C78AE">
            <w:pPr>
              <w:spacing w:before="20" w:after="40"/>
              <w:ind w:left="23" w:right="40" w:firstLine="17"/>
              <w:rPr>
                <w:szCs w:val="20"/>
              </w:rPr>
            </w:pPr>
            <w:r w:rsidRPr="00FA03CA">
              <w:rPr>
                <w:szCs w:val="20"/>
              </w:rPr>
              <w:t>km</w:t>
            </w:r>
          </w:p>
        </w:tc>
      </w:tr>
      <w:tr w:rsidR="00630CB3" w:rsidRPr="00FA03CA" w14:paraId="27633772" w14:textId="77777777" w:rsidTr="00676A0A">
        <w:trPr>
          <w:cantSplit/>
          <w:trHeight w:val="438"/>
          <w:jc w:val="center"/>
        </w:trPr>
        <w:tc>
          <w:tcPr>
            <w:tcW w:w="929" w:type="dxa"/>
            <w:vMerge/>
            <w:tcBorders>
              <w:top w:val="single" w:sz="4" w:space="0" w:color="000000"/>
              <w:bottom w:val="single" w:sz="4" w:space="0" w:color="000000"/>
            </w:tcBorders>
            <w:tcMar>
              <w:top w:w="0" w:type="dxa"/>
              <w:left w:w="0" w:type="dxa"/>
              <w:bottom w:w="0" w:type="dxa"/>
              <w:right w:w="0" w:type="dxa"/>
            </w:tcMar>
          </w:tcPr>
          <w:p w14:paraId="69F35568" w14:textId="77777777" w:rsidR="00630CB3" w:rsidRPr="00FA03CA" w:rsidRDefault="00630CB3" w:rsidP="004C78AE">
            <w:pPr>
              <w:spacing w:before="40" w:after="40"/>
              <w:ind w:left="23" w:right="40" w:firstLine="17"/>
              <w:rPr>
                <w:szCs w:val="20"/>
              </w:rPr>
            </w:pPr>
          </w:p>
        </w:tc>
        <w:tc>
          <w:tcPr>
            <w:tcW w:w="1528" w:type="dxa"/>
            <w:tcBorders>
              <w:top w:val="single" w:sz="4" w:space="0" w:color="000000"/>
              <w:bottom w:val="single" w:sz="4" w:space="0" w:color="000000"/>
            </w:tcBorders>
          </w:tcPr>
          <w:p w14:paraId="23080219" w14:textId="77777777" w:rsidR="00630CB3" w:rsidRPr="00FA03CA" w:rsidRDefault="00630CB3" w:rsidP="004C78AE">
            <w:pPr>
              <w:spacing w:before="20" w:after="40"/>
              <w:ind w:left="23" w:right="40" w:firstLine="17"/>
              <w:rPr>
                <w:szCs w:val="20"/>
              </w:rPr>
            </w:pPr>
          </w:p>
        </w:tc>
        <w:tc>
          <w:tcPr>
            <w:tcW w:w="1642" w:type="dxa"/>
            <w:tcBorders>
              <w:top w:val="single" w:sz="4" w:space="0" w:color="000000"/>
              <w:bottom w:val="single" w:sz="4" w:space="0" w:color="000000"/>
            </w:tcBorders>
            <w:tcMar>
              <w:top w:w="0" w:type="dxa"/>
              <w:left w:w="0" w:type="dxa"/>
              <w:bottom w:w="0" w:type="dxa"/>
              <w:right w:w="0" w:type="dxa"/>
            </w:tcMar>
            <w:vAlign w:val="center"/>
          </w:tcPr>
          <w:p w14:paraId="3720629B" w14:textId="37B482BB" w:rsidR="00630CB3" w:rsidRPr="00FA03CA" w:rsidRDefault="00630CB3" w:rsidP="004C78AE">
            <w:pPr>
              <w:spacing w:before="20" w:after="40"/>
              <w:ind w:left="23" w:right="40" w:firstLine="17"/>
              <w:rPr>
                <w:szCs w:val="20"/>
              </w:rPr>
            </w:pPr>
            <w:r w:rsidRPr="00FA03CA">
              <w:rPr>
                <w:szCs w:val="20"/>
              </w:rPr>
              <w:t>downavgslp</w:t>
            </w:r>
          </w:p>
        </w:tc>
        <w:tc>
          <w:tcPr>
            <w:tcW w:w="6298" w:type="dxa"/>
            <w:tcBorders>
              <w:top w:val="single" w:sz="4" w:space="0" w:color="000000"/>
              <w:bottom w:val="single" w:sz="4" w:space="0" w:color="000000"/>
            </w:tcBorders>
            <w:tcMar>
              <w:top w:w="0" w:type="dxa"/>
              <w:left w:w="0" w:type="dxa"/>
              <w:bottom w:w="0" w:type="dxa"/>
              <w:right w:w="0" w:type="dxa"/>
            </w:tcMar>
            <w:vAlign w:val="center"/>
          </w:tcPr>
          <w:p w14:paraId="70739665" w14:textId="77777777" w:rsidR="00630CB3" w:rsidRPr="00FA03CA" w:rsidRDefault="00630CB3" w:rsidP="004C78AE">
            <w:pPr>
              <w:spacing w:before="20" w:after="40"/>
              <w:ind w:left="23" w:right="40" w:firstLine="17"/>
              <w:rPr>
                <w:szCs w:val="20"/>
              </w:rPr>
            </w:pPr>
            <w:r w:rsidRPr="00FA03CA">
              <w:rPr>
                <w:szCs w:val="20"/>
              </w:rPr>
              <w:t>Average slope of downstream flow path</w:t>
            </w:r>
          </w:p>
        </w:tc>
        <w:tc>
          <w:tcPr>
            <w:tcW w:w="706" w:type="dxa"/>
            <w:tcBorders>
              <w:top w:val="single" w:sz="4" w:space="0" w:color="000000"/>
              <w:bottom w:val="single" w:sz="4" w:space="0" w:color="000000"/>
            </w:tcBorders>
            <w:tcMar>
              <w:top w:w="0" w:type="dxa"/>
              <w:left w:w="0" w:type="dxa"/>
              <w:bottom w:w="0" w:type="dxa"/>
              <w:right w:w="0" w:type="dxa"/>
            </w:tcMar>
            <w:vAlign w:val="center"/>
          </w:tcPr>
          <w:p w14:paraId="1D5D827A" w14:textId="77777777" w:rsidR="00630CB3" w:rsidRPr="00FA03CA" w:rsidRDefault="00630CB3" w:rsidP="004C78AE">
            <w:pPr>
              <w:spacing w:before="20" w:after="40"/>
              <w:ind w:left="23" w:right="40" w:firstLine="17"/>
              <w:rPr>
                <w:szCs w:val="20"/>
              </w:rPr>
            </w:pPr>
            <w:r w:rsidRPr="00FA03CA">
              <w:rPr>
                <w:szCs w:val="20"/>
              </w:rPr>
              <w:t>%</w:t>
            </w:r>
          </w:p>
        </w:tc>
      </w:tr>
      <w:tr w:rsidR="00630CB3" w:rsidRPr="00FA03CA" w14:paraId="452852CE" w14:textId="77777777" w:rsidTr="00676A0A">
        <w:trPr>
          <w:cantSplit/>
          <w:trHeight w:val="399"/>
          <w:jc w:val="center"/>
        </w:trPr>
        <w:tc>
          <w:tcPr>
            <w:tcW w:w="929" w:type="dxa"/>
            <w:vMerge/>
            <w:tcBorders>
              <w:top w:val="single" w:sz="4" w:space="0" w:color="000000"/>
              <w:bottom w:val="single" w:sz="4" w:space="0" w:color="000000"/>
            </w:tcBorders>
            <w:tcMar>
              <w:top w:w="0" w:type="dxa"/>
              <w:left w:w="0" w:type="dxa"/>
              <w:bottom w:w="0" w:type="dxa"/>
              <w:right w:w="0" w:type="dxa"/>
            </w:tcMar>
          </w:tcPr>
          <w:p w14:paraId="2452E1F0" w14:textId="77777777" w:rsidR="00630CB3" w:rsidRPr="00FA03CA" w:rsidRDefault="00630CB3" w:rsidP="004C78AE">
            <w:pPr>
              <w:spacing w:before="40" w:after="40"/>
              <w:ind w:left="23" w:right="40" w:firstLine="17"/>
              <w:rPr>
                <w:szCs w:val="20"/>
              </w:rPr>
            </w:pPr>
          </w:p>
        </w:tc>
        <w:tc>
          <w:tcPr>
            <w:tcW w:w="1528" w:type="dxa"/>
            <w:tcBorders>
              <w:top w:val="single" w:sz="4" w:space="0" w:color="000000"/>
              <w:bottom w:val="single" w:sz="4" w:space="0" w:color="000000"/>
            </w:tcBorders>
          </w:tcPr>
          <w:p w14:paraId="4C0741E3" w14:textId="77777777" w:rsidR="00630CB3" w:rsidRPr="00FA03CA" w:rsidRDefault="00630CB3" w:rsidP="004C78AE">
            <w:pPr>
              <w:spacing w:before="20" w:after="40"/>
              <w:ind w:left="23" w:right="40" w:firstLine="17"/>
              <w:rPr>
                <w:szCs w:val="20"/>
              </w:rPr>
            </w:pPr>
          </w:p>
        </w:tc>
        <w:tc>
          <w:tcPr>
            <w:tcW w:w="1642" w:type="dxa"/>
            <w:tcBorders>
              <w:top w:val="single" w:sz="4" w:space="0" w:color="000000"/>
              <w:bottom w:val="single" w:sz="4" w:space="0" w:color="000000"/>
            </w:tcBorders>
            <w:tcMar>
              <w:top w:w="0" w:type="dxa"/>
              <w:left w:w="0" w:type="dxa"/>
              <w:bottom w:w="0" w:type="dxa"/>
              <w:right w:w="0" w:type="dxa"/>
            </w:tcMar>
            <w:vAlign w:val="center"/>
          </w:tcPr>
          <w:p w14:paraId="1AB27FA5" w14:textId="05453B79" w:rsidR="00630CB3" w:rsidRPr="00FA03CA" w:rsidRDefault="00630CB3" w:rsidP="004C78AE">
            <w:pPr>
              <w:spacing w:before="20" w:after="40"/>
              <w:ind w:left="23" w:right="40" w:firstLine="17"/>
              <w:rPr>
                <w:szCs w:val="20"/>
              </w:rPr>
            </w:pPr>
            <w:r w:rsidRPr="00FA03CA">
              <w:rPr>
                <w:szCs w:val="20"/>
              </w:rPr>
              <w:t>strahler</w:t>
            </w:r>
          </w:p>
        </w:tc>
        <w:tc>
          <w:tcPr>
            <w:tcW w:w="6298" w:type="dxa"/>
            <w:tcBorders>
              <w:top w:val="single" w:sz="4" w:space="0" w:color="000000"/>
              <w:bottom w:val="single" w:sz="4" w:space="0" w:color="000000"/>
            </w:tcBorders>
            <w:tcMar>
              <w:top w:w="0" w:type="dxa"/>
              <w:left w:w="0" w:type="dxa"/>
              <w:bottom w:w="0" w:type="dxa"/>
              <w:right w:w="0" w:type="dxa"/>
            </w:tcMar>
            <w:vAlign w:val="center"/>
          </w:tcPr>
          <w:p w14:paraId="4CD78D0B" w14:textId="77777777" w:rsidR="00630CB3" w:rsidRPr="00FA03CA" w:rsidRDefault="00630CB3" w:rsidP="004C78AE">
            <w:pPr>
              <w:spacing w:before="20" w:after="40"/>
              <w:ind w:left="23" w:right="40" w:firstLine="17"/>
              <w:rPr>
                <w:szCs w:val="20"/>
              </w:rPr>
            </w:pPr>
            <w:r w:rsidRPr="00FA03CA">
              <w:rPr>
                <w:szCs w:val="20"/>
              </w:rPr>
              <w:t>Strahler stream order</w:t>
            </w:r>
          </w:p>
        </w:tc>
        <w:tc>
          <w:tcPr>
            <w:tcW w:w="706" w:type="dxa"/>
            <w:tcBorders>
              <w:top w:val="single" w:sz="4" w:space="0" w:color="000000"/>
              <w:bottom w:val="single" w:sz="4" w:space="0" w:color="000000"/>
            </w:tcBorders>
            <w:tcMar>
              <w:top w:w="0" w:type="dxa"/>
              <w:left w:w="0" w:type="dxa"/>
              <w:bottom w:w="0" w:type="dxa"/>
              <w:right w:w="0" w:type="dxa"/>
            </w:tcMar>
            <w:vAlign w:val="center"/>
          </w:tcPr>
          <w:p w14:paraId="044AD05E" w14:textId="77777777" w:rsidR="00630CB3" w:rsidRPr="00FA03CA" w:rsidRDefault="00630CB3" w:rsidP="004C78AE">
            <w:pPr>
              <w:spacing w:before="20" w:after="40"/>
              <w:ind w:left="23" w:right="40" w:firstLine="17"/>
              <w:rPr>
                <w:szCs w:val="20"/>
              </w:rPr>
            </w:pPr>
          </w:p>
        </w:tc>
      </w:tr>
      <w:tr w:rsidR="00630CB3" w:rsidRPr="00FA03CA" w14:paraId="53EEA5A5" w14:textId="77777777" w:rsidTr="00676A0A">
        <w:trPr>
          <w:cantSplit/>
          <w:trHeight w:val="436"/>
          <w:jc w:val="center"/>
        </w:trPr>
        <w:tc>
          <w:tcPr>
            <w:tcW w:w="929" w:type="dxa"/>
            <w:vMerge/>
            <w:tcBorders>
              <w:top w:val="single" w:sz="4" w:space="0" w:color="000000"/>
              <w:bottom w:val="single" w:sz="4" w:space="0" w:color="000000"/>
            </w:tcBorders>
            <w:tcMar>
              <w:top w:w="0" w:type="dxa"/>
              <w:left w:w="0" w:type="dxa"/>
              <w:bottom w:w="0" w:type="dxa"/>
              <w:right w:w="0" w:type="dxa"/>
            </w:tcMar>
          </w:tcPr>
          <w:p w14:paraId="36FD8C91" w14:textId="77777777" w:rsidR="00630CB3" w:rsidRPr="00FA03CA" w:rsidRDefault="00630CB3" w:rsidP="004C78AE">
            <w:pPr>
              <w:spacing w:before="40" w:after="40"/>
              <w:ind w:left="23" w:right="40" w:firstLine="17"/>
              <w:rPr>
                <w:szCs w:val="20"/>
              </w:rPr>
            </w:pPr>
          </w:p>
        </w:tc>
        <w:tc>
          <w:tcPr>
            <w:tcW w:w="1528" w:type="dxa"/>
            <w:tcBorders>
              <w:top w:val="single" w:sz="4" w:space="0" w:color="000000"/>
              <w:bottom w:val="single" w:sz="4" w:space="0" w:color="000000"/>
            </w:tcBorders>
          </w:tcPr>
          <w:p w14:paraId="79862ABE" w14:textId="77777777" w:rsidR="00630CB3" w:rsidRPr="00FA03CA" w:rsidRDefault="00630CB3" w:rsidP="004C78AE">
            <w:pPr>
              <w:spacing w:before="20" w:after="40"/>
              <w:ind w:left="23" w:right="40" w:firstLine="17"/>
              <w:rPr>
                <w:szCs w:val="20"/>
              </w:rPr>
            </w:pPr>
          </w:p>
        </w:tc>
        <w:tc>
          <w:tcPr>
            <w:tcW w:w="1642" w:type="dxa"/>
            <w:tcBorders>
              <w:top w:val="single" w:sz="4" w:space="0" w:color="000000"/>
              <w:bottom w:val="single" w:sz="4" w:space="0" w:color="000000"/>
            </w:tcBorders>
            <w:tcMar>
              <w:top w:w="0" w:type="dxa"/>
              <w:left w:w="0" w:type="dxa"/>
              <w:bottom w:w="0" w:type="dxa"/>
              <w:right w:w="0" w:type="dxa"/>
            </w:tcMar>
            <w:vAlign w:val="center"/>
          </w:tcPr>
          <w:p w14:paraId="38066773" w14:textId="4D776C65" w:rsidR="00630CB3" w:rsidRPr="00FA03CA" w:rsidRDefault="00630CB3" w:rsidP="004C78AE">
            <w:pPr>
              <w:spacing w:before="20" w:after="40"/>
              <w:ind w:left="23" w:right="40" w:firstLine="17"/>
              <w:rPr>
                <w:szCs w:val="20"/>
              </w:rPr>
            </w:pPr>
            <w:r w:rsidRPr="00FA03CA">
              <w:rPr>
                <w:szCs w:val="20"/>
              </w:rPr>
              <w:t>strelemean</w:t>
            </w:r>
          </w:p>
        </w:tc>
        <w:tc>
          <w:tcPr>
            <w:tcW w:w="6298" w:type="dxa"/>
            <w:tcBorders>
              <w:top w:val="single" w:sz="4" w:space="0" w:color="000000"/>
              <w:bottom w:val="single" w:sz="4" w:space="0" w:color="000000"/>
            </w:tcBorders>
            <w:tcMar>
              <w:top w:w="0" w:type="dxa"/>
              <w:left w:w="0" w:type="dxa"/>
              <w:bottom w:w="0" w:type="dxa"/>
              <w:right w:w="0" w:type="dxa"/>
            </w:tcMar>
            <w:vAlign w:val="center"/>
          </w:tcPr>
          <w:p w14:paraId="68BB7945" w14:textId="77777777" w:rsidR="00630CB3" w:rsidRPr="00FA03CA" w:rsidRDefault="00630CB3" w:rsidP="004C78AE">
            <w:pPr>
              <w:spacing w:before="20" w:after="40"/>
              <w:ind w:left="23" w:right="40" w:firstLine="17"/>
              <w:rPr>
                <w:szCs w:val="20"/>
              </w:rPr>
            </w:pPr>
            <w:r w:rsidRPr="00FA03CA">
              <w:rPr>
                <w:szCs w:val="20"/>
              </w:rPr>
              <w:t>Mean segment elevation</w:t>
            </w:r>
          </w:p>
        </w:tc>
        <w:tc>
          <w:tcPr>
            <w:tcW w:w="706" w:type="dxa"/>
            <w:tcBorders>
              <w:top w:val="single" w:sz="4" w:space="0" w:color="000000"/>
              <w:bottom w:val="single" w:sz="4" w:space="0" w:color="000000"/>
            </w:tcBorders>
            <w:tcMar>
              <w:top w:w="0" w:type="dxa"/>
              <w:left w:w="0" w:type="dxa"/>
              <w:bottom w:w="0" w:type="dxa"/>
              <w:right w:w="0" w:type="dxa"/>
            </w:tcMar>
            <w:vAlign w:val="center"/>
          </w:tcPr>
          <w:p w14:paraId="7B284BBE" w14:textId="77777777" w:rsidR="00630CB3" w:rsidRPr="00FA03CA" w:rsidRDefault="00630CB3" w:rsidP="004C78AE">
            <w:pPr>
              <w:spacing w:before="20" w:after="40"/>
              <w:ind w:left="23" w:right="40" w:firstLine="17"/>
              <w:rPr>
                <w:szCs w:val="20"/>
              </w:rPr>
            </w:pPr>
            <w:r w:rsidRPr="00FA03CA">
              <w:rPr>
                <w:szCs w:val="20"/>
              </w:rPr>
              <w:t>m</w:t>
            </w:r>
          </w:p>
        </w:tc>
      </w:tr>
      <w:tr w:rsidR="00630CB3" w:rsidRPr="00FA03CA" w14:paraId="35A32146" w14:textId="77777777" w:rsidTr="00676A0A">
        <w:trPr>
          <w:cantSplit/>
          <w:trHeight w:val="399"/>
          <w:jc w:val="center"/>
        </w:trPr>
        <w:tc>
          <w:tcPr>
            <w:tcW w:w="929" w:type="dxa"/>
            <w:vMerge/>
            <w:tcBorders>
              <w:top w:val="single" w:sz="4" w:space="0" w:color="000000"/>
              <w:bottom w:val="single" w:sz="4" w:space="0" w:color="000000"/>
            </w:tcBorders>
            <w:tcMar>
              <w:top w:w="0" w:type="dxa"/>
              <w:left w:w="0" w:type="dxa"/>
              <w:bottom w:w="0" w:type="dxa"/>
              <w:right w:w="0" w:type="dxa"/>
            </w:tcMar>
          </w:tcPr>
          <w:p w14:paraId="05557AE5" w14:textId="77777777" w:rsidR="00630CB3" w:rsidRPr="00FA03CA" w:rsidRDefault="00630CB3" w:rsidP="004C78AE">
            <w:pPr>
              <w:spacing w:before="40" w:after="40"/>
              <w:ind w:left="23" w:right="40" w:firstLine="17"/>
              <w:rPr>
                <w:szCs w:val="20"/>
              </w:rPr>
            </w:pPr>
          </w:p>
        </w:tc>
        <w:tc>
          <w:tcPr>
            <w:tcW w:w="1528" w:type="dxa"/>
            <w:tcBorders>
              <w:top w:val="single" w:sz="4" w:space="0" w:color="000000"/>
              <w:bottom w:val="single" w:sz="4" w:space="0" w:color="000000"/>
            </w:tcBorders>
          </w:tcPr>
          <w:p w14:paraId="6ACF3BEC" w14:textId="77777777" w:rsidR="00630CB3" w:rsidRPr="00FA03CA" w:rsidRDefault="00630CB3" w:rsidP="004C78AE">
            <w:pPr>
              <w:spacing w:before="20" w:after="40"/>
              <w:ind w:left="23" w:right="40" w:firstLine="17"/>
              <w:rPr>
                <w:szCs w:val="20"/>
              </w:rPr>
            </w:pPr>
          </w:p>
        </w:tc>
        <w:tc>
          <w:tcPr>
            <w:tcW w:w="1642" w:type="dxa"/>
            <w:tcBorders>
              <w:top w:val="single" w:sz="4" w:space="0" w:color="000000"/>
              <w:bottom w:val="single" w:sz="4" w:space="0" w:color="000000"/>
            </w:tcBorders>
            <w:tcMar>
              <w:top w:w="0" w:type="dxa"/>
              <w:left w:w="0" w:type="dxa"/>
              <w:bottom w:w="0" w:type="dxa"/>
              <w:right w:w="0" w:type="dxa"/>
            </w:tcMar>
            <w:vAlign w:val="center"/>
          </w:tcPr>
          <w:p w14:paraId="3B584F66" w14:textId="2B22A2E0" w:rsidR="00630CB3" w:rsidRPr="00FA03CA" w:rsidRDefault="00630CB3" w:rsidP="004C78AE">
            <w:pPr>
              <w:spacing w:before="20" w:after="40"/>
              <w:ind w:left="23" w:right="40" w:firstLine="17"/>
              <w:rPr>
                <w:szCs w:val="20"/>
              </w:rPr>
            </w:pPr>
            <w:r w:rsidRPr="00FA03CA">
              <w:rPr>
                <w:szCs w:val="20"/>
              </w:rPr>
              <w:t>subarea</w:t>
            </w:r>
          </w:p>
        </w:tc>
        <w:tc>
          <w:tcPr>
            <w:tcW w:w="6298" w:type="dxa"/>
            <w:tcBorders>
              <w:top w:val="single" w:sz="4" w:space="0" w:color="000000"/>
              <w:bottom w:val="single" w:sz="4" w:space="0" w:color="000000"/>
            </w:tcBorders>
            <w:tcMar>
              <w:top w:w="0" w:type="dxa"/>
              <w:left w:w="0" w:type="dxa"/>
              <w:bottom w:w="0" w:type="dxa"/>
              <w:right w:w="0" w:type="dxa"/>
            </w:tcMar>
            <w:vAlign w:val="center"/>
          </w:tcPr>
          <w:p w14:paraId="45EADC56" w14:textId="77777777" w:rsidR="00630CB3" w:rsidRPr="00FA03CA" w:rsidRDefault="00630CB3" w:rsidP="004C78AE">
            <w:pPr>
              <w:spacing w:before="20" w:after="40"/>
              <w:ind w:left="23" w:right="40" w:firstLine="17"/>
              <w:rPr>
                <w:szCs w:val="20"/>
              </w:rPr>
            </w:pPr>
            <w:r w:rsidRPr="00FA03CA">
              <w:rPr>
                <w:szCs w:val="20"/>
              </w:rPr>
              <w:t>Sub-catchment area</w:t>
            </w:r>
          </w:p>
        </w:tc>
        <w:tc>
          <w:tcPr>
            <w:tcW w:w="706" w:type="dxa"/>
            <w:tcBorders>
              <w:top w:val="single" w:sz="4" w:space="0" w:color="000000"/>
              <w:bottom w:val="single" w:sz="4" w:space="0" w:color="000000"/>
            </w:tcBorders>
            <w:tcMar>
              <w:top w:w="0" w:type="dxa"/>
              <w:left w:w="0" w:type="dxa"/>
              <w:bottom w:w="0" w:type="dxa"/>
              <w:right w:w="0" w:type="dxa"/>
            </w:tcMar>
            <w:vAlign w:val="center"/>
          </w:tcPr>
          <w:p w14:paraId="5E13B8BD" w14:textId="77777777" w:rsidR="00630CB3" w:rsidRPr="00FA03CA" w:rsidRDefault="00630CB3" w:rsidP="004C78AE">
            <w:pPr>
              <w:spacing w:before="20" w:after="40"/>
              <w:ind w:left="23" w:right="40" w:firstLine="17"/>
              <w:rPr>
                <w:szCs w:val="20"/>
              </w:rPr>
            </w:pPr>
            <w:r w:rsidRPr="00FA03CA">
              <w:rPr>
                <w:szCs w:val="20"/>
              </w:rPr>
              <w:t>km</w:t>
            </w:r>
            <w:r w:rsidRPr="00FA03CA">
              <w:rPr>
                <w:szCs w:val="20"/>
                <w:vertAlign w:val="superscript"/>
              </w:rPr>
              <w:t>2</w:t>
            </w:r>
          </w:p>
        </w:tc>
      </w:tr>
      <w:tr w:rsidR="00630CB3" w:rsidRPr="00FA03CA" w14:paraId="64F97B93" w14:textId="77777777" w:rsidTr="00676A0A">
        <w:trPr>
          <w:cantSplit/>
          <w:trHeight w:val="433"/>
          <w:jc w:val="center"/>
        </w:trPr>
        <w:tc>
          <w:tcPr>
            <w:tcW w:w="929" w:type="dxa"/>
            <w:vMerge/>
            <w:tcBorders>
              <w:top w:val="single" w:sz="4" w:space="0" w:color="000000"/>
              <w:bottom w:val="single" w:sz="4" w:space="0" w:color="000000"/>
            </w:tcBorders>
            <w:tcMar>
              <w:top w:w="0" w:type="dxa"/>
              <w:left w:w="0" w:type="dxa"/>
              <w:bottom w:w="0" w:type="dxa"/>
              <w:right w:w="0" w:type="dxa"/>
            </w:tcMar>
          </w:tcPr>
          <w:p w14:paraId="4E404283" w14:textId="77777777" w:rsidR="00630CB3" w:rsidRPr="00FA03CA" w:rsidRDefault="00630CB3" w:rsidP="004C78AE">
            <w:pPr>
              <w:spacing w:before="40" w:after="40"/>
              <w:ind w:left="23" w:right="40" w:firstLine="17"/>
              <w:rPr>
                <w:szCs w:val="20"/>
              </w:rPr>
            </w:pPr>
          </w:p>
        </w:tc>
        <w:tc>
          <w:tcPr>
            <w:tcW w:w="1528" w:type="dxa"/>
            <w:tcBorders>
              <w:top w:val="single" w:sz="4" w:space="0" w:color="000000"/>
              <w:bottom w:val="single" w:sz="4" w:space="0" w:color="000000"/>
            </w:tcBorders>
          </w:tcPr>
          <w:p w14:paraId="059935C5" w14:textId="77777777" w:rsidR="00630CB3" w:rsidRPr="00FA03CA" w:rsidRDefault="00630CB3" w:rsidP="004C78AE">
            <w:pPr>
              <w:spacing w:before="20" w:after="40"/>
              <w:ind w:left="23" w:right="40" w:firstLine="17"/>
              <w:rPr>
                <w:szCs w:val="20"/>
              </w:rPr>
            </w:pPr>
          </w:p>
        </w:tc>
        <w:tc>
          <w:tcPr>
            <w:tcW w:w="1642" w:type="dxa"/>
            <w:tcBorders>
              <w:top w:val="single" w:sz="4" w:space="0" w:color="000000"/>
              <w:bottom w:val="single" w:sz="4" w:space="0" w:color="000000"/>
            </w:tcBorders>
            <w:tcMar>
              <w:top w:w="0" w:type="dxa"/>
              <w:left w:w="0" w:type="dxa"/>
              <w:bottom w:w="0" w:type="dxa"/>
              <w:right w:w="0" w:type="dxa"/>
            </w:tcMar>
            <w:vAlign w:val="center"/>
          </w:tcPr>
          <w:p w14:paraId="12446B64" w14:textId="2B3AB0B1" w:rsidR="00630CB3" w:rsidRPr="00FA03CA" w:rsidRDefault="00630CB3" w:rsidP="004C78AE">
            <w:pPr>
              <w:spacing w:before="20" w:after="40"/>
              <w:ind w:left="23" w:right="40" w:firstLine="17"/>
              <w:rPr>
                <w:szCs w:val="20"/>
              </w:rPr>
            </w:pPr>
            <w:r w:rsidRPr="00FA03CA">
              <w:rPr>
                <w:szCs w:val="20"/>
              </w:rPr>
              <w:t>upsdist</w:t>
            </w:r>
          </w:p>
        </w:tc>
        <w:tc>
          <w:tcPr>
            <w:tcW w:w="6298" w:type="dxa"/>
            <w:tcBorders>
              <w:top w:val="single" w:sz="4" w:space="0" w:color="000000"/>
              <w:bottom w:val="single" w:sz="4" w:space="0" w:color="000000"/>
            </w:tcBorders>
            <w:tcMar>
              <w:top w:w="0" w:type="dxa"/>
              <w:left w:w="0" w:type="dxa"/>
              <w:bottom w:w="0" w:type="dxa"/>
              <w:right w:w="0" w:type="dxa"/>
            </w:tcMar>
            <w:vAlign w:val="center"/>
          </w:tcPr>
          <w:p w14:paraId="65D89FF6" w14:textId="77777777" w:rsidR="00630CB3" w:rsidRPr="00FA03CA" w:rsidRDefault="00630CB3" w:rsidP="004C78AE">
            <w:pPr>
              <w:spacing w:before="20" w:after="40"/>
              <w:ind w:left="23" w:right="40" w:firstLine="17"/>
              <w:rPr>
                <w:szCs w:val="20"/>
              </w:rPr>
            </w:pPr>
            <w:r w:rsidRPr="00FA03CA">
              <w:rPr>
                <w:szCs w:val="20"/>
              </w:rPr>
              <w:t>Distance to source</w:t>
            </w:r>
          </w:p>
        </w:tc>
        <w:tc>
          <w:tcPr>
            <w:tcW w:w="706" w:type="dxa"/>
            <w:tcBorders>
              <w:top w:val="single" w:sz="4" w:space="0" w:color="000000"/>
              <w:bottom w:val="single" w:sz="4" w:space="0" w:color="000000"/>
            </w:tcBorders>
            <w:tcMar>
              <w:top w:w="0" w:type="dxa"/>
              <w:left w:w="0" w:type="dxa"/>
              <w:bottom w:w="0" w:type="dxa"/>
              <w:right w:w="0" w:type="dxa"/>
            </w:tcMar>
            <w:vAlign w:val="center"/>
          </w:tcPr>
          <w:p w14:paraId="427D88E4" w14:textId="77777777" w:rsidR="00630CB3" w:rsidRPr="00FA03CA" w:rsidRDefault="00630CB3" w:rsidP="004C78AE">
            <w:pPr>
              <w:spacing w:before="20" w:after="40"/>
              <w:ind w:left="23" w:right="40" w:firstLine="17"/>
              <w:rPr>
                <w:szCs w:val="20"/>
              </w:rPr>
            </w:pPr>
            <w:r w:rsidRPr="00FA03CA">
              <w:rPr>
                <w:szCs w:val="20"/>
              </w:rPr>
              <w:t>km</w:t>
            </w:r>
          </w:p>
        </w:tc>
      </w:tr>
      <w:tr w:rsidR="00630CB3" w:rsidRPr="00FA03CA" w14:paraId="12CB25B3" w14:textId="77777777" w:rsidTr="00676A0A">
        <w:trPr>
          <w:cantSplit/>
          <w:trHeight w:val="438"/>
          <w:jc w:val="center"/>
        </w:trPr>
        <w:tc>
          <w:tcPr>
            <w:tcW w:w="929" w:type="dxa"/>
            <w:vMerge/>
            <w:tcBorders>
              <w:bottom w:val="single" w:sz="8" w:space="0" w:color="000000"/>
            </w:tcBorders>
            <w:tcMar>
              <w:top w:w="0" w:type="dxa"/>
              <w:left w:w="0" w:type="dxa"/>
              <w:bottom w:w="0" w:type="dxa"/>
              <w:right w:w="0" w:type="dxa"/>
            </w:tcMar>
          </w:tcPr>
          <w:p w14:paraId="5206B40E" w14:textId="77777777" w:rsidR="00630CB3" w:rsidRPr="00FA03CA" w:rsidRDefault="00630CB3" w:rsidP="004C78AE">
            <w:pPr>
              <w:spacing w:before="40" w:after="40"/>
              <w:ind w:left="23" w:right="40" w:firstLine="17"/>
              <w:rPr>
                <w:szCs w:val="20"/>
              </w:rPr>
            </w:pPr>
          </w:p>
        </w:tc>
        <w:tc>
          <w:tcPr>
            <w:tcW w:w="1528" w:type="dxa"/>
            <w:tcBorders>
              <w:bottom w:val="single" w:sz="8" w:space="0" w:color="000000"/>
            </w:tcBorders>
          </w:tcPr>
          <w:p w14:paraId="496973A0" w14:textId="77777777" w:rsidR="00630CB3" w:rsidRPr="00FA03CA" w:rsidRDefault="00630CB3" w:rsidP="004C78AE">
            <w:pPr>
              <w:spacing w:before="20" w:after="40"/>
              <w:ind w:left="23" w:right="40" w:firstLine="17"/>
              <w:rPr>
                <w:szCs w:val="20"/>
              </w:rPr>
            </w:pPr>
          </w:p>
        </w:tc>
        <w:tc>
          <w:tcPr>
            <w:tcW w:w="1642" w:type="dxa"/>
            <w:tcBorders>
              <w:bottom w:val="single" w:sz="8" w:space="0" w:color="000000"/>
            </w:tcBorders>
            <w:tcMar>
              <w:top w:w="0" w:type="dxa"/>
              <w:left w:w="0" w:type="dxa"/>
              <w:bottom w:w="0" w:type="dxa"/>
              <w:right w:w="0" w:type="dxa"/>
            </w:tcMar>
            <w:vAlign w:val="center"/>
          </w:tcPr>
          <w:p w14:paraId="66366E60" w14:textId="61B07445" w:rsidR="00630CB3" w:rsidRPr="00FA03CA" w:rsidRDefault="00630CB3" w:rsidP="004C78AE">
            <w:pPr>
              <w:spacing w:before="20" w:after="40"/>
              <w:ind w:left="23" w:right="40" w:firstLine="17"/>
              <w:rPr>
                <w:szCs w:val="20"/>
              </w:rPr>
            </w:pPr>
            <w:r w:rsidRPr="00FA03CA">
              <w:rPr>
                <w:szCs w:val="20"/>
              </w:rPr>
              <w:t>valleyslope</w:t>
            </w:r>
          </w:p>
        </w:tc>
        <w:tc>
          <w:tcPr>
            <w:tcW w:w="6298" w:type="dxa"/>
            <w:tcBorders>
              <w:bottom w:val="single" w:sz="8" w:space="0" w:color="000000"/>
            </w:tcBorders>
            <w:tcMar>
              <w:top w:w="0" w:type="dxa"/>
              <w:left w:w="0" w:type="dxa"/>
              <w:bottom w:w="0" w:type="dxa"/>
              <w:right w:w="0" w:type="dxa"/>
            </w:tcMar>
            <w:vAlign w:val="center"/>
          </w:tcPr>
          <w:p w14:paraId="51354B4A" w14:textId="77777777" w:rsidR="00630CB3" w:rsidRPr="00FA03CA" w:rsidRDefault="00630CB3" w:rsidP="004C78AE">
            <w:pPr>
              <w:spacing w:before="20" w:after="40"/>
              <w:ind w:left="23" w:right="40" w:firstLine="17"/>
              <w:rPr>
                <w:szCs w:val="20"/>
              </w:rPr>
            </w:pPr>
            <w:r w:rsidRPr="00FA03CA">
              <w:rPr>
                <w:szCs w:val="20"/>
              </w:rPr>
              <w:t>Stream segment slope</w:t>
            </w:r>
          </w:p>
        </w:tc>
        <w:tc>
          <w:tcPr>
            <w:tcW w:w="706" w:type="dxa"/>
            <w:tcBorders>
              <w:bottom w:val="single" w:sz="8" w:space="0" w:color="000000"/>
            </w:tcBorders>
            <w:tcMar>
              <w:top w:w="0" w:type="dxa"/>
              <w:left w:w="0" w:type="dxa"/>
              <w:bottom w:w="0" w:type="dxa"/>
              <w:right w:w="0" w:type="dxa"/>
            </w:tcMar>
            <w:vAlign w:val="center"/>
          </w:tcPr>
          <w:p w14:paraId="04963DBD" w14:textId="77777777" w:rsidR="00630CB3" w:rsidRPr="00FA03CA" w:rsidRDefault="00630CB3" w:rsidP="004C78AE">
            <w:pPr>
              <w:spacing w:before="20" w:after="40"/>
              <w:ind w:left="23" w:right="40" w:firstLine="17"/>
              <w:rPr>
                <w:szCs w:val="20"/>
              </w:rPr>
            </w:pPr>
            <w:r w:rsidRPr="00FA03CA">
              <w:rPr>
                <w:szCs w:val="20"/>
              </w:rPr>
              <w:t>%</w:t>
            </w:r>
          </w:p>
        </w:tc>
      </w:tr>
    </w:tbl>
    <w:p w14:paraId="1671F3AF" w14:textId="77777777" w:rsidR="00630CB3" w:rsidRPr="00FA03CA" w:rsidRDefault="00630CB3" w:rsidP="00630CB3">
      <w:pPr>
        <w:pStyle w:val="FirstParagraph"/>
        <w:rPr>
          <w:color w:val="auto"/>
        </w:rPr>
      </w:pPr>
    </w:p>
    <w:p w14:paraId="188970C8" w14:textId="242AF2C4" w:rsidR="00630CB3" w:rsidRPr="00FA03CA" w:rsidRDefault="00630CB3" w:rsidP="00630CB3">
      <w:pPr>
        <w:spacing w:after="160" w:line="259" w:lineRule="auto"/>
        <w:rPr>
          <w:rFonts w:eastAsia="Arial"/>
          <w:b/>
          <w:bCs/>
        </w:rPr>
      </w:pPr>
      <w:r w:rsidRPr="00FA03CA">
        <w:rPr>
          <w:rFonts w:eastAsia="Arial"/>
          <w:b/>
          <w:bCs/>
        </w:rPr>
        <w:br w:type="page"/>
      </w:r>
    </w:p>
    <w:p w14:paraId="4E1C8519" w14:textId="454C3CF3" w:rsidR="00785701" w:rsidRPr="00FA03CA" w:rsidRDefault="00785701" w:rsidP="00785701">
      <w:pPr>
        <w:spacing w:before="120" w:line="360" w:lineRule="auto"/>
        <w:jc w:val="both"/>
        <w:rPr>
          <w:rFonts w:eastAsia="Arial"/>
        </w:rPr>
      </w:pPr>
      <w:r w:rsidRPr="00FA03CA">
        <w:rPr>
          <w:rFonts w:eastAsia="Arial"/>
          <w:b/>
          <w:bCs/>
        </w:rPr>
        <w:t xml:space="preserve">Table </w:t>
      </w:r>
      <w:r w:rsidR="00630CB3" w:rsidRPr="00FA03CA">
        <w:rPr>
          <w:rFonts w:eastAsia="Arial"/>
          <w:b/>
          <w:bCs/>
        </w:rPr>
        <w:t>A5</w:t>
      </w:r>
      <w:r w:rsidRPr="00FA03CA">
        <w:rPr>
          <w:rFonts w:eastAsia="Arial"/>
          <w:b/>
          <w:bCs/>
        </w:rPr>
        <w:t>.</w:t>
      </w:r>
      <w:r w:rsidRPr="00FA03CA">
        <w:rPr>
          <w:rFonts w:eastAsia="Arial"/>
        </w:rPr>
        <w:t xml:space="preserve">  A summary of sample sizes for the conversion factor experiment to determine the relationship between CPUE and true density of carp (kg/ha).</w:t>
      </w:r>
    </w:p>
    <w:tbl>
      <w:tblPr>
        <w:tblStyle w:val="TableGrid"/>
        <w:tblpPr w:leftFromText="180" w:rightFromText="180" w:vertAnchor="page" w:horzAnchor="margin" w:tblpY="251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1441"/>
        <w:gridCol w:w="1559"/>
      </w:tblGrid>
      <w:tr w:rsidR="00D17443" w:rsidRPr="00FA03CA" w14:paraId="39C768E8" w14:textId="77777777" w:rsidTr="00F83A80">
        <w:tc>
          <w:tcPr>
            <w:tcW w:w="2254" w:type="dxa"/>
            <w:tcBorders>
              <w:top w:val="single" w:sz="4" w:space="0" w:color="auto"/>
              <w:bottom w:val="single" w:sz="4" w:space="0" w:color="auto"/>
            </w:tcBorders>
          </w:tcPr>
          <w:p w14:paraId="0F4ED6B5" w14:textId="77777777" w:rsidR="00D17443" w:rsidRPr="00FA03CA" w:rsidRDefault="00D17443" w:rsidP="000E6862">
            <w:pPr>
              <w:pStyle w:val="ARIERRefs"/>
              <w:ind w:left="0" w:firstLine="0"/>
              <w:rPr>
                <w:b/>
                <w:bCs/>
                <w:szCs w:val="20"/>
              </w:rPr>
            </w:pPr>
            <w:r w:rsidRPr="00FA03CA">
              <w:rPr>
                <w:b/>
                <w:bCs/>
                <w:szCs w:val="20"/>
              </w:rPr>
              <w:t>Type</w:t>
            </w:r>
          </w:p>
        </w:tc>
        <w:tc>
          <w:tcPr>
            <w:tcW w:w="2254" w:type="dxa"/>
            <w:tcBorders>
              <w:top w:val="single" w:sz="4" w:space="0" w:color="auto"/>
              <w:bottom w:val="single" w:sz="4" w:space="0" w:color="auto"/>
            </w:tcBorders>
          </w:tcPr>
          <w:p w14:paraId="5E8F8517" w14:textId="77777777" w:rsidR="00D17443" w:rsidRPr="00FA03CA" w:rsidRDefault="00D17443" w:rsidP="000E6862">
            <w:pPr>
              <w:pStyle w:val="ARIERRefs"/>
              <w:ind w:left="0" w:firstLine="0"/>
              <w:rPr>
                <w:b/>
                <w:bCs/>
                <w:szCs w:val="20"/>
              </w:rPr>
            </w:pPr>
            <w:r w:rsidRPr="00FA03CA">
              <w:rPr>
                <w:b/>
                <w:bCs/>
                <w:szCs w:val="20"/>
              </w:rPr>
              <w:t>Method</w:t>
            </w:r>
          </w:p>
        </w:tc>
        <w:tc>
          <w:tcPr>
            <w:tcW w:w="1441" w:type="dxa"/>
            <w:tcBorders>
              <w:top w:val="single" w:sz="4" w:space="0" w:color="auto"/>
              <w:bottom w:val="single" w:sz="4" w:space="0" w:color="auto"/>
            </w:tcBorders>
          </w:tcPr>
          <w:p w14:paraId="42F1AB0E" w14:textId="77777777" w:rsidR="00D17443" w:rsidRPr="00FA03CA" w:rsidRDefault="00D17443" w:rsidP="000E6862">
            <w:pPr>
              <w:pStyle w:val="ARIERRefs"/>
              <w:ind w:left="0" w:firstLine="0"/>
              <w:rPr>
                <w:b/>
                <w:bCs/>
                <w:szCs w:val="20"/>
              </w:rPr>
            </w:pPr>
            <w:r w:rsidRPr="00FA03CA">
              <w:rPr>
                <w:b/>
                <w:bCs/>
                <w:szCs w:val="20"/>
              </w:rPr>
              <w:t>River</w:t>
            </w:r>
          </w:p>
        </w:tc>
        <w:tc>
          <w:tcPr>
            <w:tcW w:w="1559" w:type="dxa"/>
            <w:tcBorders>
              <w:top w:val="single" w:sz="4" w:space="0" w:color="auto"/>
              <w:bottom w:val="single" w:sz="4" w:space="0" w:color="auto"/>
            </w:tcBorders>
          </w:tcPr>
          <w:p w14:paraId="4C3C20E9" w14:textId="77777777" w:rsidR="00D17443" w:rsidRPr="00FA03CA" w:rsidRDefault="00D17443" w:rsidP="000E6862">
            <w:pPr>
              <w:pStyle w:val="ARIERRefs"/>
              <w:ind w:left="0" w:firstLine="0"/>
              <w:rPr>
                <w:b/>
                <w:bCs/>
                <w:szCs w:val="20"/>
              </w:rPr>
            </w:pPr>
            <w:r w:rsidRPr="00FA03CA">
              <w:rPr>
                <w:b/>
                <w:bCs/>
                <w:szCs w:val="20"/>
              </w:rPr>
              <w:t>Waterbody</w:t>
            </w:r>
          </w:p>
        </w:tc>
      </w:tr>
      <w:tr w:rsidR="00D17443" w:rsidRPr="00FA03CA" w14:paraId="40987748" w14:textId="77777777" w:rsidTr="00F83A80">
        <w:tc>
          <w:tcPr>
            <w:tcW w:w="2254" w:type="dxa"/>
            <w:vMerge w:val="restart"/>
            <w:tcBorders>
              <w:top w:val="single" w:sz="4" w:space="0" w:color="auto"/>
            </w:tcBorders>
          </w:tcPr>
          <w:p w14:paraId="32105317" w14:textId="77777777" w:rsidR="00D17443" w:rsidRPr="00FA03CA" w:rsidRDefault="00D17443" w:rsidP="000E6862">
            <w:pPr>
              <w:pStyle w:val="ARIERRefs"/>
              <w:ind w:left="0" w:firstLine="0"/>
              <w:rPr>
                <w:b/>
                <w:bCs/>
                <w:szCs w:val="20"/>
              </w:rPr>
            </w:pPr>
            <w:r w:rsidRPr="00FA03CA">
              <w:rPr>
                <w:b/>
                <w:bCs/>
                <w:szCs w:val="20"/>
              </w:rPr>
              <w:t>Designed</w:t>
            </w:r>
          </w:p>
        </w:tc>
        <w:tc>
          <w:tcPr>
            <w:tcW w:w="2254" w:type="dxa"/>
            <w:tcBorders>
              <w:top w:val="single" w:sz="4" w:space="0" w:color="auto"/>
            </w:tcBorders>
          </w:tcPr>
          <w:p w14:paraId="375065C8" w14:textId="77777777" w:rsidR="00D17443" w:rsidRPr="00FA03CA" w:rsidRDefault="00D17443" w:rsidP="000E6862">
            <w:pPr>
              <w:pStyle w:val="ARIERRefs"/>
              <w:ind w:left="0" w:firstLine="0"/>
              <w:rPr>
                <w:szCs w:val="20"/>
              </w:rPr>
            </w:pPr>
            <w:r w:rsidRPr="00FA03CA">
              <w:rPr>
                <w:szCs w:val="20"/>
              </w:rPr>
              <w:t>Depletion</w:t>
            </w:r>
          </w:p>
        </w:tc>
        <w:tc>
          <w:tcPr>
            <w:tcW w:w="1441" w:type="dxa"/>
            <w:tcBorders>
              <w:top w:val="single" w:sz="4" w:space="0" w:color="auto"/>
            </w:tcBorders>
          </w:tcPr>
          <w:p w14:paraId="225D8DFD" w14:textId="77777777" w:rsidR="00D17443" w:rsidRPr="00FA03CA" w:rsidRDefault="00D17443" w:rsidP="000E6862">
            <w:pPr>
              <w:pStyle w:val="ARIERRefs"/>
              <w:ind w:left="0" w:firstLine="0"/>
              <w:rPr>
                <w:szCs w:val="20"/>
              </w:rPr>
            </w:pPr>
            <w:r w:rsidRPr="00FA03CA">
              <w:rPr>
                <w:szCs w:val="20"/>
              </w:rPr>
              <w:t>2</w:t>
            </w:r>
          </w:p>
        </w:tc>
        <w:tc>
          <w:tcPr>
            <w:tcW w:w="1559" w:type="dxa"/>
            <w:tcBorders>
              <w:top w:val="single" w:sz="4" w:space="0" w:color="auto"/>
            </w:tcBorders>
          </w:tcPr>
          <w:p w14:paraId="7A1CDEB3" w14:textId="77777777" w:rsidR="00D17443" w:rsidRPr="00FA03CA" w:rsidRDefault="00D17443" w:rsidP="000E6862">
            <w:pPr>
              <w:pStyle w:val="ARIERRefs"/>
              <w:ind w:left="0" w:firstLine="0"/>
              <w:rPr>
                <w:szCs w:val="20"/>
              </w:rPr>
            </w:pPr>
            <w:r w:rsidRPr="00FA03CA">
              <w:rPr>
                <w:szCs w:val="20"/>
              </w:rPr>
              <w:t>0</w:t>
            </w:r>
          </w:p>
        </w:tc>
      </w:tr>
      <w:tr w:rsidR="00D17443" w:rsidRPr="00FA03CA" w14:paraId="30E3906E" w14:textId="77777777" w:rsidTr="00F83A80">
        <w:tc>
          <w:tcPr>
            <w:tcW w:w="2254" w:type="dxa"/>
            <w:vMerge/>
          </w:tcPr>
          <w:p w14:paraId="3424E18B" w14:textId="77777777" w:rsidR="00D17443" w:rsidRPr="00FA03CA" w:rsidRDefault="00D17443" w:rsidP="000E6862">
            <w:pPr>
              <w:pStyle w:val="ARIERRefs"/>
              <w:ind w:left="0" w:firstLine="0"/>
              <w:rPr>
                <w:b/>
                <w:bCs/>
                <w:szCs w:val="20"/>
              </w:rPr>
            </w:pPr>
          </w:p>
        </w:tc>
        <w:tc>
          <w:tcPr>
            <w:tcW w:w="2254" w:type="dxa"/>
          </w:tcPr>
          <w:p w14:paraId="05ED69EA" w14:textId="77777777" w:rsidR="00D17443" w:rsidRPr="00FA03CA" w:rsidRDefault="00D17443" w:rsidP="000E6862">
            <w:pPr>
              <w:pStyle w:val="ARIERRefs"/>
              <w:ind w:left="0" w:firstLine="0"/>
              <w:rPr>
                <w:szCs w:val="20"/>
              </w:rPr>
            </w:pPr>
            <w:r w:rsidRPr="00FA03CA">
              <w:rPr>
                <w:szCs w:val="20"/>
              </w:rPr>
              <w:t>Mark-recapture</w:t>
            </w:r>
          </w:p>
        </w:tc>
        <w:tc>
          <w:tcPr>
            <w:tcW w:w="1441" w:type="dxa"/>
          </w:tcPr>
          <w:p w14:paraId="0004F660" w14:textId="77777777" w:rsidR="00D17443" w:rsidRPr="00FA03CA" w:rsidRDefault="00D17443" w:rsidP="000E6862">
            <w:pPr>
              <w:pStyle w:val="ARIERRefs"/>
              <w:ind w:left="0" w:firstLine="0"/>
              <w:rPr>
                <w:szCs w:val="20"/>
              </w:rPr>
            </w:pPr>
            <w:r w:rsidRPr="00FA03CA">
              <w:rPr>
                <w:szCs w:val="20"/>
              </w:rPr>
              <w:t>17</w:t>
            </w:r>
          </w:p>
        </w:tc>
        <w:tc>
          <w:tcPr>
            <w:tcW w:w="1559" w:type="dxa"/>
          </w:tcPr>
          <w:p w14:paraId="596C7579" w14:textId="77777777" w:rsidR="00D17443" w:rsidRPr="00FA03CA" w:rsidRDefault="00D17443" w:rsidP="000E6862">
            <w:pPr>
              <w:pStyle w:val="ARIERRefs"/>
              <w:ind w:left="0" w:firstLine="0"/>
              <w:rPr>
                <w:szCs w:val="20"/>
              </w:rPr>
            </w:pPr>
            <w:r w:rsidRPr="00FA03CA">
              <w:rPr>
                <w:szCs w:val="20"/>
              </w:rPr>
              <w:t>7</w:t>
            </w:r>
          </w:p>
        </w:tc>
      </w:tr>
      <w:tr w:rsidR="00D17443" w:rsidRPr="00FA03CA" w14:paraId="31286A9E" w14:textId="77777777" w:rsidTr="00F83A80">
        <w:tc>
          <w:tcPr>
            <w:tcW w:w="2254" w:type="dxa"/>
            <w:vMerge/>
          </w:tcPr>
          <w:p w14:paraId="25289BC3" w14:textId="77777777" w:rsidR="00D17443" w:rsidRPr="00FA03CA" w:rsidRDefault="00D17443" w:rsidP="000E6862">
            <w:pPr>
              <w:pStyle w:val="ARIERRefs"/>
              <w:ind w:left="0" w:firstLine="0"/>
              <w:rPr>
                <w:b/>
                <w:bCs/>
                <w:szCs w:val="20"/>
              </w:rPr>
            </w:pPr>
          </w:p>
        </w:tc>
        <w:tc>
          <w:tcPr>
            <w:tcW w:w="2254" w:type="dxa"/>
          </w:tcPr>
          <w:p w14:paraId="21EC4C7A" w14:textId="77777777" w:rsidR="00D17443" w:rsidRPr="00FA03CA" w:rsidRDefault="00D17443" w:rsidP="000E6862">
            <w:pPr>
              <w:pStyle w:val="ARIERRefs"/>
              <w:ind w:left="0" w:firstLine="0"/>
              <w:rPr>
                <w:szCs w:val="20"/>
              </w:rPr>
            </w:pPr>
            <w:r w:rsidRPr="00FA03CA">
              <w:rPr>
                <w:szCs w:val="20"/>
              </w:rPr>
              <w:t>Acoustic tagging</w:t>
            </w:r>
          </w:p>
        </w:tc>
        <w:tc>
          <w:tcPr>
            <w:tcW w:w="1441" w:type="dxa"/>
          </w:tcPr>
          <w:p w14:paraId="013EA67C" w14:textId="77777777" w:rsidR="00D17443" w:rsidRPr="00FA03CA" w:rsidRDefault="00D17443" w:rsidP="000E6862">
            <w:pPr>
              <w:pStyle w:val="ARIERRefs"/>
              <w:ind w:left="0" w:firstLine="0"/>
              <w:rPr>
                <w:szCs w:val="20"/>
              </w:rPr>
            </w:pPr>
            <w:r w:rsidRPr="00FA03CA">
              <w:rPr>
                <w:szCs w:val="20"/>
              </w:rPr>
              <w:t>1</w:t>
            </w:r>
          </w:p>
        </w:tc>
        <w:tc>
          <w:tcPr>
            <w:tcW w:w="1559" w:type="dxa"/>
          </w:tcPr>
          <w:p w14:paraId="5B85A56F" w14:textId="77777777" w:rsidR="00D17443" w:rsidRPr="00FA03CA" w:rsidRDefault="00D17443" w:rsidP="000E6862">
            <w:pPr>
              <w:pStyle w:val="ARIERRefs"/>
              <w:ind w:left="0" w:firstLine="0"/>
              <w:rPr>
                <w:szCs w:val="20"/>
              </w:rPr>
            </w:pPr>
            <w:r w:rsidRPr="00FA03CA">
              <w:rPr>
                <w:szCs w:val="20"/>
              </w:rPr>
              <w:t>0</w:t>
            </w:r>
          </w:p>
        </w:tc>
      </w:tr>
      <w:tr w:rsidR="00D17443" w:rsidRPr="00FA03CA" w14:paraId="450BB186" w14:textId="77777777" w:rsidTr="00F83A80">
        <w:tc>
          <w:tcPr>
            <w:tcW w:w="2254" w:type="dxa"/>
            <w:vMerge w:val="restart"/>
          </w:tcPr>
          <w:p w14:paraId="768F05CA" w14:textId="77777777" w:rsidR="00D17443" w:rsidRPr="00FA03CA" w:rsidRDefault="00D17443" w:rsidP="000E6862">
            <w:pPr>
              <w:pStyle w:val="ARIERRefs"/>
              <w:ind w:left="0" w:firstLine="0"/>
              <w:rPr>
                <w:b/>
                <w:bCs/>
                <w:szCs w:val="20"/>
              </w:rPr>
            </w:pPr>
            <w:r w:rsidRPr="00FA03CA">
              <w:rPr>
                <w:b/>
                <w:bCs/>
                <w:szCs w:val="20"/>
              </w:rPr>
              <w:t>Opportunistic</w:t>
            </w:r>
          </w:p>
        </w:tc>
        <w:tc>
          <w:tcPr>
            <w:tcW w:w="2254" w:type="dxa"/>
          </w:tcPr>
          <w:p w14:paraId="67DE00C7" w14:textId="77777777" w:rsidR="00D17443" w:rsidRPr="00FA03CA" w:rsidRDefault="00D17443" w:rsidP="000E6862">
            <w:pPr>
              <w:pStyle w:val="ARIERRefs"/>
              <w:ind w:left="0" w:firstLine="0"/>
              <w:rPr>
                <w:szCs w:val="20"/>
              </w:rPr>
            </w:pPr>
            <w:r w:rsidRPr="00FA03CA">
              <w:rPr>
                <w:szCs w:val="20"/>
              </w:rPr>
              <w:t>Pump-out</w:t>
            </w:r>
          </w:p>
        </w:tc>
        <w:tc>
          <w:tcPr>
            <w:tcW w:w="1441" w:type="dxa"/>
          </w:tcPr>
          <w:p w14:paraId="4AD0CFCC" w14:textId="77777777" w:rsidR="00D17443" w:rsidRPr="00FA03CA" w:rsidRDefault="00D17443" w:rsidP="000E6862">
            <w:pPr>
              <w:pStyle w:val="ARIERRefs"/>
              <w:ind w:left="0" w:firstLine="0"/>
              <w:rPr>
                <w:szCs w:val="20"/>
              </w:rPr>
            </w:pPr>
            <w:r w:rsidRPr="00FA03CA">
              <w:rPr>
                <w:szCs w:val="20"/>
              </w:rPr>
              <w:t>0</w:t>
            </w:r>
          </w:p>
        </w:tc>
        <w:tc>
          <w:tcPr>
            <w:tcW w:w="1559" w:type="dxa"/>
          </w:tcPr>
          <w:p w14:paraId="47C0A877" w14:textId="77777777" w:rsidR="00D17443" w:rsidRPr="00FA03CA" w:rsidRDefault="00D17443" w:rsidP="000E6862">
            <w:pPr>
              <w:pStyle w:val="ARIERRefs"/>
              <w:ind w:left="0" w:firstLine="0"/>
              <w:rPr>
                <w:szCs w:val="20"/>
              </w:rPr>
            </w:pPr>
            <w:r w:rsidRPr="00FA03CA">
              <w:rPr>
                <w:szCs w:val="20"/>
              </w:rPr>
              <w:t>2</w:t>
            </w:r>
          </w:p>
        </w:tc>
      </w:tr>
      <w:tr w:rsidR="00D17443" w:rsidRPr="00FA03CA" w14:paraId="6498BB7B" w14:textId="77777777" w:rsidTr="00F83A80">
        <w:tc>
          <w:tcPr>
            <w:tcW w:w="2254" w:type="dxa"/>
            <w:vMerge/>
          </w:tcPr>
          <w:p w14:paraId="6CA648C7" w14:textId="77777777" w:rsidR="00D17443" w:rsidRPr="00FA03CA" w:rsidRDefault="00D17443" w:rsidP="000E6862">
            <w:pPr>
              <w:pStyle w:val="ARIERRefs"/>
              <w:ind w:left="0" w:firstLine="0"/>
              <w:rPr>
                <w:b/>
                <w:bCs/>
                <w:szCs w:val="20"/>
              </w:rPr>
            </w:pPr>
          </w:p>
        </w:tc>
        <w:tc>
          <w:tcPr>
            <w:tcW w:w="2254" w:type="dxa"/>
          </w:tcPr>
          <w:p w14:paraId="4242F819" w14:textId="77777777" w:rsidR="00D17443" w:rsidRPr="00FA03CA" w:rsidRDefault="00D17443" w:rsidP="000E6862">
            <w:pPr>
              <w:pStyle w:val="ARIERRefs"/>
              <w:ind w:left="0" w:firstLine="0"/>
              <w:rPr>
                <w:szCs w:val="20"/>
              </w:rPr>
            </w:pPr>
            <w:r w:rsidRPr="00FA03CA">
              <w:rPr>
                <w:szCs w:val="20"/>
              </w:rPr>
              <w:t>Rotenone</w:t>
            </w:r>
          </w:p>
        </w:tc>
        <w:tc>
          <w:tcPr>
            <w:tcW w:w="1441" w:type="dxa"/>
          </w:tcPr>
          <w:p w14:paraId="1E34B006" w14:textId="77777777" w:rsidR="00D17443" w:rsidRPr="00FA03CA" w:rsidRDefault="00D17443" w:rsidP="000E6862">
            <w:pPr>
              <w:pStyle w:val="ARIERRefs"/>
              <w:ind w:left="0" w:firstLine="0"/>
              <w:rPr>
                <w:szCs w:val="20"/>
              </w:rPr>
            </w:pPr>
            <w:r w:rsidRPr="00FA03CA">
              <w:rPr>
                <w:szCs w:val="20"/>
              </w:rPr>
              <w:t>0</w:t>
            </w:r>
          </w:p>
        </w:tc>
        <w:tc>
          <w:tcPr>
            <w:tcW w:w="1559" w:type="dxa"/>
          </w:tcPr>
          <w:p w14:paraId="6651A0F5" w14:textId="77777777" w:rsidR="00D17443" w:rsidRPr="00FA03CA" w:rsidRDefault="00D17443" w:rsidP="000E6862">
            <w:pPr>
              <w:pStyle w:val="ARIERRefs"/>
              <w:ind w:left="0" w:firstLine="0"/>
              <w:rPr>
                <w:szCs w:val="20"/>
              </w:rPr>
            </w:pPr>
            <w:r w:rsidRPr="00FA03CA">
              <w:rPr>
                <w:szCs w:val="20"/>
              </w:rPr>
              <w:t>2</w:t>
            </w:r>
          </w:p>
        </w:tc>
      </w:tr>
      <w:tr w:rsidR="00D17443" w:rsidRPr="00FA03CA" w14:paraId="541F69B0" w14:textId="77777777" w:rsidTr="00F83A80">
        <w:tc>
          <w:tcPr>
            <w:tcW w:w="2254" w:type="dxa"/>
          </w:tcPr>
          <w:p w14:paraId="525D4DC7" w14:textId="77777777" w:rsidR="00D17443" w:rsidRPr="00FA03CA" w:rsidRDefault="00D17443" w:rsidP="000E6862">
            <w:pPr>
              <w:pStyle w:val="ARIERRefs"/>
              <w:ind w:left="0" w:firstLine="0"/>
              <w:rPr>
                <w:b/>
                <w:bCs/>
                <w:szCs w:val="20"/>
              </w:rPr>
            </w:pPr>
            <w:r w:rsidRPr="00FA03CA">
              <w:rPr>
                <w:b/>
                <w:bCs/>
                <w:szCs w:val="20"/>
              </w:rPr>
              <w:t>Total</w:t>
            </w:r>
          </w:p>
        </w:tc>
        <w:tc>
          <w:tcPr>
            <w:tcW w:w="2254" w:type="dxa"/>
          </w:tcPr>
          <w:p w14:paraId="607D9AF1" w14:textId="77777777" w:rsidR="00D17443" w:rsidRPr="00FA03CA" w:rsidRDefault="00D17443" w:rsidP="000E6862">
            <w:pPr>
              <w:pStyle w:val="ARIERRefs"/>
              <w:ind w:left="0" w:firstLine="0"/>
              <w:rPr>
                <w:szCs w:val="20"/>
              </w:rPr>
            </w:pPr>
          </w:p>
        </w:tc>
        <w:tc>
          <w:tcPr>
            <w:tcW w:w="1441" w:type="dxa"/>
          </w:tcPr>
          <w:p w14:paraId="4DADEC9C" w14:textId="77777777" w:rsidR="00D17443" w:rsidRPr="00FA03CA" w:rsidRDefault="00D17443" w:rsidP="000E6862">
            <w:pPr>
              <w:pStyle w:val="ARIERRefs"/>
              <w:ind w:left="0" w:firstLine="0"/>
              <w:rPr>
                <w:b/>
                <w:bCs/>
                <w:szCs w:val="20"/>
              </w:rPr>
            </w:pPr>
            <w:r w:rsidRPr="00FA03CA">
              <w:rPr>
                <w:b/>
                <w:bCs/>
                <w:szCs w:val="20"/>
              </w:rPr>
              <w:t>20</w:t>
            </w:r>
          </w:p>
        </w:tc>
        <w:tc>
          <w:tcPr>
            <w:tcW w:w="1559" w:type="dxa"/>
          </w:tcPr>
          <w:p w14:paraId="245B0D71" w14:textId="77777777" w:rsidR="00D17443" w:rsidRPr="00FA03CA" w:rsidRDefault="00D17443" w:rsidP="000E6862">
            <w:pPr>
              <w:pStyle w:val="ARIERRefs"/>
              <w:ind w:left="0" w:firstLine="0"/>
              <w:rPr>
                <w:b/>
                <w:bCs/>
                <w:szCs w:val="20"/>
              </w:rPr>
            </w:pPr>
            <w:r w:rsidRPr="00FA03CA">
              <w:rPr>
                <w:b/>
                <w:bCs/>
                <w:szCs w:val="20"/>
              </w:rPr>
              <w:t>11</w:t>
            </w:r>
          </w:p>
        </w:tc>
      </w:tr>
    </w:tbl>
    <w:p w14:paraId="17397BBB" w14:textId="77777777" w:rsidR="00785701" w:rsidRPr="00FA03CA" w:rsidRDefault="00785701" w:rsidP="00785701">
      <w:pPr>
        <w:spacing w:before="120" w:line="360" w:lineRule="auto"/>
        <w:jc w:val="both"/>
        <w:rPr>
          <w:rFonts w:eastAsia="Arial"/>
        </w:rPr>
      </w:pPr>
    </w:p>
    <w:p w14:paraId="7BE31597" w14:textId="5588443B" w:rsidR="00991700" w:rsidRPr="00FA03CA" w:rsidRDefault="00991700" w:rsidP="00991700">
      <w:pPr>
        <w:pStyle w:val="ARIERRefs"/>
        <w:rPr>
          <w:b/>
          <w:bCs/>
          <w:szCs w:val="20"/>
        </w:rPr>
      </w:pPr>
    </w:p>
    <w:p w14:paraId="769EA6AF" w14:textId="77777777" w:rsidR="00785701" w:rsidRPr="00FA03CA" w:rsidRDefault="00785701" w:rsidP="00165D10">
      <w:pPr>
        <w:pStyle w:val="ARIERRefs"/>
        <w:ind w:left="0" w:firstLine="0"/>
        <w:rPr>
          <w:b/>
          <w:bCs/>
          <w:szCs w:val="20"/>
        </w:rPr>
      </w:pPr>
    </w:p>
    <w:p w14:paraId="64A8F586" w14:textId="77777777" w:rsidR="00785701" w:rsidRPr="00FA03CA" w:rsidRDefault="00785701" w:rsidP="00165D10">
      <w:pPr>
        <w:pStyle w:val="ARIERRefs"/>
        <w:ind w:left="0" w:firstLine="0"/>
        <w:rPr>
          <w:b/>
          <w:bCs/>
          <w:szCs w:val="20"/>
        </w:rPr>
      </w:pPr>
    </w:p>
    <w:p w14:paraId="39D3F117" w14:textId="77777777" w:rsidR="00785701" w:rsidRPr="00FA03CA" w:rsidRDefault="00785701" w:rsidP="00165D10">
      <w:pPr>
        <w:pStyle w:val="ARIERRefs"/>
        <w:ind w:left="0" w:firstLine="0"/>
        <w:rPr>
          <w:b/>
          <w:bCs/>
          <w:szCs w:val="20"/>
        </w:rPr>
      </w:pPr>
    </w:p>
    <w:p w14:paraId="0778490D" w14:textId="77777777" w:rsidR="00785701" w:rsidRPr="00FA03CA" w:rsidRDefault="00785701" w:rsidP="00165D10">
      <w:pPr>
        <w:pStyle w:val="ARIERRefs"/>
        <w:ind w:left="0" w:firstLine="0"/>
        <w:rPr>
          <w:b/>
          <w:bCs/>
          <w:szCs w:val="20"/>
        </w:rPr>
      </w:pPr>
    </w:p>
    <w:p w14:paraId="3EC2D0CD" w14:textId="77777777" w:rsidR="00785701" w:rsidRPr="00FA03CA" w:rsidRDefault="00785701" w:rsidP="00165D10">
      <w:pPr>
        <w:pStyle w:val="ARIERRefs"/>
        <w:ind w:left="0" w:firstLine="0"/>
        <w:rPr>
          <w:b/>
          <w:bCs/>
          <w:szCs w:val="20"/>
        </w:rPr>
      </w:pPr>
    </w:p>
    <w:p w14:paraId="3E0C927E" w14:textId="77777777" w:rsidR="00785701" w:rsidRPr="00FA03CA" w:rsidRDefault="00785701" w:rsidP="00165D10">
      <w:pPr>
        <w:pStyle w:val="ARIERRefs"/>
        <w:ind w:left="0" w:firstLine="0"/>
        <w:rPr>
          <w:b/>
          <w:bCs/>
          <w:szCs w:val="20"/>
        </w:rPr>
      </w:pPr>
    </w:p>
    <w:p w14:paraId="16474A0B" w14:textId="77777777" w:rsidR="00785701" w:rsidRPr="00FA03CA" w:rsidRDefault="00785701" w:rsidP="00165D10">
      <w:pPr>
        <w:pStyle w:val="ARIERRefs"/>
        <w:ind w:left="0" w:firstLine="0"/>
        <w:rPr>
          <w:b/>
          <w:bCs/>
          <w:szCs w:val="20"/>
        </w:rPr>
      </w:pPr>
    </w:p>
    <w:p w14:paraId="0B45E667" w14:textId="77777777" w:rsidR="00630CB3" w:rsidRPr="00FA03CA" w:rsidRDefault="00630CB3" w:rsidP="00165D10">
      <w:pPr>
        <w:pStyle w:val="ARIERRefs"/>
        <w:ind w:left="0" w:firstLine="0"/>
        <w:rPr>
          <w:b/>
          <w:bCs/>
          <w:szCs w:val="20"/>
        </w:rPr>
      </w:pPr>
    </w:p>
    <w:p w14:paraId="540FB289" w14:textId="77777777" w:rsidR="00630CB3" w:rsidRPr="00FA03CA" w:rsidRDefault="00630CB3" w:rsidP="00630CB3">
      <w:pPr>
        <w:pStyle w:val="BodyText"/>
        <w:jc w:val="center"/>
        <w:rPr>
          <w:color w:val="auto"/>
        </w:rPr>
      </w:pPr>
      <w:r w:rsidRPr="00FA03CA">
        <w:rPr>
          <w:noProof/>
          <w:color w:val="auto"/>
          <w:lang w:val="en-US"/>
        </w:rPr>
        <w:drawing>
          <wp:inline distT="0" distB="0" distL="0" distR="0" wp14:anchorId="5394813C" wp14:editId="032EB5D7">
            <wp:extent cx="3664929" cy="3664929"/>
            <wp:effectExtent l="0" t="0" r="0" b="0"/>
            <wp:docPr id="226" name="Picture"/>
            <wp:cNvGraphicFramePr/>
            <a:graphic xmlns:a="http://schemas.openxmlformats.org/drawingml/2006/main">
              <a:graphicData uri="http://schemas.openxmlformats.org/drawingml/2006/picture">
                <pic:pic xmlns:pic="http://schemas.openxmlformats.org/drawingml/2006/picture">
                  <pic:nvPicPr>
                    <pic:cNvPr id="0" name="Picture" descr="figures/results/shane%20maps/fig_rv_attributes.png"/>
                    <pic:cNvPicPr>
                      <a:picLocks noChangeAspect="1" noChangeArrowheads="1"/>
                    </pic:cNvPicPr>
                  </pic:nvPicPr>
                  <pic:blipFill>
                    <a:blip r:embed="rId13" cstate="screen">
                      <a:extLst>
                        <a:ext uri="{28A0092B-C50C-407E-A947-70E740481C1C}">
                          <a14:useLocalDpi xmlns:a14="http://schemas.microsoft.com/office/drawing/2010/main"/>
                        </a:ext>
                      </a:extLst>
                    </a:blip>
                    <a:stretch>
                      <a:fillRect/>
                    </a:stretch>
                  </pic:blipFill>
                  <pic:spPr bwMode="auto">
                    <a:xfrm>
                      <a:off x="0" y="0"/>
                      <a:ext cx="3664929" cy="3664929"/>
                    </a:xfrm>
                    <a:prstGeom prst="rect">
                      <a:avLst/>
                    </a:prstGeom>
                    <a:noFill/>
                    <a:ln w="9525">
                      <a:noFill/>
                      <a:headEnd/>
                      <a:tailEnd/>
                    </a:ln>
                  </pic:spPr>
                </pic:pic>
              </a:graphicData>
            </a:graphic>
          </wp:inline>
        </w:drawing>
      </w:r>
    </w:p>
    <w:p w14:paraId="7941277B" w14:textId="2FC6EF25" w:rsidR="00630CB3" w:rsidRPr="00FA03CA" w:rsidRDefault="00630CB3" w:rsidP="00555492">
      <w:pPr>
        <w:spacing w:before="120" w:line="360" w:lineRule="auto"/>
        <w:jc w:val="both"/>
        <w:rPr>
          <w:rFonts w:eastAsia="Arial"/>
          <w:b/>
          <w:bCs/>
        </w:rPr>
      </w:pPr>
      <w:bookmarkStart w:id="3" w:name="figure-3-mapping-of-the-four-main-river-"/>
      <w:r w:rsidRPr="00FA03CA">
        <w:rPr>
          <w:rFonts w:eastAsia="Arial"/>
          <w:b/>
          <w:bCs/>
        </w:rPr>
        <w:t>Fig</w:t>
      </w:r>
      <w:r w:rsidR="00A339A6" w:rsidRPr="00FA03CA">
        <w:rPr>
          <w:rFonts w:eastAsia="Arial"/>
          <w:b/>
          <w:bCs/>
        </w:rPr>
        <w:t>.</w:t>
      </w:r>
      <w:r w:rsidRPr="00FA03CA">
        <w:rPr>
          <w:rFonts w:eastAsia="Arial"/>
          <w:b/>
          <w:bCs/>
        </w:rPr>
        <w:t xml:space="preserve"> A1</w:t>
      </w:r>
      <w:r w:rsidR="00555492" w:rsidRPr="00FA03CA">
        <w:rPr>
          <w:rFonts w:eastAsia="Arial"/>
          <w:b/>
          <w:bCs/>
        </w:rPr>
        <w:t>.</w:t>
      </w:r>
      <w:r w:rsidRPr="00FA03CA">
        <w:rPr>
          <w:rFonts w:eastAsia="Arial"/>
          <w:b/>
          <w:bCs/>
        </w:rPr>
        <w:t xml:space="preserve"> </w:t>
      </w:r>
      <w:r w:rsidRPr="00FA03CA">
        <w:rPr>
          <w:rFonts w:eastAsia="Arial"/>
        </w:rPr>
        <w:t xml:space="preserve">Mapping of four examples of river attributes. Each panel shows the spatial pattern for a river attribute, with redder colours indicating higher levels. Note - attributes are </w:t>
      </w:r>
      <w:r w:rsidR="00AB3647" w:rsidRPr="00FA03CA">
        <w:rPr>
          <w:rFonts w:eastAsia="Arial"/>
        </w:rPr>
        <w:t>on a</w:t>
      </w:r>
      <w:r w:rsidRPr="00FA03CA">
        <w:rPr>
          <w:rFonts w:eastAsia="Arial"/>
        </w:rPr>
        <w:t xml:space="preserve"> log-scale.</w:t>
      </w:r>
      <w:bookmarkEnd w:id="3"/>
      <w:r w:rsidRPr="00FA03CA">
        <w:rPr>
          <w:rFonts w:eastAsia="Arial"/>
        </w:rPr>
        <w:t xml:space="preserve">  A definition of each </w:t>
      </w:r>
      <w:r w:rsidR="00AB3647" w:rsidRPr="00FA03CA">
        <w:rPr>
          <w:rFonts w:eastAsia="Arial"/>
        </w:rPr>
        <w:t xml:space="preserve">river </w:t>
      </w:r>
      <w:r w:rsidRPr="00FA03CA">
        <w:rPr>
          <w:rFonts w:eastAsia="Arial"/>
        </w:rPr>
        <w:t xml:space="preserve">attribute is given in </w:t>
      </w:r>
      <w:r w:rsidR="00D22239" w:rsidRPr="00FA03CA">
        <w:rPr>
          <w:rFonts w:eastAsia="Arial"/>
        </w:rPr>
        <w:t xml:space="preserve">Supplementary </w:t>
      </w:r>
      <w:r w:rsidRPr="00FA03CA">
        <w:rPr>
          <w:rFonts w:eastAsia="Arial"/>
        </w:rPr>
        <w:t>Table A4.</w:t>
      </w:r>
    </w:p>
    <w:p w14:paraId="7AB6DB80" w14:textId="77777777" w:rsidR="00630CB3" w:rsidRPr="00FA03CA" w:rsidRDefault="00630CB3" w:rsidP="00165D10">
      <w:pPr>
        <w:pStyle w:val="ARIERRefs"/>
        <w:ind w:left="0" w:firstLine="0"/>
        <w:rPr>
          <w:b/>
          <w:bCs/>
          <w:szCs w:val="20"/>
        </w:rPr>
      </w:pPr>
    </w:p>
    <w:p w14:paraId="60B7431D" w14:textId="73A17C9F" w:rsidR="00165D10" w:rsidRPr="00FA03CA" w:rsidRDefault="00165D10" w:rsidP="00165D10">
      <w:pPr>
        <w:pStyle w:val="ARIERRefs"/>
        <w:ind w:left="0" w:firstLine="0"/>
        <w:rPr>
          <w:b/>
          <w:bCs/>
          <w:szCs w:val="20"/>
        </w:rPr>
      </w:pPr>
      <w:r w:rsidRPr="00FA03CA">
        <w:rPr>
          <w:b/>
          <w:bCs/>
          <w:szCs w:val="20"/>
        </w:rPr>
        <w:t>References</w:t>
      </w:r>
    </w:p>
    <w:bookmarkEnd w:id="2"/>
    <w:p w14:paraId="4ED260DA" w14:textId="77777777" w:rsidR="00DD5FE1" w:rsidRPr="00FA03CA" w:rsidRDefault="00DD5FE1" w:rsidP="00976F76">
      <w:pPr>
        <w:pStyle w:val="ARIERRefs"/>
        <w:ind w:left="0" w:firstLine="0"/>
      </w:pPr>
      <w:r w:rsidRPr="00FA03CA">
        <w:t>Aquatic Ecosystems Task Group (2012) Aquatic Ecosystems Toolkit. Module 2 Interim Australian National Aquatic Ecosystems (ANAE) Classification Framework. Department of Sustainability, Environment, Water Population and Communities, Canberra, Australia.</w:t>
      </w:r>
    </w:p>
    <w:p w14:paraId="77DA5CDD" w14:textId="77777777" w:rsidR="00DD5FE1" w:rsidRPr="00FA03CA" w:rsidRDefault="00DD5FE1" w:rsidP="00976F76">
      <w:pPr>
        <w:pStyle w:val="ARIERRefs"/>
        <w:ind w:left="0" w:firstLine="0"/>
        <w:rPr>
          <w:szCs w:val="20"/>
          <w:lang w:eastAsia="en-AU"/>
        </w:rPr>
      </w:pPr>
      <w:bookmarkStart w:id="4" w:name="_Hlk39133266"/>
      <w:r w:rsidRPr="00FA03CA">
        <w:rPr>
          <w:szCs w:val="20"/>
          <w:lang w:eastAsia="en-AU"/>
        </w:rPr>
        <w:t>Bajer PG, Sorensen PW (2012) Using boat electrofishing to estimate the abundance of invasive common carp in small Midwestern lakes. North American Journal of Fisheries Management 32:817-822</w:t>
      </w:r>
      <w:bookmarkEnd w:id="4"/>
      <w:r w:rsidRPr="00FA03CA">
        <w:rPr>
          <w:szCs w:val="20"/>
          <w:lang w:eastAsia="en-AU"/>
        </w:rPr>
        <w:t>.</w:t>
      </w:r>
    </w:p>
    <w:p w14:paraId="0F298A0B" w14:textId="67D831FB" w:rsidR="00DD5FE1" w:rsidRPr="00FA03CA" w:rsidRDefault="00DD5FE1" w:rsidP="00976F76">
      <w:pPr>
        <w:pStyle w:val="ARIERRefs"/>
        <w:ind w:left="0" w:firstLine="0"/>
        <w:rPr>
          <w:szCs w:val="20"/>
        </w:rPr>
      </w:pPr>
      <w:r w:rsidRPr="00FA03CA">
        <w:rPr>
          <w:szCs w:val="20"/>
        </w:rPr>
        <w:t>Bayley PB, Austen DJ (2002) Capture efficiency of a boat electrofisher.  Transactions of the American Fisheries Society 131:435-451.</w:t>
      </w:r>
    </w:p>
    <w:p w14:paraId="47A16FEF" w14:textId="04D3F330" w:rsidR="00DD5FE1" w:rsidRPr="00FA03CA" w:rsidRDefault="00DD5FE1" w:rsidP="00976F76">
      <w:pPr>
        <w:pStyle w:val="ARIERRefs"/>
        <w:ind w:left="0" w:firstLine="0"/>
      </w:pPr>
      <w:r w:rsidRPr="00FA03CA">
        <w:t xml:space="preserve">BOM (2014) Australian Hydrological Geospatial Fabric (Geofabric) v2.1.1. Commonwealth of Australia (Bureau of Meteorology). Available from http://www.bom.gov.au/water/geofabric/.  </w:t>
      </w:r>
    </w:p>
    <w:p w14:paraId="174FF68C" w14:textId="77777777" w:rsidR="00DD5FE1" w:rsidRPr="00FA03CA" w:rsidRDefault="00DD5FE1" w:rsidP="00976F76">
      <w:pPr>
        <w:pStyle w:val="ARIERRefs"/>
        <w:ind w:left="0" w:firstLine="0"/>
      </w:pPr>
      <w:r w:rsidRPr="00FA03CA">
        <w:t>Brooks SS, Cottingham P, Butcher R, Hale J (2014) Murray-Darling Basin aquatic ecosystem classification: Stage 2 report. Murray-Darling Basin Authority, Canberra, Australia.</w:t>
      </w:r>
    </w:p>
    <w:p w14:paraId="71B220B7" w14:textId="77777777" w:rsidR="00DD5FE1" w:rsidRPr="00FA03CA" w:rsidRDefault="00DD5FE1" w:rsidP="00976F76">
      <w:pPr>
        <w:pStyle w:val="ARIERRefs"/>
        <w:ind w:left="0" w:firstLine="0"/>
      </w:pPr>
      <w:r w:rsidRPr="00FA03CA">
        <w:t xml:space="preserve">Brooks SS (2017) Classification of aquatic ecosystems in the Murray-Darling Basin: 2017 update. Report to the Murray-Darling Basin Authority and Commonwealth Environmental Water Office, Canberra. </w:t>
      </w:r>
    </w:p>
    <w:p w14:paraId="599DEDBC" w14:textId="6AAB4886" w:rsidR="00DD5FE1" w:rsidRPr="00FA03CA" w:rsidRDefault="00DD5FE1" w:rsidP="00976F76">
      <w:pPr>
        <w:pStyle w:val="ARIERRefs"/>
        <w:ind w:left="0" w:firstLine="0"/>
        <w:rPr>
          <w:szCs w:val="20"/>
        </w:rPr>
      </w:pPr>
      <w:r w:rsidRPr="00FA03CA">
        <w:rPr>
          <w:szCs w:val="20"/>
        </w:rPr>
        <w:t>B</w:t>
      </w:r>
      <w:r w:rsidRPr="00FA03CA">
        <w:rPr>
          <w:rFonts w:hint="eastAsia"/>
          <w:szCs w:val="20"/>
        </w:rPr>
        <w:t>ü</w:t>
      </w:r>
      <w:r w:rsidRPr="00FA03CA">
        <w:rPr>
          <w:szCs w:val="20"/>
        </w:rPr>
        <w:t>rkner PC (2017) brms: An R package for Bayesian multilevel models using Stan. Journal of Statistical Software 80, 1-28.</w:t>
      </w:r>
    </w:p>
    <w:p w14:paraId="1AB63CCF" w14:textId="1B730756" w:rsidR="00DD5FE1" w:rsidRPr="00FA03CA" w:rsidRDefault="00DD5FE1" w:rsidP="00976F76">
      <w:pPr>
        <w:pStyle w:val="ARIERRefs"/>
        <w:ind w:left="0" w:firstLine="0"/>
        <w:rPr>
          <w:szCs w:val="20"/>
        </w:rPr>
      </w:pPr>
      <w:r w:rsidRPr="00FA03CA">
        <w:rPr>
          <w:szCs w:val="20"/>
        </w:rPr>
        <w:t>Davies PE, Harris JH, Hillman TJ, Walker KF (2010) The sustainable rivers audit: assessing river ecosystem health in the Murray–Darling Basin, Australia</w:t>
      </w:r>
      <w:r w:rsidRPr="00FA03CA">
        <w:rPr>
          <w:i/>
          <w:szCs w:val="20"/>
        </w:rPr>
        <w:t xml:space="preserve">. </w:t>
      </w:r>
      <w:r w:rsidRPr="00FA03CA">
        <w:rPr>
          <w:iCs/>
          <w:szCs w:val="20"/>
        </w:rPr>
        <w:t>Marine and Freshwater</w:t>
      </w:r>
      <w:r w:rsidRPr="00FA03CA">
        <w:rPr>
          <w:i/>
          <w:szCs w:val="20"/>
        </w:rPr>
        <w:t xml:space="preserve"> </w:t>
      </w:r>
      <w:r w:rsidRPr="00FA03CA">
        <w:rPr>
          <w:szCs w:val="20"/>
        </w:rPr>
        <w:t>Research 61:764-777.</w:t>
      </w:r>
    </w:p>
    <w:p w14:paraId="57C58008" w14:textId="77777777" w:rsidR="00A7145A" w:rsidRPr="00F622F5" w:rsidRDefault="00A7145A" w:rsidP="00A7145A">
      <w:pPr>
        <w:pStyle w:val="ARIERRefs"/>
        <w:ind w:left="0" w:firstLine="0"/>
        <w:rPr>
          <w:color w:val="222222"/>
        </w:rPr>
      </w:pPr>
      <w:r w:rsidRPr="00F622F5">
        <w:rPr>
          <w:color w:val="222222"/>
        </w:rPr>
        <w:t xml:space="preserve">Dolan CR, Miranda LE (2003) Immobilization thresholds of electrofishing relative to fish size. </w:t>
      </w:r>
      <w:r w:rsidRPr="00F622F5">
        <w:rPr>
          <w:iCs/>
          <w:color w:val="222222"/>
        </w:rPr>
        <w:t>Transactions of the American Fisheries Society</w:t>
      </w:r>
      <w:r w:rsidRPr="00F622F5">
        <w:rPr>
          <w:color w:val="222222"/>
        </w:rPr>
        <w:t xml:space="preserve"> </w:t>
      </w:r>
      <w:r w:rsidRPr="00F622F5">
        <w:rPr>
          <w:iCs/>
          <w:color w:val="222222"/>
        </w:rPr>
        <w:t>132:</w:t>
      </w:r>
      <w:r w:rsidRPr="00F622F5">
        <w:rPr>
          <w:color w:val="222222"/>
        </w:rPr>
        <w:t>969-976</w:t>
      </w:r>
      <w:r>
        <w:rPr>
          <w:color w:val="222222"/>
        </w:rPr>
        <w:t>.</w:t>
      </w:r>
    </w:p>
    <w:p w14:paraId="5C47A02C" w14:textId="77777777" w:rsidR="00DD5FE1" w:rsidRPr="00FA03CA" w:rsidRDefault="00DD5FE1" w:rsidP="00976F76">
      <w:pPr>
        <w:pStyle w:val="ARIERRefs"/>
        <w:ind w:left="0" w:firstLine="0"/>
        <w:rPr>
          <w:szCs w:val="20"/>
        </w:rPr>
      </w:pPr>
      <w:r w:rsidRPr="00FA03CA">
        <w:rPr>
          <w:szCs w:val="20"/>
        </w:rPr>
        <w:t>Driver PD, Harris JH, Closs GP, Koen TB (2005) Effects of flow regulation on carp (</w:t>
      </w:r>
      <w:r w:rsidRPr="00FA03CA">
        <w:rPr>
          <w:i/>
          <w:iCs/>
          <w:szCs w:val="20"/>
        </w:rPr>
        <w:t>Cyprinus carpio</w:t>
      </w:r>
      <w:r w:rsidRPr="00FA03CA">
        <w:rPr>
          <w:szCs w:val="20"/>
        </w:rPr>
        <w:t xml:space="preserve"> L.) recruitment in the Murray</w:t>
      </w:r>
      <w:r w:rsidRPr="00FA03CA">
        <w:rPr>
          <w:rFonts w:hint="eastAsia"/>
          <w:szCs w:val="20"/>
        </w:rPr>
        <w:t>–</w:t>
      </w:r>
      <w:r w:rsidRPr="00FA03CA">
        <w:rPr>
          <w:szCs w:val="20"/>
        </w:rPr>
        <w:t>Darling Basin, Australia. River Research and Applications 21:327-335.</w:t>
      </w:r>
    </w:p>
    <w:p w14:paraId="42D8A30F" w14:textId="77777777" w:rsidR="00DD5FE1" w:rsidRPr="00FA03CA" w:rsidRDefault="00DD5FE1" w:rsidP="00976F76">
      <w:pPr>
        <w:pStyle w:val="ARIERRefs"/>
        <w:ind w:left="0" w:firstLine="0"/>
        <w:rPr>
          <w:szCs w:val="20"/>
        </w:rPr>
      </w:pPr>
      <w:r w:rsidRPr="00FA03CA">
        <w:rPr>
          <w:szCs w:val="20"/>
        </w:rPr>
        <w:t>Elith J, Leathwick JR, Hastie T (2008) A working guide to boosted regression trees. Journal of Animal Ecology 77:802-813.</w:t>
      </w:r>
    </w:p>
    <w:p w14:paraId="0BF43F95" w14:textId="77777777" w:rsidR="00DD5FE1" w:rsidRPr="00FA03CA" w:rsidRDefault="00DD5FE1" w:rsidP="00976F76">
      <w:pPr>
        <w:pStyle w:val="ARIERRefs"/>
        <w:ind w:left="0" w:firstLine="0"/>
      </w:pPr>
      <w:r w:rsidRPr="00FA03CA">
        <w:t>Farrier SM, Brashers Z, Koupal KD (2018) Assessment of common carp biomass in Rat and Beaver lake. Great Plains Research 28:65-72.</w:t>
      </w:r>
    </w:p>
    <w:p w14:paraId="3437F565" w14:textId="77777777" w:rsidR="00DD5FE1" w:rsidRPr="00FA03CA" w:rsidRDefault="00DD5FE1" w:rsidP="00976F76">
      <w:pPr>
        <w:pStyle w:val="ARIERRefs"/>
        <w:ind w:left="0" w:firstLine="0"/>
      </w:pPr>
      <w:r w:rsidRPr="00FA03CA">
        <w:t>Geosciences Australia (2018) Surface Hydrology Polygons (Regional).</w:t>
      </w:r>
    </w:p>
    <w:p w14:paraId="61CDFB5B" w14:textId="77777777" w:rsidR="00DD5FE1" w:rsidRPr="00FA03CA" w:rsidRDefault="00DD5FE1" w:rsidP="00976F76">
      <w:pPr>
        <w:pStyle w:val="ARIERRefs"/>
        <w:ind w:left="0" w:firstLine="0"/>
        <w:rPr>
          <w:szCs w:val="20"/>
        </w:rPr>
      </w:pPr>
      <w:r w:rsidRPr="00FA03CA">
        <w:rPr>
          <w:szCs w:val="20"/>
        </w:rPr>
        <w:t>K</w:t>
      </w:r>
      <w:r w:rsidRPr="00FA03CA">
        <w:rPr>
          <w:rFonts w:hint="eastAsia"/>
          <w:szCs w:val="20"/>
        </w:rPr>
        <w:t>é</w:t>
      </w:r>
      <w:r w:rsidRPr="00FA03CA">
        <w:rPr>
          <w:szCs w:val="20"/>
        </w:rPr>
        <w:t>ry M, Schaub M (2011) Bayesian population analysis using WinBUGS: a hierarchical perspective. Academic Press.</w:t>
      </w:r>
    </w:p>
    <w:p w14:paraId="3630BFD4" w14:textId="77777777" w:rsidR="00DD5FE1" w:rsidRPr="00FA03CA" w:rsidRDefault="00DD5FE1" w:rsidP="00976F76">
      <w:pPr>
        <w:pStyle w:val="ARIERRefs"/>
        <w:ind w:left="0" w:firstLine="0"/>
      </w:pPr>
      <w:r w:rsidRPr="00FA03CA">
        <w:t>Lyon JP, Bird T, Nicol S, Kearns J, O’Mahony J, Todd CR, Cowx IG, Bradshaw CJ (2014) Efficiency of electrofishing in turbid lowland rivers: implications for measuring temporal change in fish populations. Canadian Journal of Fisheries and Aquatic Sciences 71:878-886.</w:t>
      </w:r>
    </w:p>
    <w:p w14:paraId="073C05D4" w14:textId="77777777" w:rsidR="00DD5FE1" w:rsidRPr="00FA03CA" w:rsidRDefault="00DD5FE1" w:rsidP="00976F76">
      <w:pPr>
        <w:pStyle w:val="ARIERRefs"/>
        <w:ind w:left="0" w:firstLine="0"/>
      </w:pPr>
      <w:r w:rsidRPr="00FA03CA">
        <w:t xml:space="preserve">Mueller N, Lewis A, Roberts D, Ring S, Melrose R, Sixsmith J, Lymburner L, McIntyre A, Tan P, Curnow S, Ip A (2016) Water observations from space: Mapping surface water from 25 years of Landsat imagery across Australia. </w:t>
      </w:r>
      <w:r w:rsidRPr="00FA03CA">
        <w:rPr>
          <w:iCs/>
        </w:rPr>
        <w:t>Remote Sensing of Environment</w:t>
      </w:r>
      <w:r w:rsidRPr="00FA03CA">
        <w:t xml:space="preserve"> </w:t>
      </w:r>
      <w:r w:rsidRPr="00FA03CA">
        <w:rPr>
          <w:iCs/>
        </w:rPr>
        <w:t>174</w:t>
      </w:r>
      <w:r w:rsidRPr="00FA03CA">
        <w:t>:341-352.</w:t>
      </w:r>
    </w:p>
    <w:p w14:paraId="24B85961" w14:textId="77777777" w:rsidR="00DD5FE1" w:rsidRPr="00FA03CA" w:rsidRDefault="00DD5FE1" w:rsidP="00976F76">
      <w:pPr>
        <w:pStyle w:val="ARIERRefs"/>
        <w:ind w:left="0" w:firstLine="0"/>
      </w:pPr>
      <w:r w:rsidRPr="00FA03CA">
        <w:t>Penne CR, Pierce CL (2008) Seasonal distribution, aggregation, and habitat selection of common carp in Clear Lake, Iowa. Transactions of the American Fisheries Society 137:1050-1062.</w:t>
      </w:r>
    </w:p>
    <w:p w14:paraId="4F499D07" w14:textId="77777777" w:rsidR="00DD5FE1" w:rsidRPr="00FA03CA" w:rsidRDefault="00DD5FE1" w:rsidP="00976F76">
      <w:pPr>
        <w:pStyle w:val="ARIERRefs"/>
        <w:spacing w:after="0"/>
        <w:ind w:left="0" w:firstLine="0"/>
        <w:rPr>
          <w:szCs w:val="20"/>
        </w:rPr>
      </w:pPr>
      <w:r w:rsidRPr="00FA03CA">
        <w:rPr>
          <w:szCs w:val="20"/>
        </w:rPr>
        <w:t>Plummer M (2003) March. JAGS: A program for analysis of Bayesian graphical models using Gibbs</w:t>
      </w:r>
    </w:p>
    <w:p w14:paraId="5619F7A0" w14:textId="77777777" w:rsidR="00DD5FE1" w:rsidRPr="00FA03CA" w:rsidRDefault="00DD5FE1" w:rsidP="00976F76">
      <w:pPr>
        <w:pStyle w:val="ARIERRefs"/>
        <w:spacing w:after="0"/>
        <w:ind w:left="0" w:firstLine="0"/>
        <w:rPr>
          <w:szCs w:val="20"/>
        </w:rPr>
      </w:pPr>
      <w:r w:rsidRPr="00FA03CA">
        <w:rPr>
          <w:szCs w:val="20"/>
        </w:rPr>
        <w:t>sampling. In Proceedings of the 3rd international workshop on distributed statistical computing (Vol.</w:t>
      </w:r>
    </w:p>
    <w:p w14:paraId="3D3D860C" w14:textId="77777777" w:rsidR="00DD5FE1" w:rsidRPr="00FA03CA" w:rsidRDefault="00DD5FE1" w:rsidP="00976F76">
      <w:pPr>
        <w:pStyle w:val="ARIERRefs"/>
        <w:spacing w:after="0"/>
        <w:ind w:left="0" w:firstLine="0"/>
        <w:rPr>
          <w:szCs w:val="20"/>
        </w:rPr>
      </w:pPr>
      <w:r w:rsidRPr="00FA03CA">
        <w:rPr>
          <w:szCs w:val="20"/>
        </w:rPr>
        <w:t>124, No. 125.10).</w:t>
      </w:r>
    </w:p>
    <w:p w14:paraId="7C4C5ACA" w14:textId="77777777" w:rsidR="00DD5FE1" w:rsidRPr="00FA03CA" w:rsidRDefault="00DD5FE1" w:rsidP="00976F76">
      <w:pPr>
        <w:pStyle w:val="ARIERRefs"/>
        <w:spacing w:after="0"/>
        <w:ind w:left="0" w:firstLine="0"/>
        <w:rPr>
          <w:szCs w:val="20"/>
        </w:rPr>
      </w:pPr>
    </w:p>
    <w:p w14:paraId="1843EED2" w14:textId="259FFF7A" w:rsidR="00DD5FE1" w:rsidRPr="00FA03CA" w:rsidRDefault="00DD5FE1" w:rsidP="00976F76">
      <w:pPr>
        <w:pStyle w:val="ARIERRefs"/>
        <w:spacing w:after="0"/>
        <w:ind w:left="0" w:firstLine="0"/>
        <w:rPr>
          <w:szCs w:val="20"/>
        </w:rPr>
      </w:pPr>
      <w:r w:rsidRPr="00FA03CA">
        <w:rPr>
          <w:szCs w:val="20"/>
        </w:rPr>
        <w:t>Stuart I, Fanson B, Lyon J, Stocks J, Brooks S, Norris A, Thwaites L, Beitzel M, Hutchison M, Ye Q, Koehn J, Bennett A (2019)</w:t>
      </w:r>
      <w:r w:rsidR="00976F76" w:rsidRPr="00FA03CA">
        <w:rPr>
          <w:szCs w:val="20"/>
        </w:rPr>
        <w:t xml:space="preserve"> </w:t>
      </w:r>
      <w:r w:rsidRPr="00FA03CA">
        <w:rPr>
          <w:szCs w:val="20"/>
        </w:rPr>
        <w:t xml:space="preserve"> A national estimate of carp biomass for Australia. Unpublished </w:t>
      </w:r>
      <w:r w:rsidR="0008599A" w:rsidRPr="00FA03CA">
        <w:rPr>
          <w:szCs w:val="20"/>
        </w:rPr>
        <w:t>c</w:t>
      </w:r>
      <w:r w:rsidRPr="00FA03CA">
        <w:rPr>
          <w:szCs w:val="20"/>
        </w:rPr>
        <w:t xml:space="preserve">lient </w:t>
      </w:r>
      <w:r w:rsidR="0008599A" w:rsidRPr="00FA03CA">
        <w:rPr>
          <w:szCs w:val="20"/>
        </w:rPr>
        <w:t>r</w:t>
      </w:r>
      <w:r w:rsidRPr="00FA03CA">
        <w:rPr>
          <w:szCs w:val="20"/>
        </w:rPr>
        <w:t>eport for the Fisheries Research and Development Corporation. Arthur Rylah Institute for Environmental Research, Department of Environment, Land, Water and Planning, Heidelberg, Victoria.</w:t>
      </w:r>
    </w:p>
    <w:p w14:paraId="012DB673" w14:textId="77777777" w:rsidR="00DD5FE1" w:rsidRPr="00FA03CA" w:rsidRDefault="00DD5FE1" w:rsidP="00976F76">
      <w:pPr>
        <w:pStyle w:val="ARIERRefs"/>
        <w:spacing w:after="0"/>
        <w:ind w:left="0" w:firstLine="0"/>
        <w:rPr>
          <w:szCs w:val="20"/>
        </w:rPr>
      </w:pPr>
    </w:p>
    <w:p w14:paraId="51BD0A2E" w14:textId="77777777" w:rsidR="00DD5FE1" w:rsidRPr="00FA03CA" w:rsidRDefault="00DD5FE1" w:rsidP="00976F76">
      <w:pPr>
        <w:pStyle w:val="ARIERRefs"/>
        <w:spacing w:after="0"/>
        <w:ind w:left="0" w:firstLine="0"/>
        <w:rPr>
          <w:szCs w:val="20"/>
        </w:rPr>
      </w:pPr>
      <w:r w:rsidRPr="00FA03CA">
        <w:rPr>
          <w:szCs w:val="20"/>
        </w:rPr>
        <w:t xml:space="preserve">Su YS, Yajima M (2015) R2jags: Using R to run </w:t>
      </w:r>
      <w:r w:rsidRPr="00FA03CA">
        <w:rPr>
          <w:rFonts w:hint="eastAsia"/>
          <w:szCs w:val="20"/>
        </w:rPr>
        <w:t>‘</w:t>
      </w:r>
      <w:r w:rsidRPr="00FA03CA">
        <w:rPr>
          <w:szCs w:val="20"/>
        </w:rPr>
        <w:t>JAGS</w:t>
      </w:r>
      <w:r w:rsidRPr="00FA03CA">
        <w:rPr>
          <w:rFonts w:hint="eastAsia"/>
          <w:szCs w:val="20"/>
        </w:rPr>
        <w:t>’</w:t>
      </w:r>
      <w:r w:rsidRPr="00FA03CA">
        <w:rPr>
          <w:szCs w:val="20"/>
        </w:rPr>
        <w:t>. R package version 0.5-7.</w:t>
      </w:r>
    </w:p>
    <w:p w14:paraId="5C3C6D96" w14:textId="77777777" w:rsidR="00DD5FE1" w:rsidRPr="00FA03CA" w:rsidRDefault="00DD5FE1" w:rsidP="00976F76">
      <w:pPr>
        <w:pStyle w:val="ARIERRefs"/>
        <w:tabs>
          <w:tab w:val="center" w:pos="4513"/>
        </w:tabs>
        <w:spacing w:after="0"/>
        <w:ind w:left="0" w:firstLine="0"/>
      </w:pPr>
    </w:p>
    <w:p w14:paraId="154507DC" w14:textId="77777777" w:rsidR="00DD5FE1" w:rsidRPr="00FA03CA" w:rsidRDefault="00DD5FE1" w:rsidP="00976F76">
      <w:pPr>
        <w:pStyle w:val="ARIERRefs"/>
        <w:spacing w:after="0"/>
        <w:ind w:left="0" w:firstLine="0"/>
        <w:rPr>
          <w:szCs w:val="20"/>
        </w:rPr>
      </w:pPr>
      <w:r w:rsidRPr="00FA03CA">
        <w:rPr>
          <w:szCs w:val="20"/>
        </w:rPr>
        <w:t>Taylor AH, Tracey SR, Hartmann K, Patil JG (2012) Exploiting seasonal habitat use of the</w:t>
      </w:r>
    </w:p>
    <w:p w14:paraId="144B39C6" w14:textId="77777777" w:rsidR="00DD5FE1" w:rsidRPr="00FA03CA" w:rsidRDefault="00DD5FE1" w:rsidP="00976F76">
      <w:pPr>
        <w:pStyle w:val="ARIERRefs"/>
        <w:spacing w:after="0"/>
        <w:ind w:left="0" w:firstLine="0"/>
        <w:rPr>
          <w:szCs w:val="20"/>
        </w:rPr>
      </w:pPr>
      <w:r w:rsidRPr="00FA03CA">
        <w:rPr>
          <w:szCs w:val="20"/>
        </w:rPr>
        <w:t xml:space="preserve">common carp, </w:t>
      </w:r>
      <w:r w:rsidRPr="00FA03CA">
        <w:rPr>
          <w:i/>
          <w:iCs/>
          <w:szCs w:val="20"/>
        </w:rPr>
        <w:t>Cyprinus carpio</w:t>
      </w:r>
      <w:r w:rsidRPr="00FA03CA">
        <w:rPr>
          <w:szCs w:val="20"/>
        </w:rPr>
        <w:t>, in a lacustrine system for management and eradication. Marine and</w:t>
      </w:r>
    </w:p>
    <w:p w14:paraId="24F412E9" w14:textId="77777777" w:rsidR="00DD5FE1" w:rsidRPr="00FA03CA" w:rsidRDefault="00DD5FE1" w:rsidP="00976F76">
      <w:pPr>
        <w:pStyle w:val="ARIERRefs"/>
        <w:spacing w:after="0"/>
        <w:ind w:left="0" w:firstLine="0"/>
        <w:rPr>
          <w:szCs w:val="20"/>
        </w:rPr>
      </w:pPr>
      <w:r w:rsidRPr="00FA03CA">
        <w:rPr>
          <w:szCs w:val="20"/>
        </w:rPr>
        <w:t>Freshwater Research 63:587-597.</w:t>
      </w:r>
    </w:p>
    <w:p w14:paraId="42862E0A" w14:textId="77777777" w:rsidR="00DD5FE1" w:rsidRPr="00FA03CA" w:rsidRDefault="00DD5FE1" w:rsidP="00976F76">
      <w:pPr>
        <w:pStyle w:val="ARIERRefs"/>
        <w:spacing w:after="0"/>
        <w:ind w:left="0" w:firstLine="0"/>
        <w:rPr>
          <w:szCs w:val="20"/>
        </w:rPr>
      </w:pPr>
    </w:p>
    <w:p w14:paraId="30A114B8" w14:textId="77777777" w:rsidR="00DD5FE1" w:rsidRPr="00FA03CA" w:rsidRDefault="00DD5FE1" w:rsidP="00976F76">
      <w:pPr>
        <w:pStyle w:val="ARIERRefs"/>
        <w:spacing w:after="0"/>
        <w:ind w:left="0" w:firstLine="0"/>
        <w:rPr>
          <w:szCs w:val="20"/>
        </w:rPr>
      </w:pPr>
      <w:bookmarkStart w:id="5" w:name="_Hlk48045555"/>
      <w:r w:rsidRPr="00FA03CA">
        <w:rPr>
          <w:szCs w:val="20"/>
        </w:rPr>
        <w:t>Todd CR, Koehn JD, Brown TR, Fanson B, Brooks S, Stuart I (2019) Modelling carp biomass: estimates for the year 2023. Unpublished client report for Fisheries Research and Development Corporation. Arthur Rylah Institute for Environmental Research, Department of Environment, Land, Water and Planning, Heidelberg, Victoria.</w:t>
      </w:r>
    </w:p>
    <w:bookmarkEnd w:id="5"/>
    <w:p w14:paraId="2163E5BE" w14:textId="77777777" w:rsidR="00976F76" w:rsidRPr="00FA03CA" w:rsidRDefault="00976F76" w:rsidP="00976F76">
      <w:pPr>
        <w:pStyle w:val="ARIERRefs"/>
        <w:ind w:left="0" w:firstLine="0"/>
      </w:pPr>
    </w:p>
    <w:sectPr w:rsidR="00976F76" w:rsidRPr="00FA03CA" w:rsidSect="00FA03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C759D" w14:textId="77777777" w:rsidR="00DB65D6" w:rsidRPr="00FA03CA" w:rsidRDefault="00DB65D6">
      <w:pPr>
        <w:spacing w:after="0"/>
      </w:pPr>
      <w:r w:rsidRPr="00FA03CA">
        <w:separator/>
      </w:r>
    </w:p>
  </w:endnote>
  <w:endnote w:type="continuationSeparator" w:id="0">
    <w:p w14:paraId="5A21D977" w14:textId="77777777" w:rsidR="00DB65D6" w:rsidRPr="00FA03CA" w:rsidRDefault="00DB65D6">
      <w:pPr>
        <w:spacing w:after="0"/>
      </w:pPr>
      <w:r w:rsidRPr="00FA03C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FD4F8" w14:textId="77777777" w:rsidR="00845761" w:rsidRDefault="00845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0CB3F" w14:textId="392B36D4" w:rsidR="00D22239" w:rsidRPr="00FA03CA" w:rsidRDefault="00F31187">
    <w:pPr>
      <w:pStyle w:val="Footer"/>
      <w:jc w:val="right"/>
    </w:pPr>
    <w:r>
      <w:rPr>
        <w:noProof/>
      </w:rPr>
      <mc:AlternateContent>
        <mc:Choice Requires="wps">
          <w:drawing>
            <wp:anchor distT="0" distB="0" distL="114300" distR="114300" simplePos="0" relativeHeight="251659264" behindDoc="0" locked="0" layoutInCell="0" allowOverlap="1" wp14:anchorId="49E329D3" wp14:editId="02074692">
              <wp:simplePos x="0" y="0"/>
              <wp:positionH relativeFrom="page">
                <wp:align>center</wp:align>
              </wp:positionH>
              <wp:positionV relativeFrom="page">
                <wp:align>bottom</wp:align>
              </wp:positionV>
              <wp:extent cx="7772400" cy="463550"/>
              <wp:effectExtent l="0" t="0" r="0" b="12700"/>
              <wp:wrapNone/>
              <wp:docPr id="2" name="MSIPCM8aef4857a02116b9d8c69e65"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B4F398" w14:textId="7D870C83" w:rsidR="00F31187" w:rsidRPr="00845761" w:rsidRDefault="00845761" w:rsidP="00845761">
                          <w:pPr>
                            <w:spacing w:after="0"/>
                            <w:jc w:val="center"/>
                            <w:rPr>
                              <w:rFonts w:ascii="Calibri" w:hAnsi="Calibri" w:cs="Calibri"/>
                              <w:color w:val="000000"/>
                              <w:sz w:val="24"/>
                            </w:rPr>
                          </w:pPr>
                          <w:r w:rsidRPr="0084576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9E329D3" id="_x0000_t202" coordsize="21600,21600" o:spt="202" path="m,l,21600r21600,l21600,xe">
              <v:stroke joinstyle="miter"/>
              <v:path gradientshapeok="t" o:connecttype="rect"/>
            </v:shapetype>
            <v:shape id="MSIPCM8aef4857a02116b9d8c69e65" o:spid="_x0000_s1026" type="#_x0000_t202" alt="{&quot;HashCode&quot;:-1264680268,&quot;Height&quot;:9999999.0,&quot;Width&quot;:9999999.0,&quot;Placement&quot;:&quot;Footer&quot;,&quot;Index&quot;:&quot;Primary&quot;,&quot;Section&quot;:1,&quot;Top&quot;:0.0,&quot;Left&quot;:0.0}" style="position:absolute;left:0;text-align:left;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" o:allowincell="f" filled="f" stroked="f" strokeweight=".5pt">
              <v:textbox inset=",0,,0">
                <w:txbxContent>
                  <w:p w14:paraId="61B4F398" w14:textId="7D870C83" w:rsidR="00F31187" w:rsidRPr="00845761" w:rsidRDefault="00845761" w:rsidP="00845761">
                    <w:pPr>
                      <w:spacing w:after="0"/>
                      <w:jc w:val="center"/>
                      <w:rPr>
                        <w:rFonts w:ascii="Calibri" w:hAnsi="Calibri" w:cs="Calibri"/>
                        <w:color w:val="000000"/>
                        <w:sz w:val="24"/>
                      </w:rPr>
                    </w:pPr>
                    <w:r w:rsidRPr="00845761">
                      <w:rPr>
                        <w:rFonts w:ascii="Calibri" w:hAnsi="Calibri" w:cs="Calibri"/>
                        <w:color w:val="000000"/>
                        <w:sz w:val="24"/>
                      </w:rPr>
                      <w:t>OFFICIAL</w:t>
                    </w:r>
                  </w:p>
                </w:txbxContent>
              </v:textbox>
              <w10:wrap anchorx="page" anchory="page"/>
            </v:shape>
          </w:pict>
        </mc:Fallback>
      </mc:AlternateContent>
    </w:r>
    <w:sdt>
      <w:sdtPr>
        <w:id w:val="8727900"/>
        <w:docPartObj>
          <w:docPartGallery w:val="Page Numbers (Bottom of Page)"/>
          <w:docPartUnique/>
        </w:docPartObj>
      </w:sdtPr>
      <w:sdtEndPr>
        <w:rPr>
          <w:noProof/>
        </w:rPr>
      </w:sdtEndPr>
      <w:sdtContent>
        <w:r w:rsidR="00D22239" w:rsidRPr="00FA03CA">
          <w:fldChar w:fldCharType="begin"/>
        </w:r>
        <w:r w:rsidR="00D22239" w:rsidRPr="00FA03CA">
          <w:instrText xml:space="preserve"> PAGE   \* MERGEFORMAT </w:instrText>
        </w:r>
        <w:r w:rsidR="00D22239" w:rsidRPr="00FA03CA">
          <w:fldChar w:fldCharType="separate"/>
        </w:r>
        <w:r w:rsidR="003C75C2">
          <w:rPr>
            <w:noProof/>
          </w:rPr>
          <w:t>1</w:t>
        </w:r>
        <w:r w:rsidR="00D22239" w:rsidRPr="00FA03CA">
          <w:rPr>
            <w:noProof/>
          </w:rPr>
          <w:fldChar w:fldCharType="end"/>
        </w:r>
      </w:sdtContent>
    </w:sdt>
  </w:p>
  <w:p w14:paraId="2052223B" w14:textId="77777777" w:rsidR="00D22239" w:rsidRPr="00FA03CA" w:rsidRDefault="00D222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242C0" w14:textId="77777777" w:rsidR="00845761" w:rsidRDefault="00845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9CD90" w14:textId="77777777" w:rsidR="00DB65D6" w:rsidRPr="00FA03CA" w:rsidRDefault="00DB65D6">
      <w:pPr>
        <w:spacing w:after="0"/>
      </w:pPr>
      <w:r w:rsidRPr="00FA03CA">
        <w:separator/>
      </w:r>
    </w:p>
  </w:footnote>
  <w:footnote w:type="continuationSeparator" w:id="0">
    <w:p w14:paraId="25B6FD65" w14:textId="77777777" w:rsidR="00DB65D6" w:rsidRPr="00FA03CA" w:rsidRDefault="00DB65D6">
      <w:pPr>
        <w:spacing w:after="0"/>
      </w:pPr>
      <w:r w:rsidRPr="00FA03C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F7CCF" w14:textId="77777777" w:rsidR="00845761" w:rsidRDefault="00845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30D88" w14:textId="77777777" w:rsidR="00845761" w:rsidRDefault="008457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426" w14:textId="77777777" w:rsidR="00845761" w:rsidRDefault="00845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900D1"/>
    <w:multiLevelType w:val="hybridMultilevel"/>
    <w:tmpl w:val="F2F67FCA"/>
    <w:lvl w:ilvl="0" w:tplc="E794B000">
      <w:start w:val="1"/>
      <w:numFmt w:val="decimal"/>
      <w:pStyle w:val="Normalnumbered"/>
      <w:lvlText w:val="%1."/>
      <w:lvlJc w:val="left"/>
      <w:pPr>
        <w:ind w:left="360" w:hanging="360"/>
      </w:pPr>
      <w:rPr>
        <w:rFonts w:asciiTheme="minorHAnsi" w:hAnsiTheme="minorHAns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6B8F0B6D"/>
    <w:multiLevelType w:val="hybridMultilevel"/>
    <w:tmpl w:val="FFB8BE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Total_Editing_Time" w:val="83"/>
  </w:docVars>
  <w:rsids>
    <w:rsidRoot w:val="00C6407D"/>
    <w:rsid w:val="000001AC"/>
    <w:rsid w:val="00000724"/>
    <w:rsid w:val="00005837"/>
    <w:rsid w:val="00006B2D"/>
    <w:rsid w:val="00010E85"/>
    <w:rsid w:val="00052461"/>
    <w:rsid w:val="00056D58"/>
    <w:rsid w:val="000635A2"/>
    <w:rsid w:val="00072EE5"/>
    <w:rsid w:val="00077079"/>
    <w:rsid w:val="0007747C"/>
    <w:rsid w:val="0008599A"/>
    <w:rsid w:val="00085FAE"/>
    <w:rsid w:val="000A02C4"/>
    <w:rsid w:val="000A391A"/>
    <w:rsid w:val="000A48E4"/>
    <w:rsid w:val="000A5307"/>
    <w:rsid w:val="000D2860"/>
    <w:rsid w:val="000D565E"/>
    <w:rsid w:val="000D6EF3"/>
    <w:rsid w:val="000E1AA8"/>
    <w:rsid w:val="000E216F"/>
    <w:rsid w:val="000E6862"/>
    <w:rsid w:val="000F04A5"/>
    <w:rsid w:val="000F1EC9"/>
    <w:rsid w:val="001001D5"/>
    <w:rsid w:val="00107B44"/>
    <w:rsid w:val="00115747"/>
    <w:rsid w:val="00117257"/>
    <w:rsid w:val="0012238D"/>
    <w:rsid w:val="00126DFB"/>
    <w:rsid w:val="00132FAD"/>
    <w:rsid w:val="00136BFA"/>
    <w:rsid w:val="001511A9"/>
    <w:rsid w:val="00157FBB"/>
    <w:rsid w:val="0016048D"/>
    <w:rsid w:val="00161A2E"/>
    <w:rsid w:val="00165D10"/>
    <w:rsid w:val="00167883"/>
    <w:rsid w:val="00170D4B"/>
    <w:rsid w:val="00171C95"/>
    <w:rsid w:val="0017289B"/>
    <w:rsid w:val="00172FA8"/>
    <w:rsid w:val="00185C15"/>
    <w:rsid w:val="00196B88"/>
    <w:rsid w:val="001A5888"/>
    <w:rsid w:val="001B78C4"/>
    <w:rsid w:val="001C70C3"/>
    <w:rsid w:val="001D1ABB"/>
    <w:rsid w:val="001D6667"/>
    <w:rsid w:val="001E21CD"/>
    <w:rsid w:val="001F04E6"/>
    <w:rsid w:val="001F20AC"/>
    <w:rsid w:val="001F4627"/>
    <w:rsid w:val="00206AAE"/>
    <w:rsid w:val="00210821"/>
    <w:rsid w:val="00230DF1"/>
    <w:rsid w:val="00232A95"/>
    <w:rsid w:val="002468B0"/>
    <w:rsid w:val="00255FC2"/>
    <w:rsid w:val="002664DD"/>
    <w:rsid w:val="00267E03"/>
    <w:rsid w:val="00287615"/>
    <w:rsid w:val="00290DE3"/>
    <w:rsid w:val="00291C89"/>
    <w:rsid w:val="00293305"/>
    <w:rsid w:val="002B10D3"/>
    <w:rsid w:val="002C79FA"/>
    <w:rsid w:val="002D515A"/>
    <w:rsid w:val="002E0D3C"/>
    <w:rsid w:val="002E3E30"/>
    <w:rsid w:val="002E5277"/>
    <w:rsid w:val="002F1C1F"/>
    <w:rsid w:val="0030068B"/>
    <w:rsid w:val="00313247"/>
    <w:rsid w:val="003251A5"/>
    <w:rsid w:val="00335F97"/>
    <w:rsid w:val="003757E8"/>
    <w:rsid w:val="00377DF4"/>
    <w:rsid w:val="0038169A"/>
    <w:rsid w:val="00381FDF"/>
    <w:rsid w:val="00382397"/>
    <w:rsid w:val="0038343A"/>
    <w:rsid w:val="00390300"/>
    <w:rsid w:val="00391A80"/>
    <w:rsid w:val="00391AF8"/>
    <w:rsid w:val="0039646D"/>
    <w:rsid w:val="003A4765"/>
    <w:rsid w:val="003B0EBE"/>
    <w:rsid w:val="003B3229"/>
    <w:rsid w:val="003B6096"/>
    <w:rsid w:val="003B7238"/>
    <w:rsid w:val="003C2F94"/>
    <w:rsid w:val="003C37B9"/>
    <w:rsid w:val="003C75C2"/>
    <w:rsid w:val="003F0BC5"/>
    <w:rsid w:val="00401AD3"/>
    <w:rsid w:val="004045A0"/>
    <w:rsid w:val="00423173"/>
    <w:rsid w:val="004255A4"/>
    <w:rsid w:val="00425704"/>
    <w:rsid w:val="00431121"/>
    <w:rsid w:val="00441780"/>
    <w:rsid w:val="00450E25"/>
    <w:rsid w:val="00450E34"/>
    <w:rsid w:val="004667AF"/>
    <w:rsid w:val="00473710"/>
    <w:rsid w:val="004775FC"/>
    <w:rsid w:val="004861AE"/>
    <w:rsid w:val="00492319"/>
    <w:rsid w:val="00493D39"/>
    <w:rsid w:val="004943A7"/>
    <w:rsid w:val="004A5153"/>
    <w:rsid w:val="004A59DE"/>
    <w:rsid w:val="004B1839"/>
    <w:rsid w:val="004C78AE"/>
    <w:rsid w:val="004D1279"/>
    <w:rsid w:val="004D5606"/>
    <w:rsid w:val="004D6E1F"/>
    <w:rsid w:val="004E66CB"/>
    <w:rsid w:val="004F2F7A"/>
    <w:rsid w:val="004F4F6F"/>
    <w:rsid w:val="004F5142"/>
    <w:rsid w:val="004F612D"/>
    <w:rsid w:val="004F7CF1"/>
    <w:rsid w:val="00501B7E"/>
    <w:rsid w:val="00510827"/>
    <w:rsid w:val="005358FE"/>
    <w:rsid w:val="005506B7"/>
    <w:rsid w:val="005541BE"/>
    <w:rsid w:val="00555492"/>
    <w:rsid w:val="0056463E"/>
    <w:rsid w:val="0057327B"/>
    <w:rsid w:val="00590448"/>
    <w:rsid w:val="00595696"/>
    <w:rsid w:val="005A10E3"/>
    <w:rsid w:val="005B1C65"/>
    <w:rsid w:val="005B314F"/>
    <w:rsid w:val="005B544B"/>
    <w:rsid w:val="005B5880"/>
    <w:rsid w:val="005C0807"/>
    <w:rsid w:val="005C64CC"/>
    <w:rsid w:val="005D473B"/>
    <w:rsid w:val="005F0911"/>
    <w:rsid w:val="00617E3B"/>
    <w:rsid w:val="00630CB3"/>
    <w:rsid w:val="00631DFE"/>
    <w:rsid w:val="00640AC8"/>
    <w:rsid w:val="0065569A"/>
    <w:rsid w:val="0066718F"/>
    <w:rsid w:val="00676A0A"/>
    <w:rsid w:val="006B7092"/>
    <w:rsid w:val="006C372F"/>
    <w:rsid w:val="006E2A17"/>
    <w:rsid w:val="006F7BB6"/>
    <w:rsid w:val="007032C0"/>
    <w:rsid w:val="007047C3"/>
    <w:rsid w:val="00710F80"/>
    <w:rsid w:val="007229AE"/>
    <w:rsid w:val="00723852"/>
    <w:rsid w:val="0073663D"/>
    <w:rsid w:val="00753016"/>
    <w:rsid w:val="0076110A"/>
    <w:rsid w:val="00785459"/>
    <w:rsid w:val="00785701"/>
    <w:rsid w:val="007943B3"/>
    <w:rsid w:val="007A63F0"/>
    <w:rsid w:val="007B41EB"/>
    <w:rsid w:val="007C0C19"/>
    <w:rsid w:val="007C6C05"/>
    <w:rsid w:val="007F3159"/>
    <w:rsid w:val="008003B5"/>
    <w:rsid w:val="00807EC4"/>
    <w:rsid w:val="00810F6B"/>
    <w:rsid w:val="00822062"/>
    <w:rsid w:val="0083283B"/>
    <w:rsid w:val="00845761"/>
    <w:rsid w:val="00847EBB"/>
    <w:rsid w:val="008501B9"/>
    <w:rsid w:val="00851B2E"/>
    <w:rsid w:val="00855A39"/>
    <w:rsid w:val="00862CC1"/>
    <w:rsid w:val="00863CCE"/>
    <w:rsid w:val="00893207"/>
    <w:rsid w:val="008954D4"/>
    <w:rsid w:val="008A1BF3"/>
    <w:rsid w:val="008A5216"/>
    <w:rsid w:val="008B09ED"/>
    <w:rsid w:val="008B33C3"/>
    <w:rsid w:val="008B4F63"/>
    <w:rsid w:val="008C21AF"/>
    <w:rsid w:val="008C3EF7"/>
    <w:rsid w:val="008D31FC"/>
    <w:rsid w:val="008D37EC"/>
    <w:rsid w:val="008E0FC3"/>
    <w:rsid w:val="008E12A7"/>
    <w:rsid w:val="0090708E"/>
    <w:rsid w:val="0091212D"/>
    <w:rsid w:val="009245DB"/>
    <w:rsid w:val="00940854"/>
    <w:rsid w:val="009415D8"/>
    <w:rsid w:val="009441BD"/>
    <w:rsid w:val="0094652D"/>
    <w:rsid w:val="0095168C"/>
    <w:rsid w:val="009524EA"/>
    <w:rsid w:val="00960A3D"/>
    <w:rsid w:val="00961140"/>
    <w:rsid w:val="00976595"/>
    <w:rsid w:val="00976F76"/>
    <w:rsid w:val="00991700"/>
    <w:rsid w:val="0099193A"/>
    <w:rsid w:val="009A3FBB"/>
    <w:rsid w:val="009B08F8"/>
    <w:rsid w:val="009B39C5"/>
    <w:rsid w:val="009C1C2E"/>
    <w:rsid w:val="009D0C2D"/>
    <w:rsid w:val="009D6538"/>
    <w:rsid w:val="00A009A1"/>
    <w:rsid w:val="00A03A9E"/>
    <w:rsid w:val="00A07BA0"/>
    <w:rsid w:val="00A17415"/>
    <w:rsid w:val="00A224A3"/>
    <w:rsid w:val="00A339A6"/>
    <w:rsid w:val="00A36829"/>
    <w:rsid w:val="00A410E1"/>
    <w:rsid w:val="00A45744"/>
    <w:rsid w:val="00A627AC"/>
    <w:rsid w:val="00A632D2"/>
    <w:rsid w:val="00A64D1E"/>
    <w:rsid w:val="00A677EF"/>
    <w:rsid w:val="00A7145A"/>
    <w:rsid w:val="00A82E5A"/>
    <w:rsid w:val="00A90F5D"/>
    <w:rsid w:val="00A966D3"/>
    <w:rsid w:val="00A96BD7"/>
    <w:rsid w:val="00AB1538"/>
    <w:rsid w:val="00AB3647"/>
    <w:rsid w:val="00AC1233"/>
    <w:rsid w:val="00AC6C92"/>
    <w:rsid w:val="00AD1DA9"/>
    <w:rsid w:val="00AD7476"/>
    <w:rsid w:val="00AE413A"/>
    <w:rsid w:val="00AF76CF"/>
    <w:rsid w:val="00B0665C"/>
    <w:rsid w:val="00B20A3C"/>
    <w:rsid w:val="00B21C93"/>
    <w:rsid w:val="00B37B6F"/>
    <w:rsid w:val="00B42302"/>
    <w:rsid w:val="00B51AA0"/>
    <w:rsid w:val="00B720CD"/>
    <w:rsid w:val="00B72BB2"/>
    <w:rsid w:val="00B8380C"/>
    <w:rsid w:val="00B84332"/>
    <w:rsid w:val="00BA28D1"/>
    <w:rsid w:val="00BB3D94"/>
    <w:rsid w:val="00BB4485"/>
    <w:rsid w:val="00BB73E9"/>
    <w:rsid w:val="00BC7AA3"/>
    <w:rsid w:val="00BE61C2"/>
    <w:rsid w:val="00BF27D9"/>
    <w:rsid w:val="00C251CA"/>
    <w:rsid w:val="00C25E47"/>
    <w:rsid w:val="00C25E91"/>
    <w:rsid w:val="00C40120"/>
    <w:rsid w:val="00C508DA"/>
    <w:rsid w:val="00C62F25"/>
    <w:rsid w:val="00C6407D"/>
    <w:rsid w:val="00C736F3"/>
    <w:rsid w:val="00C75474"/>
    <w:rsid w:val="00C84129"/>
    <w:rsid w:val="00C95E2E"/>
    <w:rsid w:val="00CA3FAB"/>
    <w:rsid w:val="00CA4564"/>
    <w:rsid w:val="00CB1D7A"/>
    <w:rsid w:val="00CB4DDE"/>
    <w:rsid w:val="00CC6857"/>
    <w:rsid w:val="00CD10A4"/>
    <w:rsid w:val="00CD1F35"/>
    <w:rsid w:val="00CD4EE0"/>
    <w:rsid w:val="00CD6291"/>
    <w:rsid w:val="00D17443"/>
    <w:rsid w:val="00D22239"/>
    <w:rsid w:val="00D37B74"/>
    <w:rsid w:val="00D7147B"/>
    <w:rsid w:val="00D75F1A"/>
    <w:rsid w:val="00D8084D"/>
    <w:rsid w:val="00D81EF8"/>
    <w:rsid w:val="00D8353F"/>
    <w:rsid w:val="00D95F59"/>
    <w:rsid w:val="00DA5EC8"/>
    <w:rsid w:val="00DB50A4"/>
    <w:rsid w:val="00DB65D6"/>
    <w:rsid w:val="00DC0A2F"/>
    <w:rsid w:val="00DD3B47"/>
    <w:rsid w:val="00DD5FE1"/>
    <w:rsid w:val="00DD7E90"/>
    <w:rsid w:val="00DE3A19"/>
    <w:rsid w:val="00DE567E"/>
    <w:rsid w:val="00DE58D9"/>
    <w:rsid w:val="00DF098B"/>
    <w:rsid w:val="00E000F4"/>
    <w:rsid w:val="00E10840"/>
    <w:rsid w:val="00E17B86"/>
    <w:rsid w:val="00E5550B"/>
    <w:rsid w:val="00E70B0C"/>
    <w:rsid w:val="00E77827"/>
    <w:rsid w:val="00E91294"/>
    <w:rsid w:val="00E91472"/>
    <w:rsid w:val="00EA2590"/>
    <w:rsid w:val="00EC502A"/>
    <w:rsid w:val="00ED75B2"/>
    <w:rsid w:val="00EE1E95"/>
    <w:rsid w:val="00EE5C1A"/>
    <w:rsid w:val="00EE63AC"/>
    <w:rsid w:val="00EF6117"/>
    <w:rsid w:val="00F138AD"/>
    <w:rsid w:val="00F143C0"/>
    <w:rsid w:val="00F24F82"/>
    <w:rsid w:val="00F31187"/>
    <w:rsid w:val="00F44758"/>
    <w:rsid w:val="00F60C27"/>
    <w:rsid w:val="00F66335"/>
    <w:rsid w:val="00F67E27"/>
    <w:rsid w:val="00F83799"/>
    <w:rsid w:val="00F83A80"/>
    <w:rsid w:val="00F979ED"/>
    <w:rsid w:val="00FA03CA"/>
    <w:rsid w:val="00FC6C64"/>
    <w:rsid w:val="00FC7384"/>
    <w:rsid w:val="00FD0739"/>
    <w:rsid w:val="00FD3DA3"/>
    <w:rsid w:val="00FE11EF"/>
    <w:rsid w:val="00FF50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BDF44B"/>
  <w15:docId w15:val="{3E717879-13BC-44DC-9AC6-80784A43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07D"/>
    <w:pPr>
      <w:spacing w:after="120" w:line="240" w:lineRule="auto"/>
    </w:pPr>
    <w:rPr>
      <w:rFonts w:ascii="Arial" w:eastAsia="Times New Roman" w:hAnsi="Arial" w:cs="Arial"/>
      <w:sz w:val="20"/>
      <w:szCs w:val="24"/>
    </w:rPr>
  </w:style>
  <w:style w:type="paragraph" w:styleId="Heading5">
    <w:name w:val="heading 5"/>
    <w:aliases w:val="- Title"/>
    <w:basedOn w:val="Normal"/>
    <w:next w:val="Normal"/>
    <w:link w:val="Heading5Char"/>
    <w:uiPriority w:val="9"/>
    <w:qFormat/>
    <w:rsid w:val="00630CB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407D"/>
    <w:rPr>
      <w:sz w:val="16"/>
      <w:szCs w:val="16"/>
    </w:rPr>
  </w:style>
  <w:style w:type="paragraph" w:styleId="CommentText">
    <w:name w:val="annotation text"/>
    <w:basedOn w:val="Normal"/>
    <w:link w:val="CommentTextChar"/>
    <w:uiPriority w:val="99"/>
    <w:semiHidden/>
    <w:unhideWhenUsed/>
    <w:rsid w:val="00C6407D"/>
    <w:pPr>
      <w:spacing w:after="16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C6407D"/>
    <w:rPr>
      <w:sz w:val="20"/>
      <w:szCs w:val="20"/>
    </w:rPr>
  </w:style>
  <w:style w:type="paragraph" w:styleId="BodyText">
    <w:name w:val="Body Text"/>
    <w:basedOn w:val="Normal"/>
    <w:link w:val="BodyTextChar"/>
    <w:qFormat/>
    <w:rsid w:val="00C6407D"/>
    <w:pPr>
      <w:spacing w:before="60" w:line="240" w:lineRule="atLeast"/>
    </w:pPr>
    <w:rPr>
      <w:rFonts w:asciiTheme="minorHAnsi" w:hAnsiTheme="minorHAnsi" w:cs="Times New Roman"/>
      <w:color w:val="000000" w:themeColor="text1"/>
      <w:szCs w:val="20"/>
    </w:rPr>
  </w:style>
  <w:style w:type="character" w:customStyle="1" w:styleId="BodyTextChar">
    <w:name w:val="Body Text Char"/>
    <w:basedOn w:val="DefaultParagraphFont"/>
    <w:link w:val="BodyText"/>
    <w:rsid w:val="00C6407D"/>
    <w:rPr>
      <w:rFonts w:eastAsia="Times New Roman" w:cs="Times New Roman"/>
      <w:color w:val="000000" w:themeColor="text1"/>
      <w:sz w:val="20"/>
      <w:szCs w:val="20"/>
    </w:rPr>
  </w:style>
  <w:style w:type="paragraph" w:customStyle="1" w:styleId="Normalnumbered">
    <w:name w:val="Normal numbered"/>
    <w:basedOn w:val="ListParagraph"/>
    <w:qFormat/>
    <w:rsid w:val="00C6407D"/>
    <w:pPr>
      <w:numPr>
        <w:numId w:val="1"/>
      </w:numPr>
      <w:tabs>
        <w:tab w:val="num" w:pos="360"/>
      </w:tabs>
      <w:spacing w:after="113" w:line="240" w:lineRule="atLeast"/>
      <w:ind w:left="720" w:firstLine="0"/>
      <w:contextualSpacing w:val="0"/>
    </w:pPr>
    <w:rPr>
      <w:szCs w:val="22"/>
      <w:lang w:eastAsia="en-AU"/>
    </w:rPr>
  </w:style>
  <w:style w:type="paragraph" w:styleId="Header">
    <w:name w:val="header"/>
    <w:basedOn w:val="Normal"/>
    <w:link w:val="HeaderChar"/>
    <w:uiPriority w:val="99"/>
    <w:unhideWhenUsed/>
    <w:rsid w:val="00C6407D"/>
    <w:pPr>
      <w:tabs>
        <w:tab w:val="center" w:pos="4513"/>
        <w:tab w:val="right" w:pos="9026"/>
      </w:tabs>
      <w:spacing w:after="0"/>
    </w:pPr>
  </w:style>
  <w:style w:type="character" w:customStyle="1" w:styleId="HeaderChar">
    <w:name w:val="Header Char"/>
    <w:basedOn w:val="DefaultParagraphFont"/>
    <w:link w:val="Header"/>
    <w:uiPriority w:val="99"/>
    <w:rsid w:val="00C6407D"/>
    <w:rPr>
      <w:rFonts w:ascii="Arial" w:eastAsia="Times New Roman" w:hAnsi="Arial" w:cs="Arial"/>
      <w:sz w:val="20"/>
      <w:szCs w:val="24"/>
    </w:rPr>
  </w:style>
  <w:style w:type="paragraph" w:styleId="Footer">
    <w:name w:val="footer"/>
    <w:basedOn w:val="Normal"/>
    <w:link w:val="FooterChar"/>
    <w:uiPriority w:val="99"/>
    <w:unhideWhenUsed/>
    <w:rsid w:val="00C6407D"/>
    <w:pPr>
      <w:tabs>
        <w:tab w:val="center" w:pos="4513"/>
        <w:tab w:val="right" w:pos="9026"/>
      </w:tabs>
      <w:spacing w:after="0"/>
    </w:pPr>
  </w:style>
  <w:style w:type="character" w:customStyle="1" w:styleId="FooterChar">
    <w:name w:val="Footer Char"/>
    <w:basedOn w:val="DefaultParagraphFont"/>
    <w:link w:val="Footer"/>
    <w:uiPriority w:val="99"/>
    <w:rsid w:val="00C6407D"/>
    <w:rPr>
      <w:rFonts w:ascii="Arial" w:eastAsia="Times New Roman" w:hAnsi="Arial" w:cs="Arial"/>
      <w:sz w:val="20"/>
      <w:szCs w:val="24"/>
    </w:rPr>
  </w:style>
  <w:style w:type="table" w:styleId="TableGrid">
    <w:name w:val="Table Grid"/>
    <w:basedOn w:val="TableNormal"/>
    <w:uiPriority w:val="39"/>
    <w:rsid w:val="00C64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407D"/>
    <w:pPr>
      <w:ind w:left="720"/>
      <w:contextualSpacing/>
    </w:pPr>
  </w:style>
  <w:style w:type="character" w:styleId="LineNumber">
    <w:name w:val="line number"/>
    <w:basedOn w:val="DefaultParagraphFont"/>
    <w:uiPriority w:val="99"/>
    <w:semiHidden/>
    <w:unhideWhenUsed/>
    <w:rsid w:val="00C6407D"/>
  </w:style>
  <w:style w:type="paragraph" w:styleId="BalloonText">
    <w:name w:val="Balloon Text"/>
    <w:basedOn w:val="Normal"/>
    <w:link w:val="BalloonTextChar"/>
    <w:uiPriority w:val="99"/>
    <w:semiHidden/>
    <w:unhideWhenUsed/>
    <w:rsid w:val="00C6407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07D"/>
    <w:rPr>
      <w:rFonts w:ascii="Segoe UI" w:eastAsia="Times New Roman" w:hAnsi="Segoe UI" w:cs="Segoe UI"/>
      <w:sz w:val="18"/>
      <w:szCs w:val="18"/>
    </w:rPr>
  </w:style>
  <w:style w:type="paragraph" w:customStyle="1" w:styleId="ARIERRefs">
    <w:name w:val="ARIER_Refs"/>
    <w:basedOn w:val="Normal"/>
    <w:uiPriority w:val="99"/>
    <w:qFormat/>
    <w:rsid w:val="00165D10"/>
    <w:pPr>
      <w:ind w:left="709" w:hanging="709"/>
    </w:pPr>
    <w:rPr>
      <w:noProof/>
    </w:rPr>
  </w:style>
  <w:style w:type="character" w:styleId="Hyperlink">
    <w:name w:val="Hyperlink"/>
    <w:uiPriority w:val="99"/>
    <w:rsid w:val="000E1AA8"/>
    <w:rPr>
      <w:rFonts w:ascii="Arial" w:hAnsi="Arial"/>
      <w:color w:val="0000FF"/>
      <w:u w:val="single"/>
    </w:rPr>
  </w:style>
  <w:style w:type="paragraph" w:styleId="CommentSubject">
    <w:name w:val="annotation subject"/>
    <w:basedOn w:val="CommentText"/>
    <w:next w:val="CommentText"/>
    <w:link w:val="CommentSubjectChar"/>
    <w:uiPriority w:val="99"/>
    <w:semiHidden/>
    <w:unhideWhenUsed/>
    <w:rsid w:val="00F138AD"/>
    <w:pPr>
      <w:spacing w:after="120"/>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F138AD"/>
    <w:rPr>
      <w:rFonts w:ascii="Arial" w:eastAsia="Times New Roman" w:hAnsi="Arial" w:cs="Arial"/>
      <w:b/>
      <w:bCs/>
      <w:sz w:val="20"/>
      <w:szCs w:val="20"/>
    </w:rPr>
  </w:style>
  <w:style w:type="character" w:customStyle="1" w:styleId="Heading5Char">
    <w:name w:val="Heading 5 Char"/>
    <w:aliases w:val="- Title Char"/>
    <w:basedOn w:val="DefaultParagraphFont"/>
    <w:link w:val="Heading5"/>
    <w:uiPriority w:val="9"/>
    <w:rsid w:val="00630CB3"/>
    <w:rPr>
      <w:rFonts w:ascii="Arial" w:eastAsia="Times New Roman" w:hAnsi="Arial" w:cs="Arial"/>
      <w:b/>
      <w:bCs/>
      <w:i/>
      <w:iCs/>
      <w:sz w:val="26"/>
      <w:szCs w:val="26"/>
    </w:rPr>
  </w:style>
  <w:style w:type="paragraph" w:customStyle="1" w:styleId="FirstParagraph">
    <w:name w:val="First Paragraph"/>
    <w:basedOn w:val="BodyText"/>
    <w:next w:val="BodyText"/>
    <w:qFormat/>
    <w:rsid w:val="00630CB3"/>
    <w:pPr>
      <w:spacing w:before="180" w:after="180" w:line="240" w:lineRule="auto"/>
    </w:pPr>
    <w:rPr>
      <w:rFonts w:ascii="Calibri" w:eastAsiaTheme="minorHAnsi" w:hAnsi="Calibri" w:cstheme="minorBidi"/>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5844</Words>
  <Characters>33312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Ivor Stuart</dc:creator>
  <cp:lastModifiedBy>Ivor G Stuart (DELWP)</cp:lastModifiedBy>
  <cp:revision>12</cp:revision>
  <cp:lastPrinted>2021-01-05T06:23:00Z</cp:lastPrinted>
  <dcterms:created xsi:type="dcterms:W3CDTF">2021-01-09T22:22:00Z</dcterms:created>
  <dcterms:modified xsi:type="dcterms:W3CDTF">2021-01-09T23:23:00Z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2020-12-04T21:57:40Z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77025789-38ad-44b2-a2e1-8d1ca3a747a9</vt:lpwstr>
  </property>
  <property fmtid="{D5CDD505-2E9C-101B-9397-08002B2CF9AE}" pid="8" name="MSIP_Label_4257e2ab-f512-40e2-9c9a-c64247360765_ContentBits">
    <vt:lpwstr>2</vt:lpwstr>
  </property>
</Properties>
</file>