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0A4" w14:textId="623D78EF" w:rsidR="00A80746" w:rsidRDefault="00D0735A" w:rsidP="0050365C">
      <w:pPr>
        <w:pStyle w:val="EndNoteBibliography"/>
        <w:spacing w:line="360" w:lineRule="auto"/>
        <w:rPr>
          <w:sz w:val="22"/>
        </w:rPr>
      </w:pPr>
      <w:r w:rsidRPr="00F95519">
        <w:rPr>
          <w:b/>
          <w:bCs/>
          <w:sz w:val="22"/>
        </w:rPr>
        <w:t>Supp</w:t>
      </w:r>
      <w:r>
        <w:rPr>
          <w:b/>
          <w:bCs/>
          <w:sz w:val="22"/>
        </w:rPr>
        <w:t>lementary</w:t>
      </w:r>
      <w:r w:rsidRPr="00F95519">
        <w:rPr>
          <w:b/>
          <w:bCs/>
          <w:sz w:val="22"/>
        </w:rPr>
        <w:t xml:space="preserve"> </w:t>
      </w:r>
      <w:r w:rsidR="00683999">
        <w:rPr>
          <w:b/>
          <w:bCs/>
          <w:sz w:val="22"/>
        </w:rPr>
        <w:t xml:space="preserve">Table </w:t>
      </w:r>
      <w:r w:rsidR="00A80746" w:rsidRPr="00F95519">
        <w:rPr>
          <w:b/>
          <w:bCs/>
          <w:sz w:val="22"/>
        </w:rPr>
        <w:t>1</w:t>
      </w:r>
      <w:r>
        <w:rPr>
          <w:b/>
          <w:bCs/>
          <w:sz w:val="22"/>
        </w:rPr>
        <w:t>.</w:t>
      </w:r>
      <w:r w:rsidR="00A80746" w:rsidRPr="00F95519">
        <w:rPr>
          <w:sz w:val="22"/>
        </w:rPr>
        <w:t xml:space="preserve"> Averaged temperature and humidity data for south-east and northern Queensland representing summer (February 2020) and winter (July 2020) conditions. Climate data taken from </w:t>
      </w:r>
      <w:r w:rsidR="0050365C" w:rsidRPr="002A45CE">
        <w:rPr>
          <w:sz w:val="22"/>
        </w:rPr>
        <w:fldChar w:fldCharType="begin"/>
      </w:r>
      <w:r w:rsidR="006B630B">
        <w:rPr>
          <w:sz w:val="22"/>
        </w:rPr>
        <w:instrText xml:space="preserve"> ADDIN EN.CITE &lt;EndNote&gt;&lt;Cite AuthorYear="1"&gt;&lt;Author&gt;Australian Bureau of Meteorology&lt;/Author&gt;&lt;Year&gt;2022&lt;/Year&gt;&lt;RecNum&gt;214&lt;/RecNum&gt;&lt;DisplayText&gt;Australian Bureau of Meteorology (2022)&lt;/DisplayText&gt;&lt;record&gt;&lt;rec-number&gt;214&lt;/rec-number&gt;&lt;foreign-keys&gt;&lt;key app="EN" db-id="5fxxtd2e3fp00re0er7v20w49r99a0ta20e9" timestamp="1701833570"&gt;214&lt;/key&gt;&lt;/foreign-keys&gt;&lt;ref-type name="Web Page"&gt;12&lt;/ref-type&gt;&lt;contributors&gt;&lt;authors&gt;&lt;author&gt;Australian Bureau of Meteorology,&lt;/author&gt;&lt;/authors&gt;&lt;/contributors&gt;&lt;titles&gt;&lt;title&gt;Climate Data Online&lt;/title&gt;&lt;/titles&gt;&lt;volume&gt;2020&lt;/volume&gt;&lt;number&gt;November 30&lt;/number&gt;&lt;dates&gt;&lt;year&gt;2022&lt;/year&gt;&lt;/dates&gt;&lt;urls&gt;&lt;related-urls&gt;&lt;url&gt;http://www.bom.gov.au/climate/data/index.shtml&lt;/url&gt;&lt;/related-urls&gt;&lt;/urls&gt;&lt;/record&gt;&lt;/Cite&gt;&lt;/EndNote&gt;</w:instrText>
      </w:r>
      <w:r w:rsidR="0050365C" w:rsidRPr="002A45CE">
        <w:rPr>
          <w:sz w:val="22"/>
        </w:rPr>
        <w:fldChar w:fldCharType="separate"/>
      </w:r>
      <w:r w:rsidR="0050365C" w:rsidRPr="002A45CE">
        <w:rPr>
          <w:sz w:val="22"/>
        </w:rPr>
        <w:t>Australian Bureau of Meteorology (2022)</w:t>
      </w:r>
      <w:r w:rsidR="0050365C" w:rsidRPr="002A45CE">
        <w:rPr>
          <w:sz w:val="22"/>
        </w:rPr>
        <w:fldChar w:fldCharType="end"/>
      </w:r>
      <w:r w:rsidR="0050365C" w:rsidRPr="002A45CE">
        <w:rPr>
          <w:sz w:val="22"/>
        </w:rPr>
        <w:t>.</w:t>
      </w:r>
      <w:r w:rsidR="002B3105">
        <w:rPr>
          <w:sz w:val="22"/>
        </w:rPr>
        <w:t xml:space="preserve"> RH = Relative humidity</w:t>
      </w:r>
    </w:p>
    <w:tbl>
      <w:tblPr>
        <w:tblStyle w:val="TableGrid"/>
        <w:tblW w:w="10641" w:type="dxa"/>
        <w:jc w:val="right"/>
        <w:tblLook w:val="04A0" w:firstRow="1" w:lastRow="0" w:firstColumn="1" w:lastColumn="0" w:noHBand="0" w:noVBand="1"/>
      </w:tblPr>
      <w:tblGrid>
        <w:gridCol w:w="5413"/>
        <w:gridCol w:w="5228"/>
      </w:tblGrid>
      <w:tr w:rsidR="006D546B" w:rsidRPr="00F95519" w14:paraId="784BC2F5" w14:textId="77777777" w:rsidTr="006D546B">
        <w:trPr>
          <w:trHeight w:val="690"/>
          <w:jc w:val="right"/>
        </w:trPr>
        <w:tc>
          <w:tcPr>
            <w:tcW w:w="5413" w:type="dxa"/>
          </w:tcPr>
          <w:p w14:paraId="2C28E956" w14:textId="77777777" w:rsidR="006D546B" w:rsidRPr="00F95519" w:rsidRDefault="006D546B" w:rsidP="006D546B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519">
              <w:rPr>
                <w:rFonts w:ascii="Times New Roman" w:hAnsi="Times New Roman" w:cs="Times New Roman"/>
                <w:b/>
                <w:bCs/>
              </w:rPr>
              <w:t xml:space="preserve">South-east Queensland </w:t>
            </w:r>
          </w:p>
        </w:tc>
        <w:tc>
          <w:tcPr>
            <w:tcW w:w="5228" w:type="dxa"/>
          </w:tcPr>
          <w:p w14:paraId="388C454F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95519">
              <w:rPr>
                <w:rFonts w:ascii="Times New Roman" w:hAnsi="Times New Roman" w:cs="Times New Roman"/>
                <w:b/>
                <w:bCs/>
              </w:rPr>
              <w:t>Northern Queensland</w:t>
            </w:r>
          </w:p>
        </w:tc>
      </w:tr>
      <w:tr w:rsidR="006D546B" w:rsidRPr="00F95519" w14:paraId="0CD39F05" w14:textId="77777777" w:rsidTr="006D546B">
        <w:trPr>
          <w:jc w:val="right"/>
        </w:trPr>
        <w:tc>
          <w:tcPr>
            <w:tcW w:w="5413" w:type="dxa"/>
          </w:tcPr>
          <w:p w14:paraId="0D833A5A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95519">
              <w:rPr>
                <w:rFonts w:ascii="Times New Roman" w:hAnsi="Times New Roman" w:cs="Times New Roman"/>
                <w:b/>
                <w:bCs/>
              </w:rPr>
              <w:t>Brisbane</w:t>
            </w:r>
          </w:p>
          <w:p w14:paraId="7E624038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February: 23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30 °C; RH: 70%</w:t>
            </w:r>
          </w:p>
          <w:p w14:paraId="1A46A705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July: 11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22 °C; RH: 66%</w:t>
            </w:r>
          </w:p>
          <w:p w14:paraId="23823C44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Humidity ~50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70% through the year; max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519">
              <w:rPr>
                <w:rFonts w:ascii="Times New Roman" w:hAnsi="Times New Roman" w:cs="Times New Roman"/>
              </w:rPr>
              <w:t>90%; min ~10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228" w:type="dxa"/>
          </w:tcPr>
          <w:p w14:paraId="564EC130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95519">
              <w:rPr>
                <w:rFonts w:ascii="Times New Roman" w:hAnsi="Times New Roman" w:cs="Times New Roman"/>
                <w:b/>
                <w:bCs/>
              </w:rPr>
              <w:t>Cairns</w:t>
            </w:r>
          </w:p>
          <w:p w14:paraId="26562907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February: 25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34 °C; RH: 70%</w:t>
            </w:r>
          </w:p>
          <w:p w14:paraId="5270BC2C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July: 17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26 °C; RH: 70%</w:t>
            </w:r>
          </w:p>
          <w:p w14:paraId="49EFBA87" w14:textId="77777777" w:rsidR="006D546B" w:rsidRPr="00F95519" w:rsidRDefault="006D546B" w:rsidP="000C6A04">
            <w:pPr>
              <w:spacing w:before="240" w:after="16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Humidity ~60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80% through the year; max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519">
              <w:rPr>
                <w:rFonts w:ascii="Times New Roman" w:hAnsi="Times New Roman" w:cs="Times New Roman"/>
              </w:rPr>
              <w:t>90%; min ~30%</w:t>
            </w:r>
          </w:p>
        </w:tc>
      </w:tr>
      <w:tr w:rsidR="006D546B" w:rsidRPr="00F95519" w14:paraId="0E9C231D" w14:textId="77777777" w:rsidTr="006D546B">
        <w:trPr>
          <w:jc w:val="right"/>
        </w:trPr>
        <w:tc>
          <w:tcPr>
            <w:tcW w:w="5413" w:type="dxa"/>
          </w:tcPr>
          <w:p w14:paraId="2D882B5B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95519">
              <w:rPr>
                <w:rFonts w:ascii="Times New Roman" w:hAnsi="Times New Roman" w:cs="Times New Roman"/>
                <w:b/>
                <w:bCs/>
              </w:rPr>
              <w:t>Moreton</w:t>
            </w:r>
          </w:p>
          <w:p w14:paraId="5BF3FFCC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February: 25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33 °C; RH: 80%</w:t>
            </w:r>
          </w:p>
          <w:p w14:paraId="3AA928B9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July: 20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28 °C; RH: 80%</w:t>
            </w:r>
          </w:p>
          <w:p w14:paraId="068C2577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Humidity ~60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80% through the year; max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519">
              <w:rPr>
                <w:rFonts w:ascii="Times New Roman" w:hAnsi="Times New Roman" w:cs="Times New Roman"/>
              </w:rPr>
              <w:t>90%; min ~40%</w:t>
            </w:r>
          </w:p>
        </w:tc>
        <w:tc>
          <w:tcPr>
            <w:tcW w:w="5228" w:type="dxa"/>
          </w:tcPr>
          <w:p w14:paraId="4985FB0E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95519">
              <w:rPr>
                <w:rFonts w:ascii="Times New Roman" w:hAnsi="Times New Roman" w:cs="Times New Roman"/>
                <w:b/>
                <w:bCs/>
              </w:rPr>
              <w:t>Cooktown</w:t>
            </w:r>
          </w:p>
          <w:p w14:paraId="33FD2419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February: 25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33 °C; RH: 80%</w:t>
            </w:r>
          </w:p>
          <w:p w14:paraId="115EAF06" w14:textId="77777777" w:rsidR="006D546B" w:rsidRPr="00F95519" w:rsidRDefault="006D546B" w:rsidP="000C6A04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July: 19</w:t>
            </w:r>
            <w:r w:rsidRPr="00F757B4">
              <w:rPr>
                <w:rFonts w:ascii="Times New Roman" w:hAnsi="Times New Roman" w:cs="Times New Roman"/>
              </w:rPr>
              <w:t>–</w:t>
            </w:r>
            <w:r w:rsidRPr="00F95519">
              <w:rPr>
                <w:rFonts w:ascii="Times New Roman" w:hAnsi="Times New Roman" w:cs="Times New Roman"/>
              </w:rPr>
              <w:t>27 °C; RH: 70%</w:t>
            </w:r>
          </w:p>
          <w:p w14:paraId="786D27C8" w14:textId="77777777" w:rsidR="006D546B" w:rsidRPr="00F95519" w:rsidRDefault="006D546B" w:rsidP="000C6A04">
            <w:pPr>
              <w:spacing w:before="240" w:after="160" w:line="276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Humidity ~60-80% through the year; max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519">
              <w:rPr>
                <w:rFonts w:ascii="Times New Roman" w:hAnsi="Times New Roman" w:cs="Times New Roman"/>
              </w:rPr>
              <w:t>90%; min ~50%</w:t>
            </w:r>
          </w:p>
        </w:tc>
      </w:tr>
    </w:tbl>
    <w:p w14:paraId="4F569848" w14:textId="77777777" w:rsidR="006D546B" w:rsidRDefault="006D546B" w:rsidP="006D546B">
      <w:pPr>
        <w:pStyle w:val="EndNoteBibliography"/>
        <w:spacing w:line="360" w:lineRule="auto"/>
        <w:jc w:val="center"/>
        <w:rPr>
          <w:i/>
          <w:iCs/>
          <w:sz w:val="22"/>
        </w:rPr>
      </w:pPr>
    </w:p>
    <w:p w14:paraId="17B355D8" w14:textId="77777777" w:rsidR="00632216" w:rsidRPr="00E147F0" w:rsidRDefault="00632216" w:rsidP="0050365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97D69" w14:textId="79397B12" w:rsidR="00E147F0" w:rsidRPr="00E147F0" w:rsidRDefault="00E147F0" w:rsidP="00E147F0">
      <w:pPr>
        <w:spacing w:line="360" w:lineRule="auto"/>
        <w:rPr>
          <w:rFonts w:ascii="Times New Roman" w:hAnsi="Times New Roman" w:cs="Times New Roman"/>
        </w:rPr>
      </w:pPr>
      <w:r w:rsidRPr="006B630B">
        <w:rPr>
          <w:rFonts w:ascii="Times New Roman" w:hAnsi="Times New Roman" w:cs="Times New Roman"/>
          <w:b/>
        </w:rPr>
        <w:t>Supplementary Table 2.</w:t>
      </w:r>
      <w:r w:rsidRPr="006B630B">
        <w:rPr>
          <w:rFonts w:ascii="Times New Roman" w:hAnsi="Times New Roman" w:cs="Times New Roman"/>
        </w:rPr>
        <w:t xml:space="preserve"> A</w:t>
      </w:r>
      <w:r w:rsidRPr="00E147F0">
        <w:rPr>
          <w:rFonts w:ascii="Times New Roman" w:hAnsi="Times New Roman" w:cs="Times New Roman"/>
        </w:rPr>
        <w:t xml:space="preserve">verage temperature and humidity data recorded in the cabinets during the seven </w:t>
      </w:r>
      <w:r w:rsidR="002B3105">
        <w:rPr>
          <w:rFonts w:ascii="Times New Roman" w:hAnsi="Times New Roman" w:cs="Times New Roman"/>
        </w:rPr>
        <w:t xml:space="preserve">mock tephritid </w:t>
      </w:r>
      <w:r w:rsidRPr="00E147F0">
        <w:rPr>
          <w:rFonts w:ascii="Times New Roman" w:hAnsi="Times New Roman" w:cs="Times New Roman"/>
        </w:rPr>
        <w:t xml:space="preserve">fly treatment experiments. *3B Thermostat failed at 3 weeks; Average temperature weeks 1 to 3 = </w:t>
      </w:r>
      <w:r w:rsidRPr="00E147F0">
        <w:rPr>
          <w:rFonts w:ascii="Times New Roman" w:hAnsi="Times New Roman" w:cs="Times New Roman"/>
          <w:noProof/>
        </w:rPr>
        <w:t xml:space="preserve">34.10 °C ± 0.03°C; </w:t>
      </w:r>
      <w:r w:rsidRPr="00E147F0">
        <w:rPr>
          <w:rFonts w:ascii="Times New Roman" w:hAnsi="Times New Roman" w:cs="Times New Roman"/>
        </w:rPr>
        <w:t>Average temperature week 4 = 19.37</w:t>
      </w:r>
      <w:r w:rsidRPr="00E147F0">
        <w:rPr>
          <w:rFonts w:ascii="Times New Roman" w:hAnsi="Times New Roman" w:cs="Times New Roman"/>
          <w:noProof/>
        </w:rPr>
        <w:t xml:space="preserve"> °C ± 0.28°C; Humidity was stable.</w:t>
      </w:r>
    </w:p>
    <w:tbl>
      <w:tblPr>
        <w:tblStyle w:val="PlainTable2"/>
        <w:tblW w:w="9923" w:type="dxa"/>
        <w:tblLook w:val="04A0" w:firstRow="1" w:lastRow="0" w:firstColumn="1" w:lastColumn="0" w:noHBand="0" w:noVBand="1"/>
      </w:tblPr>
      <w:tblGrid>
        <w:gridCol w:w="1277"/>
        <w:gridCol w:w="1843"/>
        <w:gridCol w:w="2267"/>
        <w:gridCol w:w="1559"/>
        <w:gridCol w:w="2977"/>
      </w:tblGrid>
      <w:tr w:rsidR="00E147F0" w:rsidRPr="00F95519" w14:paraId="63D983D5" w14:textId="77777777" w:rsidTr="00991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7FDD11F0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 xml:space="preserve">Treatment </w:t>
            </w:r>
          </w:p>
        </w:tc>
        <w:tc>
          <w:tcPr>
            <w:tcW w:w="1843" w:type="dxa"/>
            <w:noWrap/>
            <w:hideMark/>
          </w:tcPr>
          <w:p w14:paraId="5F061A7F" w14:textId="77777777" w:rsidR="00E147F0" w:rsidRPr="00F95519" w:rsidRDefault="00E147F0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Set temperature (°C)</w:t>
            </w:r>
          </w:p>
        </w:tc>
        <w:tc>
          <w:tcPr>
            <w:tcW w:w="2267" w:type="dxa"/>
            <w:noWrap/>
          </w:tcPr>
          <w:p w14:paraId="08337326" w14:textId="77777777" w:rsidR="00E147F0" w:rsidRPr="00F95519" w:rsidRDefault="00E147F0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Avg. measured temperature (°C)</w:t>
            </w:r>
          </w:p>
        </w:tc>
        <w:tc>
          <w:tcPr>
            <w:tcW w:w="1559" w:type="dxa"/>
          </w:tcPr>
          <w:p w14:paraId="38D539B1" w14:textId="77777777" w:rsidR="00E147F0" w:rsidRPr="00F95519" w:rsidRDefault="00E147F0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Set humidity (%)</w:t>
            </w:r>
          </w:p>
        </w:tc>
        <w:tc>
          <w:tcPr>
            <w:tcW w:w="2977" w:type="dxa"/>
          </w:tcPr>
          <w:p w14:paraId="671320AD" w14:textId="77777777" w:rsidR="00E147F0" w:rsidRPr="00F95519" w:rsidRDefault="00E147F0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Avg. measured humidity (%)</w:t>
            </w:r>
          </w:p>
        </w:tc>
      </w:tr>
      <w:tr w:rsidR="00E147F0" w:rsidRPr="00F95519" w14:paraId="2F750B85" w14:textId="77777777" w:rsidTr="0099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AA36D4E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AA50487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20.0</w:t>
            </w:r>
          </w:p>
        </w:tc>
        <w:tc>
          <w:tcPr>
            <w:tcW w:w="2267" w:type="dxa"/>
            <w:noWrap/>
          </w:tcPr>
          <w:p w14:paraId="07AB9BEB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19.99 ± 0.04</w:t>
            </w:r>
          </w:p>
        </w:tc>
        <w:tc>
          <w:tcPr>
            <w:tcW w:w="1559" w:type="dxa"/>
          </w:tcPr>
          <w:p w14:paraId="5D8936EC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50.0</w:t>
            </w:r>
          </w:p>
        </w:tc>
        <w:tc>
          <w:tcPr>
            <w:tcW w:w="2977" w:type="dxa"/>
          </w:tcPr>
          <w:p w14:paraId="740CF08B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50.17 ± 0.37</w:t>
            </w:r>
          </w:p>
        </w:tc>
      </w:tr>
      <w:tr w:rsidR="00E147F0" w:rsidRPr="00F95519" w14:paraId="483DC198" w14:textId="77777777" w:rsidTr="00991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847AD15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30C7C836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27.5</w:t>
            </w:r>
          </w:p>
        </w:tc>
        <w:tc>
          <w:tcPr>
            <w:tcW w:w="2267" w:type="dxa"/>
            <w:noWrap/>
          </w:tcPr>
          <w:p w14:paraId="7B588153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26.66 ± 0.14</w:t>
            </w:r>
          </w:p>
        </w:tc>
        <w:tc>
          <w:tcPr>
            <w:tcW w:w="1559" w:type="dxa"/>
          </w:tcPr>
          <w:p w14:paraId="0D6658D2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70.0</w:t>
            </w:r>
          </w:p>
        </w:tc>
        <w:tc>
          <w:tcPr>
            <w:tcW w:w="2977" w:type="dxa"/>
          </w:tcPr>
          <w:p w14:paraId="2A6A39F2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71.94 ± 0.95</w:t>
            </w:r>
          </w:p>
        </w:tc>
      </w:tr>
      <w:tr w:rsidR="00E147F0" w:rsidRPr="00F95519" w14:paraId="25CE89B9" w14:textId="77777777" w:rsidTr="0099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438C568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3A</w:t>
            </w:r>
          </w:p>
        </w:tc>
        <w:tc>
          <w:tcPr>
            <w:tcW w:w="1843" w:type="dxa"/>
            <w:noWrap/>
            <w:hideMark/>
          </w:tcPr>
          <w:p w14:paraId="10F9CA73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35.0</w:t>
            </w:r>
          </w:p>
        </w:tc>
        <w:tc>
          <w:tcPr>
            <w:tcW w:w="2267" w:type="dxa"/>
            <w:noWrap/>
          </w:tcPr>
          <w:p w14:paraId="59D862EF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35.25 ± 0.05</w:t>
            </w:r>
          </w:p>
        </w:tc>
        <w:tc>
          <w:tcPr>
            <w:tcW w:w="1559" w:type="dxa"/>
          </w:tcPr>
          <w:p w14:paraId="5D585DC3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90.0</w:t>
            </w:r>
          </w:p>
        </w:tc>
        <w:tc>
          <w:tcPr>
            <w:tcW w:w="2977" w:type="dxa"/>
          </w:tcPr>
          <w:p w14:paraId="2211F41C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92.41 ± 1.52</w:t>
            </w:r>
          </w:p>
        </w:tc>
      </w:tr>
      <w:tr w:rsidR="00E147F0" w:rsidRPr="00F95519" w14:paraId="79C0BA03" w14:textId="77777777" w:rsidTr="00991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</w:tcPr>
          <w:p w14:paraId="7F8656D8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3B</w:t>
            </w:r>
          </w:p>
        </w:tc>
        <w:tc>
          <w:tcPr>
            <w:tcW w:w="1843" w:type="dxa"/>
            <w:noWrap/>
          </w:tcPr>
          <w:p w14:paraId="5FBE9819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35.0</w:t>
            </w:r>
          </w:p>
        </w:tc>
        <w:tc>
          <w:tcPr>
            <w:tcW w:w="2267" w:type="dxa"/>
            <w:noWrap/>
          </w:tcPr>
          <w:p w14:paraId="2DDDEC32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26.00 ± 7.33*</w:t>
            </w:r>
          </w:p>
        </w:tc>
        <w:tc>
          <w:tcPr>
            <w:tcW w:w="1559" w:type="dxa"/>
          </w:tcPr>
          <w:p w14:paraId="35BB1055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90.0</w:t>
            </w:r>
          </w:p>
        </w:tc>
        <w:tc>
          <w:tcPr>
            <w:tcW w:w="2977" w:type="dxa"/>
          </w:tcPr>
          <w:p w14:paraId="646E625F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93.15 ± 2.58</w:t>
            </w:r>
          </w:p>
        </w:tc>
      </w:tr>
      <w:tr w:rsidR="00E147F0" w:rsidRPr="00F95519" w14:paraId="05171C5A" w14:textId="77777777" w:rsidTr="0099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71AD0DAE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16F2D183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35.0</w:t>
            </w:r>
          </w:p>
        </w:tc>
        <w:tc>
          <w:tcPr>
            <w:tcW w:w="2267" w:type="dxa"/>
            <w:noWrap/>
          </w:tcPr>
          <w:p w14:paraId="7C5C4775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34.00 ± 0.18</w:t>
            </w:r>
          </w:p>
        </w:tc>
        <w:tc>
          <w:tcPr>
            <w:tcW w:w="1559" w:type="dxa"/>
          </w:tcPr>
          <w:p w14:paraId="7B2E4E88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50.0</w:t>
            </w:r>
          </w:p>
        </w:tc>
        <w:tc>
          <w:tcPr>
            <w:tcW w:w="2977" w:type="dxa"/>
          </w:tcPr>
          <w:p w14:paraId="3A87C180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51.63 ± 0.62</w:t>
            </w:r>
          </w:p>
        </w:tc>
      </w:tr>
      <w:tr w:rsidR="00E147F0" w:rsidRPr="00F95519" w14:paraId="01E54B5C" w14:textId="77777777" w:rsidTr="00991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2A75BCB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4979764D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20.0</w:t>
            </w:r>
          </w:p>
        </w:tc>
        <w:tc>
          <w:tcPr>
            <w:tcW w:w="2267" w:type="dxa"/>
            <w:noWrap/>
          </w:tcPr>
          <w:p w14:paraId="53BC55F7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19.33 ± 0.03</w:t>
            </w:r>
          </w:p>
        </w:tc>
        <w:tc>
          <w:tcPr>
            <w:tcW w:w="1559" w:type="dxa"/>
          </w:tcPr>
          <w:p w14:paraId="7B3AD771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90.0</w:t>
            </w:r>
          </w:p>
        </w:tc>
        <w:tc>
          <w:tcPr>
            <w:tcW w:w="2977" w:type="dxa"/>
          </w:tcPr>
          <w:p w14:paraId="1B680DC7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87.07 ± 5.07</w:t>
            </w:r>
          </w:p>
        </w:tc>
      </w:tr>
      <w:tr w:rsidR="00E147F0" w:rsidRPr="00F95519" w14:paraId="70B181C1" w14:textId="77777777" w:rsidTr="0099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488C783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1E5AC430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25.0-30.0</w:t>
            </w:r>
          </w:p>
        </w:tc>
        <w:tc>
          <w:tcPr>
            <w:tcW w:w="2267" w:type="dxa"/>
            <w:noWrap/>
          </w:tcPr>
          <w:p w14:paraId="1B251685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24.94-30.17</w:t>
            </w:r>
          </w:p>
        </w:tc>
        <w:tc>
          <w:tcPr>
            <w:tcW w:w="1559" w:type="dxa"/>
          </w:tcPr>
          <w:p w14:paraId="78DD9ED1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70.0</w:t>
            </w:r>
          </w:p>
        </w:tc>
        <w:tc>
          <w:tcPr>
            <w:tcW w:w="2977" w:type="dxa"/>
          </w:tcPr>
          <w:p w14:paraId="6922A219" w14:textId="77777777" w:rsidR="00E147F0" w:rsidRPr="00F95519" w:rsidRDefault="00E147F0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72.44 ± 0.71</w:t>
            </w:r>
          </w:p>
        </w:tc>
      </w:tr>
      <w:tr w:rsidR="00E147F0" w:rsidRPr="00F95519" w14:paraId="2DBC7F29" w14:textId="77777777" w:rsidTr="00991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4CBBFCC" w14:textId="77777777" w:rsidR="00E147F0" w:rsidRPr="00F95519" w:rsidRDefault="00E147F0" w:rsidP="009917E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7789EA85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22.5-32.5</w:t>
            </w:r>
          </w:p>
        </w:tc>
        <w:tc>
          <w:tcPr>
            <w:tcW w:w="2267" w:type="dxa"/>
            <w:noWrap/>
          </w:tcPr>
          <w:p w14:paraId="00F6E25D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22.11-32.90</w:t>
            </w:r>
          </w:p>
        </w:tc>
        <w:tc>
          <w:tcPr>
            <w:tcW w:w="1559" w:type="dxa"/>
          </w:tcPr>
          <w:p w14:paraId="1A56A895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70.0</w:t>
            </w:r>
          </w:p>
        </w:tc>
        <w:tc>
          <w:tcPr>
            <w:tcW w:w="2977" w:type="dxa"/>
          </w:tcPr>
          <w:p w14:paraId="098E28B6" w14:textId="77777777" w:rsidR="00E147F0" w:rsidRPr="00F95519" w:rsidRDefault="00E147F0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71.56 ± 5.60</w:t>
            </w:r>
          </w:p>
        </w:tc>
      </w:tr>
    </w:tbl>
    <w:p w14:paraId="33670A18" w14:textId="77777777" w:rsidR="00E147F0" w:rsidRDefault="00E147F0" w:rsidP="00E147F0">
      <w:pPr>
        <w:pStyle w:val="EndNoteBibliography"/>
        <w:rPr>
          <w:b/>
          <w:bCs/>
          <w:szCs w:val="20"/>
        </w:rPr>
      </w:pPr>
    </w:p>
    <w:p w14:paraId="12FB13C6" w14:textId="77777777" w:rsidR="00E147F0" w:rsidRDefault="00E147F0" w:rsidP="00E147F0">
      <w:pPr>
        <w:pStyle w:val="EndNoteBibliography"/>
        <w:rPr>
          <w:b/>
          <w:bCs/>
          <w:szCs w:val="20"/>
        </w:rPr>
      </w:pPr>
    </w:p>
    <w:p w14:paraId="453254FB" w14:textId="77777777" w:rsidR="00E147F0" w:rsidRDefault="00E147F0" w:rsidP="00E147F0">
      <w:pPr>
        <w:pStyle w:val="EndNoteBibliography"/>
        <w:rPr>
          <w:b/>
          <w:bCs/>
          <w:szCs w:val="20"/>
        </w:rPr>
      </w:pPr>
    </w:p>
    <w:p w14:paraId="13F4DCDC" w14:textId="77777777" w:rsidR="00580A25" w:rsidRDefault="00580A25" w:rsidP="00580A25">
      <w:pPr>
        <w:pStyle w:val="EndNoteBibliography"/>
        <w:rPr>
          <w:b/>
          <w:bCs/>
          <w:szCs w:val="20"/>
        </w:rPr>
      </w:pPr>
    </w:p>
    <w:p w14:paraId="0AADA161" w14:textId="77777777" w:rsidR="00580A25" w:rsidRDefault="00580A25" w:rsidP="00580A25">
      <w:pPr>
        <w:pStyle w:val="EndNoteBibliography"/>
        <w:rPr>
          <w:b/>
          <w:bCs/>
          <w:szCs w:val="20"/>
        </w:rPr>
      </w:pPr>
    </w:p>
    <w:p w14:paraId="33C9B1C6" w14:textId="39E095DE" w:rsidR="00580A25" w:rsidRPr="00F95519" w:rsidRDefault="00580A25" w:rsidP="00580A25">
      <w:pPr>
        <w:pStyle w:val="EndNoteBibliography"/>
        <w:rPr>
          <w:szCs w:val="20"/>
        </w:rPr>
      </w:pPr>
      <w:r>
        <w:rPr>
          <w:b/>
          <w:bCs/>
          <w:szCs w:val="20"/>
        </w:rPr>
        <w:lastRenderedPageBreak/>
        <w:t xml:space="preserve">Supplementary </w:t>
      </w:r>
      <w:r w:rsidR="00721FA7">
        <w:rPr>
          <w:b/>
          <w:bCs/>
          <w:szCs w:val="20"/>
        </w:rPr>
        <w:t>Information</w:t>
      </w:r>
      <w:r>
        <w:rPr>
          <w:b/>
          <w:bCs/>
          <w:szCs w:val="20"/>
        </w:rPr>
        <w:t>.</w:t>
      </w:r>
      <w:r w:rsidRPr="00F95519">
        <w:rPr>
          <w:szCs w:val="20"/>
        </w:rPr>
        <w:t xml:space="preserve"> Reaction conditions, efficiency and limit of detection of Dacine-COI PCR assay. </w:t>
      </w:r>
    </w:p>
    <w:p w14:paraId="5BB5C834" w14:textId="77777777" w:rsidR="00580A25" w:rsidRPr="00F95519" w:rsidRDefault="00580A25" w:rsidP="00580A25">
      <w:pPr>
        <w:pStyle w:val="EndNoteBibliography"/>
        <w:spacing w:line="360" w:lineRule="auto"/>
        <w:rPr>
          <w:i/>
          <w:iCs/>
          <w:sz w:val="22"/>
        </w:rPr>
      </w:pPr>
      <w:r w:rsidRPr="00F95519">
        <w:rPr>
          <w:i/>
          <w:iCs/>
          <w:sz w:val="22"/>
        </w:rPr>
        <w:t>Methods</w:t>
      </w:r>
    </w:p>
    <w:p w14:paraId="67CE5379" w14:textId="724D5658" w:rsidR="00580A25" w:rsidRPr="00F95519" w:rsidRDefault="00580A25" w:rsidP="00580A25">
      <w:pPr>
        <w:pStyle w:val="EndNoteBibliography"/>
        <w:spacing w:line="360" w:lineRule="auto"/>
        <w:rPr>
          <w:sz w:val="22"/>
        </w:rPr>
      </w:pPr>
      <w:r w:rsidRPr="00F95519">
        <w:rPr>
          <w:sz w:val="22"/>
        </w:rPr>
        <w:t xml:space="preserve">PCR mixtures contained 4.0 μL 5X HOT FIREPol® EvaGreen® HRM Mix (No Rox) (Solis BioDyne, Integrated Sciences, Australia); 0.25 μM of each primer (LCO1490-mod: TYTCAACAAATCATAAAGATATTGG; Dac-COI-r: GTTCAACCTGTACCVGCYCCGTTTTC </w:t>
      </w:r>
      <w:r w:rsidRPr="00AA5360">
        <w:rPr>
          <w:sz w:val="22"/>
        </w:rPr>
        <w:fldChar w:fldCharType="begin"/>
      </w:r>
      <w:r w:rsidR="006B630B">
        <w:rPr>
          <w:sz w:val="22"/>
        </w:rPr>
        <w:instrText xml:space="preserve"> ADDIN EN.CITE &lt;EndNote&gt;&lt;Cite&gt;&lt;Author&gt;Krosch&lt;/Author&gt;&lt;Year&gt;2020&lt;/Year&gt;&lt;RecNum&gt;215&lt;/RecNum&gt;&lt;DisplayText&gt;(Krosch et al. 2020)&lt;/DisplayText&gt;&lt;record&gt;&lt;rec-number&gt;215&lt;/rec-number&gt;&lt;foreign-keys&gt;&lt;key app="EN" db-id="5fxxtd2e3fp00re0er7v20w49r99a0ta20e9" timestamp="1701833574"&gt;215&lt;/key&gt;&lt;/foreign-keys&gt;&lt;ref-type name="Journal Article"&gt;17&lt;/ref-type&gt;&lt;contributors&gt;&lt;authors&gt;&lt;author&gt;Krosch, M N&lt;/author&gt;&lt;author&gt;Strutt, F&lt;/author&gt;&lt;author&gt;Blacket, M J&lt;/author&gt;&lt;author&gt;J Batovska&lt;/author&gt;&lt;author&gt;M Starkie&lt;/author&gt;&lt;author&gt;Clarke, A R&lt;/author&gt;&lt;author&gt;Cameron, S L&lt;/author&gt;&lt;author&gt;Schutze, M K&lt;/author&gt;&lt;/authors&gt;&lt;/contributors&gt;&lt;titles&gt;&lt;title&gt;Development of internal COI primers to improve and extend barcoding of fruit flies (Diptera: Tephritidae: Dacini)&lt;/title&gt;&lt;secondary-title&gt;Insect Science&lt;/secondary-title&gt;&lt;/titles&gt;&lt;periodical&gt;&lt;full-title&gt;Insect Science&lt;/full-title&gt;&lt;/periodical&gt;&lt;pages&gt;143–158&lt;/pages&gt;&lt;volume&gt;27&lt;/volume&gt;&lt;dates&gt;&lt;year&gt;2020&lt;/year&gt;&lt;/dates&gt;&lt;urls&gt;&lt;/urls&gt;&lt;electronic-resource-num&gt;&lt;style face="underline" font="default" size="100%"&gt;https://doi-org.ezp01.library.qut.edu.au/10.1111/1744-7917.12612&lt;/style&gt;&lt;/electronic-resource-num&gt;&lt;/record&gt;&lt;/Cite&gt;&lt;/EndNote&gt;</w:instrText>
      </w:r>
      <w:r w:rsidRPr="00AA5360">
        <w:rPr>
          <w:sz w:val="22"/>
        </w:rPr>
        <w:fldChar w:fldCharType="separate"/>
      </w:r>
      <w:r w:rsidR="00632216">
        <w:rPr>
          <w:sz w:val="22"/>
        </w:rPr>
        <w:t>(Krosch et al. 2020)</w:t>
      </w:r>
      <w:r w:rsidRPr="00AA5360">
        <w:rPr>
          <w:sz w:val="22"/>
        </w:rPr>
        <w:fldChar w:fldCharType="end"/>
      </w:r>
      <w:r w:rsidRPr="00AA5360">
        <w:rPr>
          <w:sz w:val="22"/>
        </w:rPr>
        <w:t>;</w:t>
      </w:r>
      <w:r w:rsidRPr="00F95519">
        <w:rPr>
          <w:sz w:val="22"/>
        </w:rPr>
        <w:t xml:space="preserve"> 2 μL of DNA or lysate; and nuclease-free water up to 20 µL final volume. The assay was run using following conditions: 12 minutes at 95 °C, followed by 40 cycles of 95 °C for 15 seconds, 53 °C for 20 seconds and 72 °C for 20 seconds acquiring to the green (FAM) channel. This was followed by a final melt step ramping from 70</w:t>
      </w:r>
      <w:r w:rsidRPr="00F757B4">
        <w:t>–</w:t>
      </w:r>
      <w:r w:rsidRPr="00F95519">
        <w:rPr>
          <w:sz w:val="22"/>
        </w:rPr>
        <w:t xml:space="preserve">99 °C, rising by 1 °C each step, acquiring to green (FAM/HRM). </w:t>
      </w:r>
    </w:p>
    <w:p w14:paraId="716527F7" w14:textId="77777777" w:rsidR="00580A25" w:rsidRPr="00F95519" w:rsidRDefault="00580A25" w:rsidP="00580A25">
      <w:pPr>
        <w:spacing w:line="360" w:lineRule="auto"/>
        <w:rPr>
          <w:rFonts w:ascii="Times New Roman" w:hAnsi="Times New Roman" w:cs="Times New Roman"/>
        </w:rPr>
      </w:pPr>
      <w:r w:rsidRPr="00F95519">
        <w:rPr>
          <w:rFonts w:ascii="Times New Roman" w:hAnsi="Times New Roman" w:cs="Times New Roman"/>
          <w:kern w:val="2"/>
          <w14:ligatures w14:val="standardContextual"/>
        </w:rPr>
        <w:t>Reaction efficiency and limit of detection (LOD) was assessed with the 10-fold dilution series of synthetic Dacine COI gene block starting at 10</w:t>
      </w:r>
      <w:r w:rsidRPr="00F95519">
        <w:rPr>
          <w:rFonts w:ascii="Times New Roman" w:hAnsi="Times New Roman" w:cs="Times New Roman"/>
          <w:kern w:val="2"/>
          <w:vertAlign w:val="superscript"/>
          <w14:ligatures w14:val="standardContextual"/>
        </w:rPr>
        <w:t>7</w:t>
      </w:r>
      <w:r w:rsidRPr="00F95519">
        <w:rPr>
          <w:rFonts w:ascii="Times New Roman" w:hAnsi="Times New Roman" w:cs="Times New Roman"/>
          <w:kern w:val="2"/>
          <w14:ligatures w14:val="standardContextual"/>
        </w:rPr>
        <w:t xml:space="preserve"> copies/ </w:t>
      </w:r>
      <w:r w:rsidRPr="00F95519">
        <w:rPr>
          <w:rFonts w:ascii="Times New Roman" w:hAnsi="Times New Roman" w:cs="Times New Roman"/>
        </w:rPr>
        <w:t>μL</w:t>
      </w:r>
      <w:r w:rsidRPr="00F95519">
        <w:rPr>
          <w:rFonts w:ascii="Times New Roman" w:hAnsi="Times New Roman" w:cs="Times New Roman"/>
          <w:kern w:val="2"/>
          <w14:ligatures w14:val="standardContextual"/>
        </w:rPr>
        <w:t xml:space="preserve"> down to 10 copies/ </w:t>
      </w:r>
      <w:r w:rsidRPr="00F95519">
        <w:rPr>
          <w:rFonts w:ascii="Times New Roman" w:hAnsi="Times New Roman" w:cs="Times New Roman"/>
        </w:rPr>
        <w:t>μL</w:t>
      </w:r>
      <w:r w:rsidRPr="00F95519">
        <w:rPr>
          <w:rFonts w:ascii="Times New Roman" w:hAnsi="Times New Roman" w:cs="Times New Roman"/>
          <w:kern w:val="2"/>
          <w14:ligatures w14:val="standardContextual"/>
        </w:rPr>
        <w:t xml:space="preserve"> tested in duplicate. </w:t>
      </w:r>
      <w:r w:rsidRPr="00F95519">
        <w:rPr>
          <w:rFonts w:ascii="Times New Roman" w:hAnsi="Times New Roman" w:cs="Times New Roman"/>
        </w:rPr>
        <w:t>Gene block standards were included in every run at three concentrations ranging from 2x10</w:t>
      </w:r>
      <w:r w:rsidRPr="00F95519">
        <w:rPr>
          <w:rFonts w:ascii="Times New Roman" w:hAnsi="Times New Roman" w:cs="Times New Roman"/>
          <w:vertAlign w:val="superscript"/>
        </w:rPr>
        <w:t>4</w:t>
      </w:r>
      <w:r w:rsidRPr="00F95519">
        <w:rPr>
          <w:rFonts w:ascii="Times New Roman" w:hAnsi="Times New Roman" w:cs="Times New Roman"/>
        </w:rPr>
        <w:t xml:space="preserve"> to 2x10</w:t>
      </w:r>
      <w:r w:rsidRPr="00F95519">
        <w:rPr>
          <w:rFonts w:ascii="Times New Roman" w:hAnsi="Times New Roman" w:cs="Times New Roman"/>
          <w:vertAlign w:val="superscript"/>
        </w:rPr>
        <w:t>6</w:t>
      </w:r>
      <w:r w:rsidRPr="00F95519">
        <w:rPr>
          <w:rFonts w:ascii="Times New Roman" w:hAnsi="Times New Roman" w:cs="Times New Roman"/>
        </w:rPr>
        <w:t xml:space="preserve"> copies/reaction allowing the software to automatically calculate DNA copy number in test samples. </w:t>
      </w:r>
    </w:p>
    <w:p w14:paraId="50BB14DB" w14:textId="77777777" w:rsidR="00580A25" w:rsidRPr="00F95519" w:rsidRDefault="00580A25" w:rsidP="00580A25">
      <w:pPr>
        <w:spacing w:line="360" w:lineRule="auto"/>
        <w:rPr>
          <w:rFonts w:ascii="Times New Roman" w:hAnsi="Times New Roman" w:cs="Times New Roman"/>
          <w:i/>
          <w:iCs/>
        </w:rPr>
      </w:pPr>
      <w:r w:rsidRPr="00F95519">
        <w:rPr>
          <w:rFonts w:ascii="Times New Roman" w:hAnsi="Times New Roman" w:cs="Times New Roman"/>
          <w:i/>
          <w:iCs/>
        </w:rPr>
        <w:t>Results</w:t>
      </w:r>
    </w:p>
    <w:p w14:paraId="341C0594" w14:textId="06A89566" w:rsidR="00580A25" w:rsidRPr="00F95519" w:rsidRDefault="00580A25" w:rsidP="00580A25">
      <w:pPr>
        <w:spacing w:line="360" w:lineRule="auto"/>
        <w:rPr>
          <w:szCs w:val="20"/>
        </w:rPr>
      </w:pPr>
      <w:r w:rsidRPr="00F95519">
        <w:rPr>
          <w:rFonts w:ascii="Times New Roman" w:hAnsi="Times New Roman" w:cs="Times New Roman"/>
        </w:rPr>
        <w:t>The calculated reaction efficiency of the Dacine-COI real-time PCR assay was determined to be 84%. Amplification of the synthetic Dacini COI gene block serial dilutions (2x10</w:t>
      </w:r>
      <w:r w:rsidRPr="00F95519">
        <w:rPr>
          <w:rFonts w:ascii="Times New Roman" w:hAnsi="Times New Roman" w:cs="Times New Roman"/>
          <w:vertAlign w:val="superscript"/>
        </w:rPr>
        <w:t>7</w:t>
      </w:r>
      <w:r w:rsidRPr="00F95519">
        <w:rPr>
          <w:rFonts w:ascii="Times New Roman" w:hAnsi="Times New Roman" w:cs="Times New Roman"/>
        </w:rPr>
        <w:t xml:space="preserve"> – 2x10</w:t>
      </w:r>
      <w:r w:rsidRPr="00F95519">
        <w:rPr>
          <w:rFonts w:ascii="Times New Roman" w:hAnsi="Times New Roman" w:cs="Times New Roman"/>
          <w:vertAlign w:val="superscript"/>
        </w:rPr>
        <w:t>1</w:t>
      </w:r>
      <w:r w:rsidRPr="00F95519">
        <w:rPr>
          <w:rFonts w:ascii="Times New Roman" w:hAnsi="Times New Roman" w:cs="Times New Roman"/>
        </w:rPr>
        <w:t xml:space="preserve"> copies/ reaction) in this assay generated a corresponding standard curve with a Ct range of 8.4 – 31.4. The assays’ limit of detection was determined to be 20 copies/ reaction based on reactions where the gene block was used as a quantitative measure. The variation between technical replicates was higher than the other species-specific real-time assays. One control sample failed to amplify in this assay (i.e., Ct&gt;40) while the other two controls had technical mean Ct values of 22.35 ± 1.03 and 28.80 ± 1.03, respectively (biological sample mean Ct = 25.57 ± 4.56) (See S</w:t>
      </w:r>
      <w:r>
        <w:rPr>
          <w:rFonts w:ascii="Times New Roman" w:hAnsi="Times New Roman" w:cs="Times New Roman"/>
        </w:rPr>
        <w:t>upp</w:t>
      </w:r>
      <w:r w:rsidR="00683999">
        <w:rPr>
          <w:rFonts w:ascii="Times New Roman" w:hAnsi="Times New Roman" w:cs="Times New Roman"/>
        </w:rPr>
        <w:t>lementary</w:t>
      </w:r>
      <w:r>
        <w:rPr>
          <w:rFonts w:ascii="Times New Roman" w:hAnsi="Times New Roman" w:cs="Times New Roman"/>
        </w:rPr>
        <w:t xml:space="preserve"> Figure </w:t>
      </w:r>
      <w:r w:rsidR="00683999">
        <w:rPr>
          <w:rFonts w:ascii="Times New Roman" w:hAnsi="Times New Roman" w:cs="Times New Roman"/>
        </w:rPr>
        <w:t>1</w:t>
      </w:r>
      <w:r w:rsidRPr="00F95519">
        <w:rPr>
          <w:rFonts w:ascii="Times New Roman" w:hAnsi="Times New Roman" w:cs="Times New Roman"/>
        </w:rPr>
        <w:t>).</w:t>
      </w:r>
    </w:p>
    <w:p w14:paraId="320EC772" w14:textId="77777777" w:rsidR="00580A25" w:rsidRPr="00F95519" w:rsidRDefault="00580A25" w:rsidP="00580A25">
      <w:pPr>
        <w:jc w:val="center"/>
      </w:pPr>
      <w:r w:rsidRPr="00F95519">
        <w:rPr>
          <w:noProof/>
        </w:rPr>
        <w:lastRenderedPageBreak/>
        <w:drawing>
          <wp:inline distT="0" distB="0" distL="0" distR="0" wp14:anchorId="7298DABD" wp14:editId="6D0C76EC">
            <wp:extent cx="5088991" cy="4649957"/>
            <wp:effectExtent l="0" t="0" r="0" b="0"/>
            <wp:docPr id="851895600" name="Picture 851895600" descr="A graph of a graph of a cy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95600" name="Picture 851895600" descr="A graph of a graph of a cyc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31" cy="465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4198" w14:textId="64692F72" w:rsidR="00580A25" w:rsidRPr="00F95519" w:rsidRDefault="00580A25" w:rsidP="00580A2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</w:t>
      </w:r>
      <w:r w:rsidR="00683999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F95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F95519">
        <w:rPr>
          <w:rFonts w:ascii="Times New Roman" w:hAnsi="Times New Roman" w:cs="Times New Roman"/>
        </w:rPr>
        <w:t>valuation of new Dacini real-time PCR assay. (A) The amplification curves generated by seven concentrations of synthetic Dacini COI gene block, ranging from 2x10</w:t>
      </w:r>
      <w:r w:rsidRPr="00F95519">
        <w:rPr>
          <w:rFonts w:ascii="Times New Roman" w:hAnsi="Times New Roman" w:cs="Times New Roman"/>
          <w:vertAlign w:val="superscript"/>
        </w:rPr>
        <w:t>7</w:t>
      </w:r>
      <w:r w:rsidRPr="00F95519">
        <w:rPr>
          <w:rFonts w:ascii="Times New Roman" w:hAnsi="Times New Roman" w:cs="Times New Roman"/>
        </w:rPr>
        <w:t xml:space="preserve"> to 2x10</w:t>
      </w:r>
      <w:r w:rsidRPr="00F95519">
        <w:rPr>
          <w:rFonts w:ascii="Times New Roman" w:hAnsi="Times New Roman" w:cs="Times New Roman"/>
          <w:vertAlign w:val="superscript"/>
        </w:rPr>
        <w:t>1</w:t>
      </w:r>
      <w:r w:rsidRPr="00F95519">
        <w:rPr>
          <w:rFonts w:ascii="Times New Roman" w:hAnsi="Times New Roman" w:cs="Times New Roman"/>
        </w:rPr>
        <w:t xml:space="preserve"> copies/ reaction in 10-fold serial dilutions. Cycle threshold (Ct) is the horizontal red line set at 0.01 Normalised Fluorescence starting at 5 cycles. (B) Standard curve graph showing linear regression analysis of target concentration vs Ct where reaction efficiency (0.84) is determined from the slope (M); R</w:t>
      </w:r>
      <w:r w:rsidRPr="00F95519">
        <w:rPr>
          <w:rFonts w:ascii="Times New Roman" w:hAnsi="Times New Roman" w:cs="Times New Roman"/>
          <w:vertAlign w:val="superscript"/>
        </w:rPr>
        <w:t>2</w:t>
      </w:r>
      <w:r w:rsidRPr="00F95519">
        <w:rPr>
          <w:rFonts w:ascii="Times New Roman" w:hAnsi="Times New Roman" w:cs="Times New Roman"/>
        </w:rPr>
        <w:t xml:space="preserve"> = 0.996 (correlation coefficient); M is slope; B is intercept.</w:t>
      </w:r>
    </w:p>
    <w:p w14:paraId="170F549D" w14:textId="77777777" w:rsidR="00580A25" w:rsidRPr="00F95519" w:rsidRDefault="00580A25" w:rsidP="00580A25">
      <w:pPr>
        <w:spacing w:line="360" w:lineRule="auto"/>
        <w:rPr>
          <w:rFonts w:ascii="Times New Roman" w:hAnsi="Times New Roman" w:cs="Times New Roman"/>
        </w:rPr>
      </w:pPr>
    </w:p>
    <w:p w14:paraId="422DD032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549EB4CC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643A0FEA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0B366E5D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7963269F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75AF59BD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79E5A95C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34FE1F82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5EF4A82D" w14:textId="77777777" w:rsidR="00580A25" w:rsidRDefault="00580A25" w:rsidP="00580A25">
      <w:pPr>
        <w:rPr>
          <w:rFonts w:ascii="Times New Roman" w:hAnsi="Times New Roman"/>
          <w:highlight w:val="yellow"/>
        </w:rPr>
      </w:pPr>
    </w:p>
    <w:p w14:paraId="33C8F137" w14:textId="77777777" w:rsidR="00580A25" w:rsidRPr="006D546B" w:rsidRDefault="00580A25" w:rsidP="00580A25">
      <w:pPr>
        <w:rPr>
          <w:rFonts w:ascii="Times New Roman" w:hAnsi="Times New Roman"/>
          <w:highlight w:val="yellow"/>
        </w:rPr>
      </w:pPr>
    </w:p>
    <w:p w14:paraId="36F2EC4D" w14:textId="77777777" w:rsidR="00E147F0" w:rsidRDefault="00E147F0" w:rsidP="00E147F0">
      <w:pPr>
        <w:pStyle w:val="EndNoteBibliography"/>
        <w:rPr>
          <w:b/>
          <w:bCs/>
          <w:szCs w:val="20"/>
        </w:rPr>
      </w:pPr>
    </w:p>
    <w:p w14:paraId="07C297BD" w14:textId="77777777" w:rsidR="00580A25" w:rsidRDefault="00580A25" w:rsidP="00580A25">
      <w:pPr>
        <w:spacing w:line="360" w:lineRule="auto"/>
        <w:rPr>
          <w:rFonts w:ascii="Times New Roman" w:hAnsi="Times New Roman"/>
          <w:b/>
        </w:rPr>
        <w:sectPr w:rsidR="00580A25" w:rsidSect="006D546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954251" w14:textId="5CF2359B" w:rsidR="00580A25" w:rsidRPr="00F95519" w:rsidRDefault="00580A25" w:rsidP="00580A25">
      <w:pPr>
        <w:spacing w:line="360" w:lineRule="auto"/>
        <w:rPr>
          <w:rFonts w:ascii="Times New Roman" w:hAnsi="Times New Roman" w:cs="Times New Roman"/>
        </w:rPr>
      </w:pPr>
      <w:r w:rsidRPr="006B630B">
        <w:rPr>
          <w:rFonts w:ascii="Times New Roman" w:hAnsi="Times New Roman"/>
          <w:b/>
        </w:rPr>
        <w:lastRenderedPageBreak/>
        <w:t xml:space="preserve">Supplementary Table </w:t>
      </w:r>
      <w:r w:rsidR="00683999">
        <w:rPr>
          <w:rFonts w:ascii="Times New Roman" w:hAnsi="Times New Roman"/>
          <w:b/>
        </w:rPr>
        <w:t>3</w:t>
      </w:r>
      <w:r w:rsidRPr="00580A25">
        <w:rPr>
          <w:rFonts w:ascii="Times New Roman" w:hAnsi="Times New Roman" w:cs="Times New Roman"/>
          <w:b/>
          <w:bCs/>
        </w:rPr>
        <w:t>.</w:t>
      </w:r>
      <w:r w:rsidRPr="00F95519">
        <w:rPr>
          <w:rFonts w:ascii="Times New Roman" w:hAnsi="Times New Roman" w:cs="Times New Roman"/>
        </w:rPr>
        <w:t xml:space="preserve"> Gene fragment (gBlock) sequences designed and synthesised and used as positive controls for the three species-specific fruit fly real-time PCR assays and the Dacine-COI assay with GenBank accession numbers for the corresponding COI mitochondrial gene region. Primer binding sites in gBlocks are underlined; probe binding sites are bolded; inserted “ggg” and “ccc” bases are in lowercase.</w:t>
      </w:r>
    </w:p>
    <w:tbl>
      <w:tblPr>
        <w:tblStyle w:val="PlainTable2"/>
        <w:tblW w:w="15876" w:type="dxa"/>
        <w:tblLayout w:type="fixed"/>
        <w:tblLook w:val="04A0" w:firstRow="1" w:lastRow="0" w:firstColumn="1" w:lastColumn="0" w:noHBand="0" w:noVBand="1"/>
      </w:tblPr>
      <w:tblGrid>
        <w:gridCol w:w="1560"/>
        <w:gridCol w:w="11112"/>
        <w:gridCol w:w="236"/>
        <w:gridCol w:w="1409"/>
        <w:gridCol w:w="1559"/>
      </w:tblGrid>
      <w:tr w:rsidR="00580A25" w:rsidRPr="00F95519" w14:paraId="31A9C12F" w14:textId="77777777" w:rsidTr="00991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1DE177" w14:textId="77777777" w:rsidR="00580A25" w:rsidRPr="00F95519" w:rsidRDefault="00580A25" w:rsidP="009917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Gene fragment name</w:t>
            </w:r>
          </w:p>
        </w:tc>
        <w:tc>
          <w:tcPr>
            <w:tcW w:w="11112" w:type="dxa"/>
          </w:tcPr>
          <w:p w14:paraId="145F4303" w14:textId="77777777" w:rsidR="00580A25" w:rsidRPr="00F95519" w:rsidRDefault="00580A25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Sequence 5’-3’</w:t>
            </w:r>
          </w:p>
        </w:tc>
        <w:tc>
          <w:tcPr>
            <w:tcW w:w="236" w:type="dxa"/>
          </w:tcPr>
          <w:p w14:paraId="259A8715" w14:textId="77777777" w:rsidR="00580A25" w:rsidRPr="00F95519" w:rsidRDefault="00580A25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343D04ED" w14:textId="77777777" w:rsidR="00580A25" w:rsidRPr="00F95519" w:rsidRDefault="00580A25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Target species</w:t>
            </w:r>
          </w:p>
        </w:tc>
        <w:tc>
          <w:tcPr>
            <w:tcW w:w="1559" w:type="dxa"/>
          </w:tcPr>
          <w:p w14:paraId="23F2B8D6" w14:textId="77777777" w:rsidR="00580A25" w:rsidRPr="00F95519" w:rsidRDefault="00580A25" w:rsidP="009917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GenBank accession #</w:t>
            </w:r>
          </w:p>
        </w:tc>
      </w:tr>
      <w:tr w:rsidR="00580A25" w:rsidRPr="00F95519" w14:paraId="15C29618" w14:textId="77777777" w:rsidTr="0099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86500F0" w14:textId="77777777" w:rsidR="00580A25" w:rsidRPr="00F95519" w:rsidRDefault="00580A25" w:rsidP="009917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Btry_qPCR</w:t>
            </w:r>
          </w:p>
          <w:p w14:paraId="35E1E15D" w14:textId="77777777" w:rsidR="00580A25" w:rsidRPr="00F95519" w:rsidRDefault="00580A25" w:rsidP="009917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gBlock</w:t>
            </w:r>
          </w:p>
        </w:tc>
        <w:tc>
          <w:tcPr>
            <w:tcW w:w="11112" w:type="dxa"/>
          </w:tcPr>
          <w:p w14:paraId="358F6F06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ggg</w:t>
            </w:r>
            <w:r w:rsidRPr="00F95519">
              <w:rPr>
                <w:rFonts w:ascii="Times New Roman" w:hAnsi="Times New Roman" w:cs="Times New Roman"/>
                <w:u w:val="single"/>
              </w:rPr>
              <w:t>AATTGTAACAGCCCATGC</w:t>
            </w:r>
            <w:r w:rsidRPr="00F95519">
              <w:rPr>
                <w:rFonts w:ascii="Times New Roman" w:hAnsi="Times New Roman" w:cs="Times New Roman"/>
              </w:rPr>
              <w:t>TTTCGTAATGATTTTCTTTATAGTTATACCAATTATAATTGGTG</w:t>
            </w:r>
            <w:r w:rsidRPr="00F95519">
              <w:rPr>
                <w:rFonts w:ascii="Times New Roman" w:hAnsi="Times New Roman" w:cs="Times New Roman"/>
                <w:b/>
                <w:bCs/>
              </w:rPr>
              <w:t>GTTTCGGAAACTGGCT</w:t>
            </w:r>
            <w:r w:rsidRPr="00F95519">
              <w:rPr>
                <w:rFonts w:ascii="Times New Roman" w:hAnsi="Times New Roman" w:cs="Times New Roman"/>
              </w:rPr>
              <w:t>TGTTCCTTTAATATTAGGTGCGC</w:t>
            </w:r>
            <w:r w:rsidRPr="00F95519">
              <w:rPr>
                <w:rFonts w:ascii="Times New Roman" w:hAnsi="Times New Roman" w:cs="Times New Roman"/>
                <w:u w:val="single"/>
              </w:rPr>
              <w:t>CCGATATAGCATTCCCAC</w:t>
            </w:r>
            <w:r w:rsidRPr="00F95519">
              <w:rPr>
                <w:rFonts w:ascii="Times New Roman" w:hAnsi="Times New Roman" w:cs="Times New Roman"/>
              </w:rPr>
              <w:t>ggg</w:t>
            </w:r>
          </w:p>
        </w:tc>
        <w:tc>
          <w:tcPr>
            <w:tcW w:w="236" w:type="dxa"/>
          </w:tcPr>
          <w:p w14:paraId="5AA30288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3AA514F1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  <w:i/>
                <w:iCs/>
              </w:rPr>
              <w:t xml:space="preserve">Bactrocera tryoni </w:t>
            </w:r>
          </w:p>
        </w:tc>
        <w:tc>
          <w:tcPr>
            <w:tcW w:w="1559" w:type="dxa"/>
          </w:tcPr>
          <w:p w14:paraId="6A212CDA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KT864774</w:t>
            </w:r>
          </w:p>
        </w:tc>
      </w:tr>
      <w:tr w:rsidR="00580A25" w:rsidRPr="00F95519" w14:paraId="5FDAEE86" w14:textId="77777777" w:rsidTr="0099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504C399" w14:textId="77777777" w:rsidR="00580A25" w:rsidRPr="00F95519" w:rsidRDefault="00580A25" w:rsidP="009917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Bjar_qPCR</w:t>
            </w:r>
          </w:p>
          <w:p w14:paraId="02D0BD38" w14:textId="77777777" w:rsidR="00580A25" w:rsidRPr="00F95519" w:rsidRDefault="00580A25" w:rsidP="009917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 xml:space="preserve">gBlock </w:t>
            </w:r>
          </w:p>
        </w:tc>
        <w:tc>
          <w:tcPr>
            <w:tcW w:w="11112" w:type="dxa"/>
          </w:tcPr>
          <w:p w14:paraId="1CF7D1C1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ggg</w:t>
            </w:r>
            <w:r w:rsidRPr="00F95519">
              <w:rPr>
                <w:rFonts w:ascii="Times New Roman" w:hAnsi="Times New Roman" w:cs="Times New Roman"/>
                <w:u w:val="single"/>
              </w:rPr>
              <w:t>ACAGCTCACGCTTTTGTA</w:t>
            </w:r>
            <w:r w:rsidRPr="00F95519">
              <w:rPr>
                <w:rFonts w:ascii="Times New Roman" w:hAnsi="Times New Roman" w:cs="Times New Roman"/>
              </w:rPr>
              <w:t>ATAATTTTCTTTATAGTAATACCTATTATAATCGGTGGTTTCGGAAAT</w:t>
            </w:r>
            <w:r w:rsidRPr="00F95519">
              <w:rPr>
                <w:rFonts w:ascii="Times New Roman" w:hAnsi="Times New Roman" w:cs="Times New Roman"/>
                <w:b/>
                <w:bCs/>
              </w:rPr>
              <w:t>TGACTAGTTCCTTTAATGTTAGGTG</w:t>
            </w:r>
            <w:r w:rsidRPr="00F95519">
              <w:rPr>
                <w:rFonts w:ascii="Times New Roman" w:hAnsi="Times New Roman" w:cs="Times New Roman"/>
              </w:rPr>
              <w:t>CCCCCGATATAGCTTTCCCACGAATAAATAATAT</w:t>
            </w:r>
          </w:p>
          <w:p w14:paraId="6A36ACBC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AAGATTTTGGTTATTACCTC</w:t>
            </w:r>
            <w:r w:rsidRPr="00F95519">
              <w:rPr>
                <w:rFonts w:ascii="Times New Roman" w:hAnsi="Times New Roman" w:cs="Times New Roman"/>
                <w:u w:val="single"/>
              </w:rPr>
              <w:t>CTTCCCTTACACTACTGTTAGT</w:t>
            </w:r>
            <w:r w:rsidRPr="00F95519">
              <w:rPr>
                <w:rFonts w:ascii="Times New Roman" w:hAnsi="Times New Roman" w:cs="Times New Roman"/>
              </w:rPr>
              <w:t>ggg</w:t>
            </w:r>
          </w:p>
        </w:tc>
        <w:tc>
          <w:tcPr>
            <w:tcW w:w="236" w:type="dxa"/>
          </w:tcPr>
          <w:p w14:paraId="4E8D8E0D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278F55D3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  <w:i/>
                <w:iCs/>
              </w:rPr>
              <w:t xml:space="preserve">Bactrocera jarvisi </w:t>
            </w:r>
          </w:p>
        </w:tc>
        <w:tc>
          <w:tcPr>
            <w:tcW w:w="1559" w:type="dxa"/>
          </w:tcPr>
          <w:p w14:paraId="40DC55F8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KT864750</w:t>
            </w:r>
          </w:p>
        </w:tc>
      </w:tr>
      <w:tr w:rsidR="00580A25" w:rsidRPr="00F95519" w14:paraId="1082038A" w14:textId="77777777" w:rsidTr="0099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CFD65F1" w14:textId="77777777" w:rsidR="00580A25" w:rsidRPr="00F95519" w:rsidRDefault="00580A25" w:rsidP="009917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Zcuc_qPCR</w:t>
            </w:r>
          </w:p>
          <w:p w14:paraId="503CB188" w14:textId="77777777" w:rsidR="00580A25" w:rsidRPr="00F95519" w:rsidRDefault="00580A25" w:rsidP="009917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gBlock</w:t>
            </w:r>
          </w:p>
        </w:tc>
        <w:tc>
          <w:tcPr>
            <w:tcW w:w="11112" w:type="dxa"/>
          </w:tcPr>
          <w:p w14:paraId="4373864C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ggg</w:t>
            </w:r>
            <w:r w:rsidRPr="00F95519">
              <w:rPr>
                <w:rFonts w:ascii="Times New Roman" w:hAnsi="Times New Roman" w:cs="Times New Roman"/>
                <w:u w:val="single"/>
              </w:rPr>
              <w:t>TCGTTTGAGCTGTAGTCCTTAC</w:t>
            </w:r>
            <w:r w:rsidRPr="00F95519">
              <w:rPr>
                <w:rFonts w:ascii="Times New Roman" w:hAnsi="Times New Roman" w:cs="Times New Roman"/>
              </w:rPr>
              <w:t>AGCCCTACTATT</w:t>
            </w:r>
            <w:r w:rsidRPr="00F95519">
              <w:rPr>
                <w:rFonts w:ascii="Times New Roman" w:hAnsi="Times New Roman" w:cs="Times New Roman"/>
                <w:b/>
                <w:bCs/>
              </w:rPr>
              <w:t>ACTTCTATCCCTCCCAGTTCTAGCTGGA</w:t>
            </w:r>
            <w:r w:rsidRPr="00F95519">
              <w:rPr>
                <w:rFonts w:ascii="Times New Roman" w:hAnsi="Times New Roman" w:cs="Times New Roman"/>
              </w:rPr>
              <w:t>GCTATCACTATGCTTTTAACAGATCGAAATTTAAATAC</w:t>
            </w:r>
            <w:r w:rsidRPr="00F95519">
              <w:rPr>
                <w:rFonts w:ascii="Times New Roman" w:hAnsi="Times New Roman" w:cs="Times New Roman"/>
                <w:u w:val="single"/>
              </w:rPr>
              <w:t>TTCTTTCTTCGACCCAGCTG</w:t>
            </w:r>
            <w:r w:rsidRPr="00F95519">
              <w:rPr>
                <w:rFonts w:ascii="Times New Roman" w:hAnsi="Times New Roman" w:cs="Times New Roman"/>
              </w:rPr>
              <w:t>ggg</w:t>
            </w:r>
          </w:p>
        </w:tc>
        <w:tc>
          <w:tcPr>
            <w:tcW w:w="236" w:type="dxa"/>
          </w:tcPr>
          <w:p w14:paraId="41F3EDEC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45FB482E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  <w:i/>
                <w:iCs/>
              </w:rPr>
              <w:t>Zeugodacus cucumis</w:t>
            </w:r>
          </w:p>
        </w:tc>
        <w:tc>
          <w:tcPr>
            <w:tcW w:w="1559" w:type="dxa"/>
          </w:tcPr>
          <w:p w14:paraId="540CF78F" w14:textId="77777777" w:rsidR="00580A25" w:rsidRPr="00F95519" w:rsidRDefault="00580A25" w:rsidP="009917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JQ420912</w:t>
            </w:r>
          </w:p>
        </w:tc>
      </w:tr>
      <w:tr w:rsidR="00580A25" w:rsidRPr="00F95519" w14:paraId="248AEF85" w14:textId="77777777" w:rsidTr="0099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6CE8FC2" w14:textId="77777777" w:rsidR="00580A25" w:rsidRPr="00F95519" w:rsidRDefault="00580A25" w:rsidP="009917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Dacini_COI_gBlock</w:t>
            </w:r>
          </w:p>
        </w:tc>
        <w:tc>
          <w:tcPr>
            <w:tcW w:w="11112" w:type="dxa"/>
          </w:tcPr>
          <w:p w14:paraId="1D6E0262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ccc</w:t>
            </w:r>
            <w:r w:rsidRPr="00F95519">
              <w:rPr>
                <w:rFonts w:ascii="Times New Roman" w:hAnsi="Times New Roman" w:cs="Times New Roman"/>
                <w:u w:val="single"/>
              </w:rPr>
              <w:t>TTTCAACAAATCATAAAGATATTGG</w:t>
            </w:r>
            <w:r w:rsidRPr="00F95519">
              <w:rPr>
                <w:rFonts w:ascii="Times New Roman" w:hAnsi="Times New Roman" w:cs="Times New Roman"/>
              </w:rPr>
              <w:t>cccAACTTTATATTTTATCTTCGGAGCCTcccGAGCAGGAATAGTCGGGACATCCCTTcccAGAATTTTAGTCCGGGCTGAACTAcccGGACACCCCGGGGCATTAATCGGAGcccACGATCAGATTTATAATGTAATTGTcccAACAGCCCATGCTTTCGTAATGATTcccTTCTTTATAGTTATACCAATTATAAcccTTGGTGGTTTCGGAAACTGGCTTcccGTTCCTTTAATATTAGGTGCGCCCGAcccTATAGCATTCCCACGAATAAATAATcccATAAGATTTTGATTACTACCCCCTTCCCTTACACTACTcccATTAGTGAGAAGTATAGTAccc</w:t>
            </w:r>
            <w:r w:rsidRPr="00F95519">
              <w:rPr>
                <w:rFonts w:ascii="Times New Roman" w:hAnsi="Times New Roman" w:cs="Times New Roman"/>
                <w:u w:val="single"/>
              </w:rPr>
              <w:t>GAAAACGGAGCTGGTACAGGTTGAAC</w:t>
            </w:r>
            <w:r w:rsidRPr="00F95519">
              <w:rPr>
                <w:rFonts w:ascii="Times New Roman" w:hAnsi="Times New Roman" w:cs="Times New Roman"/>
              </w:rPr>
              <w:t>ccc</w:t>
            </w:r>
          </w:p>
        </w:tc>
        <w:tc>
          <w:tcPr>
            <w:tcW w:w="236" w:type="dxa"/>
          </w:tcPr>
          <w:p w14:paraId="205E3B93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5A20454D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F95519">
              <w:rPr>
                <w:rFonts w:ascii="Times New Roman" w:hAnsi="Times New Roman" w:cs="Times New Roman"/>
              </w:rPr>
              <w:t>Dacine spp.</w:t>
            </w:r>
          </w:p>
        </w:tc>
        <w:tc>
          <w:tcPr>
            <w:tcW w:w="1559" w:type="dxa"/>
          </w:tcPr>
          <w:p w14:paraId="230F7F14" w14:textId="77777777" w:rsidR="00580A25" w:rsidRPr="00F95519" w:rsidRDefault="00580A25" w:rsidP="009917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519">
              <w:rPr>
                <w:rFonts w:ascii="Times New Roman" w:hAnsi="Times New Roman" w:cs="Times New Roman"/>
              </w:rPr>
              <w:t>MZ520733.1</w:t>
            </w:r>
          </w:p>
        </w:tc>
      </w:tr>
    </w:tbl>
    <w:p w14:paraId="01137F36" w14:textId="77777777" w:rsidR="00580A25" w:rsidRPr="00F95519" w:rsidRDefault="00580A25" w:rsidP="00580A25">
      <w:pPr>
        <w:spacing w:line="360" w:lineRule="auto"/>
        <w:rPr>
          <w:rFonts w:ascii="Times New Roman" w:hAnsi="Times New Roman" w:cs="Times New Roman"/>
        </w:rPr>
      </w:pPr>
    </w:p>
    <w:p w14:paraId="6403EF71" w14:textId="77777777" w:rsidR="00580A25" w:rsidRPr="00F95519" w:rsidRDefault="00580A25" w:rsidP="00580A25">
      <w:pPr>
        <w:rPr>
          <w:rFonts w:ascii="Times New Roman" w:hAnsi="Times New Roman" w:cs="Times New Roman"/>
        </w:rPr>
      </w:pPr>
    </w:p>
    <w:p w14:paraId="06059E11" w14:textId="77777777" w:rsidR="00580A25" w:rsidRPr="00F95519" w:rsidRDefault="00580A25" w:rsidP="00580A25">
      <w:pPr>
        <w:rPr>
          <w:rFonts w:ascii="Times New Roman" w:hAnsi="Times New Roman" w:cs="Times New Roman"/>
        </w:rPr>
      </w:pPr>
    </w:p>
    <w:p w14:paraId="2060104E" w14:textId="77777777" w:rsidR="00E147F0" w:rsidRDefault="00E147F0" w:rsidP="00E147F0">
      <w:pPr>
        <w:pStyle w:val="EndNoteBibliography"/>
        <w:rPr>
          <w:b/>
          <w:bCs/>
          <w:szCs w:val="20"/>
        </w:rPr>
      </w:pPr>
    </w:p>
    <w:p w14:paraId="54E9CA4A" w14:textId="77777777" w:rsidR="00ED00F0" w:rsidRPr="00F95519" w:rsidRDefault="00ED00F0" w:rsidP="00ED00F0">
      <w:pPr>
        <w:pStyle w:val="EndNoteBibliography"/>
        <w:rPr>
          <w:szCs w:val="20"/>
        </w:rPr>
      </w:pPr>
    </w:p>
    <w:p w14:paraId="3C1C4F48" w14:textId="77777777" w:rsidR="00632216" w:rsidRDefault="00632216" w:rsidP="00ED00F0">
      <w:pPr>
        <w:spacing w:line="360" w:lineRule="auto"/>
        <w:rPr>
          <w:rFonts w:ascii="Times New Roman" w:hAnsi="Times New Roman" w:cs="Times New Roman"/>
          <w:b/>
          <w:bCs/>
        </w:rPr>
        <w:sectPr w:rsidR="00632216" w:rsidSect="00580A2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B30BED8" w14:textId="7DE2C668" w:rsidR="00A80746" w:rsidRPr="00F95519" w:rsidRDefault="00D0735A" w:rsidP="00316BB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95519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</w:t>
      </w:r>
      <w:r>
        <w:rPr>
          <w:rFonts w:ascii="Times New Roman" w:hAnsi="Times New Roman" w:cs="Times New Roman"/>
          <w:b/>
          <w:bCs/>
          <w:sz w:val="20"/>
          <w:szCs w:val="20"/>
        </w:rPr>
        <w:t>lementary</w:t>
      </w:r>
      <w:r w:rsidRPr="00F955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0746" w:rsidRPr="00F95519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5C2D6F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95519">
        <w:rPr>
          <w:rFonts w:ascii="Times New Roman" w:hAnsi="Times New Roman" w:cs="Times New Roman"/>
          <w:sz w:val="20"/>
          <w:szCs w:val="20"/>
        </w:rPr>
        <w:t xml:space="preserve"> </w:t>
      </w:r>
      <w:r w:rsidR="00A80746" w:rsidRPr="00F95519">
        <w:rPr>
          <w:rFonts w:ascii="Times New Roman" w:hAnsi="Times New Roman" w:cs="Times New Roman"/>
          <w:sz w:val="20"/>
          <w:szCs w:val="20"/>
        </w:rPr>
        <w:t xml:space="preserve">Trap catches, variables and Dacini COI real-time data used in DNA quality comparison with </w:t>
      </w:r>
      <w:r>
        <w:rPr>
          <w:rFonts w:ascii="Times New Roman" w:hAnsi="Times New Roman" w:cs="Times New Roman"/>
          <w:sz w:val="20"/>
          <w:szCs w:val="20"/>
        </w:rPr>
        <w:t xml:space="preserve">controlled temperature and humidity </w:t>
      </w:r>
      <w:r w:rsidR="00A80746" w:rsidRPr="00F95519">
        <w:rPr>
          <w:rFonts w:ascii="Times New Roman" w:hAnsi="Times New Roman" w:cs="Times New Roman"/>
          <w:sz w:val="20"/>
          <w:szCs w:val="20"/>
        </w:rPr>
        <w:t xml:space="preserve">cabinet data. Two technical replicates tested per sample. </w:t>
      </w: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="00A80746" w:rsidRPr="00F95519">
        <w:rPr>
          <w:rFonts w:ascii="Times New Roman" w:hAnsi="Times New Roman" w:cs="Times New Roman"/>
          <w:sz w:val="20"/>
          <w:szCs w:val="20"/>
        </w:rPr>
        <w:t>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0746" w:rsidRPr="00F9551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0746" w:rsidRPr="00F95519">
        <w:rPr>
          <w:rFonts w:ascii="Times New Roman" w:hAnsi="Times New Roman" w:cs="Times New Roman"/>
          <w:sz w:val="20"/>
          <w:szCs w:val="20"/>
        </w:rPr>
        <w:t xml:space="preserve">40 </w:t>
      </w:r>
      <w:r>
        <w:rPr>
          <w:rFonts w:ascii="Times New Roman" w:hAnsi="Times New Roman" w:cs="Times New Roman"/>
          <w:sz w:val="20"/>
          <w:szCs w:val="20"/>
        </w:rPr>
        <w:t xml:space="preserve">for all replicates, </w:t>
      </w:r>
      <w:r w:rsidR="00A80746" w:rsidRPr="00F95519">
        <w:rPr>
          <w:rFonts w:ascii="Times New Roman" w:hAnsi="Times New Roman" w:cs="Times New Roman"/>
          <w:sz w:val="20"/>
          <w:szCs w:val="20"/>
        </w:rPr>
        <w:t>copy number assumed to be 0.</w:t>
      </w:r>
      <w:r w:rsidR="00632216">
        <w:rPr>
          <w:rFonts w:ascii="Times New Roman" w:hAnsi="Times New Roman" w:cs="Times New Roman"/>
          <w:sz w:val="20"/>
          <w:szCs w:val="20"/>
        </w:rPr>
        <w:t xml:space="preserve"> NB:</w:t>
      </w:r>
      <w:r w:rsidR="00A80746" w:rsidRPr="00F95519">
        <w:rPr>
          <w:rFonts w:ascii="Times New Roman" w:hAnsi="Times New Roman" w:cs="Times New Roman"/>
          <w:sz w:val="20"/>
          <w:szCs w:val="20"/>
        </w:rPr>
        <w:t xml:space="preserve"> *only one replicate amplified. </w:t>
      </w:r>
      <w:r w:rsidR="00394F47">
        <w:rPr>
          <w:rFonts w:ascii="Times New Roman" w:hAnsi="Times New Roman" w:cs="Times New Roman"/>
          <w:sz w:val="20"/>
          <w:szCs w:val="20"/>
        </w:rPr>
        <w:t xml:space="preserve">Climate data </w:t>
      </w:r>
      <w:r w:rsidR="00A47324">
        <w:rPr>
          <w:rFonts w:ascii="Times New Roman" w:hAnsi="Times New Roman" w:cs="Times New Roman"/>
          <w:sz w:val="20"/>
          <w:szCs w:val="20"/>
        </w:rPr>
        <w:t>is the average recorded by</w:t>
      </w:r>
      <w:r w:rsidR="00394F47">
        <w:rPr>
          <w:rFonts w:ascii="Times New Roman" w:hAnsi="Times New Roman" w:cs="Times New Roman"/>
          <w:sz w:val="20"/>
          <w:szCs w:val="20"/>
        </w:rPr>
        <w:t xml:space="preserve"> </w:t>
      </w:r>
      <w:r w:rsidR="00394F47">
        <w:rPr>
          <w:rFonts w:ascii="Times New Roman" w:hAnsi="Times New Roman" w:cs="Times New Roman"/>
          <w:sz w:val="20"/>
          <w:szCs w:val="20"/>
        </w:rPr>
        <w:fldChar w:fldCharType="begin"/>
      </w:r>
      <w:r w:rsidR="006B630B">
        <w:rPr>
          <w:rFonts w:ascii="Times New Roman" w:hAnsi="Times New Roman" w:cs="Times New Roman"/>
          <w:sz w:val="20"/>
          <w:szCs w:val="20"/>
        </w:rPr>
        <w:instrText xml:space="preserve"> ADDIN EN.CITE &lt;EndNote&gt;&lt;Cite AuthorYear="1"&gt;&lt;Author&gt;Australian Bureau of Meteorology&lt;/Author&gt;&lt;Year&gt;2022&lt;/Year&gt;&lt;RecNum&gt;214&lt;/RecNum&gt;&lt;DisplayText&gt;Australian Bureau of Meteorology (2022)&lt;/DisplayText&gt;&lt;record&gt;&lt;rec-number&gt;214&lt;/rec-number&gt;&lt;foreign-keys&gt;&lt;key app="EN" db-id="5fxxtd2e3fp00re0er7v20w49r99a0ta20e9" timestamp="1701833570"&gt;214&lt;/key&gt;&lt;/foreign-keys&gt;&lt;ref-type name="Web Page"&gt;12&lt;/ref-type&gt;&lt;contributors&gt;&lt;authors&gt;&lt;author&gt;Australian Bureau of Meteorology,&lt;/author&gt;&lt;/authors&gt;&lt;/contributors&gt;&lt;titles&gt;&lt;title&gt;Climate Data Online&lt;/title&gt;&lt;/titles&gt;&lt;volume&gt;2020&lt;/volume&gt;&lt;number&gt;November 30&lt;/number&gt;&lt;dates&gt;&lt;year&gt;2022&lt;/year&gt;&lt;/dates&gt;&lt;urls&gt;&lt;related-urls&gt;&lt;url&gt;http://www.bom.gov.au/climate/data/index.shtml&lt;/url&gt;&lt;/related-urls&gt;&lt;/urls&gt;&lt;/record&gt;&lt;/Cite&gt;&lt;/EndNote&gt;</w:instrText>
      </w:r>
      <w:r w:rsidR="00394F47">
        <w:rPr>
          <w:rFonts w:ascii="Times New Roman" w:hAnsi="Times New Roman" w:cs="Times New Roman"/>
          <w:sz w:val="20"/>
          <w:szCs w:val="20"/>
        </w:rPr>
        <w:fldChar w:fldCharType="separate"/>
      </w:r>
      <w:r w:rsidR="00394F47">
        <w:rPr>
          <w:rFonts w:ascii="Times New Roman" w:hAnsi="Times New Roman" w:cs="Times New Roman"/>
          <w:noProof/>
          <w:sz w:val="20"/>
          <w:szCs w:val="20"/>
        </w:rPr>
        <w:t>Australian Bureau of Meteorology (2022)</w:t>
      </w:r>
      <w:r w:rsidR="00394F47">
        <w:rPr>
          <w:rFonts w:ascii="Times New Roman" w:hAnsi="Times New Roman" w:cs="Times New Roman"/>
          <w:sz w:val="20"/>
          <w:szCs w:val="20"/>
        </w:rPr>
        <w:fldChar w:fldCharType="end"/>
      </w:r>
      <w:r w:rsidR="00A47324">
        <w:rPr>
          <w:rFonts w:ascii="Times New Roman" w:hAnsi="Times New Roman" w:cs="Times New Roman"/>
          <w:sz w:val="20"/>
          <w:szCs w:val="20"/>
        </w:rPr>
        <w:t xml:space="preserve"> for the relevant time period in the field</w:t>
      </w:r>
      <w:r w:rsidR="00394F4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ListTable6Colorful"/>
        <w:tblW w:w="14601" w:type="dxa"/>
        <w:tblLayout w:type="fixed"/>
        <w:tblLook w:val="04A0" w:firstRow="1" w:lastRow="0" w:firstColumn="1" w:lastColumn="0" w:noHBand="0" w:noVBand="1"/>
      </w:tblPr>
      <w:tblGrid>
        <w:gridCol w:w="1000"/>
        <w:gridCol w:w="1228"/>
        <w:gridCol w:w="1434"/>
        <w:gridCol w:w="1114"/>
        <w:gridCol w:w="2111"/>
        <w:gridCol w:w="1966"/>
        <w:gridCol w:w="1560"/>
        <w:gridCol w:w="1166"/>
        <w:gridCol w:w="1543"/>
        <w:gridCol w:w="1479"/>
      </w:tblGrid>
      <w:tr w:rsidR="00A80746" w:rsidRPr="00F95519" w14:paraId="1EAED117" w14:textId="77777777" w:rsidTr="00A47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08163DC9" w14:textId="77777777" w:rsidR="00A80746" w:rsidRPr="00F95519" w:rsidRDefault="00A80746" w:rsidP="00630EB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Sample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584D0F46" w14:textId="77777777" w:rsidR="00A80746" w:rsidRPr="00F95519" w:rsidRDefault="00A80746" w:rsidP="0063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434" w:type="dxa"/>
            <w:shd w:val="clear" w:color="auto" w:fill="auto"/>
          </w:tcPr>
          <w:p w14:paraId="1F4FE6AB" w14:textId="77777777" w:rsidR="00A80746" w:rsidRPr="00F95519" w:rsidRDefault="00A80746" w:rsidP="0063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1114" w:type="dxa"/>
            <w:shd w:val="clear" w:color="auto" w:fill="auto"/>
            <w:hideMark/>
          </w:tcPr>
          <w:p w14:paraId="5750F9B9" w14:textId="77777777" w:rsidR="00A80746" w:rsidRPr="00F95519" w:rsidRDefault="00A80746" w:rsidP="0063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Time in field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5889129C" w14:textId="77777777" w:rsidR="00A80746" w:rsidRPr="00F95519" w:rsidRDefault="00A80746" w:rsidP="0063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Avg. Temperature (°C)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1D9BD3CC" w14:textId="77777777" w:rsidR="00A80746" w:rsidRPr="00F95519" w:rsidRDefault="00A80746" w:rsidP="00AA536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Avg. Humidity (%)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190CE0" w14:textId="77777777" w:rsidR="00A80746" w:rsidRPr="00F95519" w:rsidRDefault="00A80746" w:rsidP="00AA536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Total Rainfall (mm)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20FF06D" w14:textId="77777777" w:rsidR="00A80746" w:rsidRPr="00F95519" w:rsidRDefault="00A80746" w:rsidP="0063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Trap type</w:t>
            </w:r>
          </w:p>
        </w:tc>
        <w:tc>
          <w:tcPr>
            <w:tcW w:w="1543" w:type="dxa"/>
            <w:shd w:val="clear" w:color="auto" w:fill="auto"/>
          </w:tcPr>
          <w:p w14:paraId="58875399" w14:textId="77777777" w:rsidR="00A80746" w:rsidRPr="00F95519" w:rsidRDefault="00A80746" w:rsidP="0063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 xml:space="preserve">Mean Ct value </w:t>
            </w:r>
          </w:p>
        </w:tc>
        <w:tc>
          <w:tcPr>
            <w:tcW w:w="1479" w:type="dxa"/>
            <w:shd w:val="clear" w:color="auto" w:fill="auto"/>
          </w:tcPr>
          <w:p w14:paraId="5A9EF1CB" w14:textId="77777777" w:rsidR="00A80746" w:rsidRPr="00F95519" w:rsidRDefault="00A80746" w:rsidP="0063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Mean Copy number</w:t>
            </w:r>
          </w:p>
        </w:tc>
      </w:tr>
      <w:tr w:rsidR="00A80746" w:rsidRPr="00F95519" w14:paraId="6A33AAAF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339818C0" w14:textId="250EE0FE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6CFA5CD5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26/10/2020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BC84479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2CF7C1C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37D1D7B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27.7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084E75C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52.3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0A3B4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86.6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48FD0C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0C4A3E6A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39.42*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9183D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A80746" w:rsidRPr="00F95519" w14:paraId="01CBAD6E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5B27E333" w14:textId="3AD0C075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443FD63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16/11/2021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F5C7AF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79E6DBF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2891FC2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30.8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03827700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59.6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1BFBE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18.2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F9B18D8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6C14E717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&gt;40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484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746" w:rsidRPr="00F95519" w14:paraId="54DFC867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7DC8FC25" w14:textId="7FCFC43F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27E1793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16/11/2020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A5B1DD2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7493DCB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6786AFF1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3518A69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57.3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BABF6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04C904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2447DBCC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23.27 ± 5.23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7D914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4576</w:t>
            </w:r>
          </w:p>
        </w:tc>
      </w:tr>
      <w:tr w:rsidR="00A80746" w:rsidRPr="00F95519" w14:paraId="591C8ED4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2818063D" w14:textId="3F3447BA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3CB41E70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16/11/2020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5008514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FFE3AA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371D62E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7D67F4E8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57.3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2B62F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37F785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5C39663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20.76*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260E9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3780</w:t>
            </w:r>
          </w:p>
        </w:tc>
      </w:tr>
      <w:tr w:rsidR="00A80746" w:rsidRPr="00F95519" w14:paraId="29EF50C9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37A04018" w14:textId="33C0B9BE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19C7B3D6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17/11/2020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D4AC76D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8D15A4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7281C3D6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7742EBB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51.7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59B8CD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6.4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6136AE9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41F94FB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27.84 ± 2.69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364D1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A80746" w:rsidRPr="00F95519" w14:paraId="5C80FD07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5CFB04F6" w14:textId="0C76E425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4FA3852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24/11/2020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E4F6B4C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7D3FD5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5AAB4F1E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29.2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7907218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9E9DB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D14AB8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7D05292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25.41 ± 1.13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2944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</w:tr>
      <w:tr w:rsidR="00A80746" w:rsidRPr="00F95519" w14:paraId="2E28C65D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5B77E1E3" w14:textId="4F7B4C85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121B455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8/12/2020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50FE5D1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6DF03A9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3404D7D9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30.2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38D978C6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52.2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FB0EB6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7F701A3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0AAB398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26.96 ± 0.33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ABFB1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80746" w:rsidRPr="00F95519" w14:paraId="1AE4B0B2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6D4EA830" w14:textId="77737A3E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7D97216F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14/12/2020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9EAA40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29A34808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4wks 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780F2A2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32.1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78D2074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62.6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6EA755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177.0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C162EB0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6A09E25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30.89 ± 1.66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EE1E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0746" w:rsidRPr="00F95519" w14:paraId="2AA45B63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525B4E31" w14:textId="50599025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13D38A1E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14/12/2020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5664BFC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07DC70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6449587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32.1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6CD4CAC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62.6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7397B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177.0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7F914C6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042E1432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&gt;40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7BE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746" w:rsidRPr="00F95519" w14:paraId="018552D5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7E52BD9A" w14:textId="50FC019D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4740B894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15/12/2020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8F5D485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29E6A21F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0FE654C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32.6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124E539F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60.5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EAB6A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046D1D5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690BB785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24.17 ± 4.75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C618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2128</w:t>
            </w:r>
          </w:p>
        </w:tc>
      </w:tr>
      <w:tr w:rsidR="00A80746" w:rsidRPr="00F95519" w14:paraId="72B6877E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72C754FF" w14:textId="3F086E81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6414B900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15/12/2020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A0A17FC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4046D00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77A6655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32.6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458AB689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60.5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899064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975386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61009204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27.63 ± 7.15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E86C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</w:tr>
      <w:tr w:rsidR="00A80746" w:rsidRPr="00F95519" w14:paraId="377B77CD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5F78D3F3" w14:textId="05AEDCFF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3967EFC3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21/12/2020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365E78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770F2A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2319AFC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28.8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2B787D1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59.1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62DBF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122.0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139DE7C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2BD09A1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27.72 ± 0.84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499C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A80746" w:rsidRPr="00F95519" w14:paraId="437CB7D7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16AFC286" w14:textId="3F8F965C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6FC65A5B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5/01/2021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785406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E05A10A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78FFD7B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29.9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0A048F6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55.9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FF4F1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10.4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C8A274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1B11CDCD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23.83 ± 4.85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E061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2754</w:t>
            </w:r>
          </w:p>
        </w:tc>
      </w:tr>
      <w:tr w:rsidR="00A80746" w:rsidRPr="00F95519" w14:paraId="63F5DBCE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22A57B57" w14:textId="3C624E26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41796FFA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5/01/2021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AC9AC9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5EE6CA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36CC0AA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29.9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4CC09DE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55.9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767179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10.4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1EEBFE89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5E907D7F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18.75 ± 0.22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660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14450</w:t>
            </w:r>
          </w:p>
        </w:tc>
      </w:tr>
      <w:tr w:rsidR="00A80746" w:rsidRPr="00F95519" w14:paraId="502BDB31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69FE4FB1" w14:textId="6015A1F1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5C441BAE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25/01/2021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BE6CF02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20A04FAD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411D726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30.7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21BB532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72.8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71E8A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178.8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EF7B85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3068DC9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39.29*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3832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A80746" w:rsidRPr="00F95519" w14:paraId="6391E0A1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3D84C716" w14:textId="4C58E49B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9D65A21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15/11/2021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F4C743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314103E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43BFEA5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32.6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348D36C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58.5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7BA58C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A8AAE3F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254B7E2E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24.96*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75A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A80746" w:rsidRPr="00F95519" w14:paraId="7D913E17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6E636856" w14:textId="01E598BA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76A6A200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10/11/2021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1A1D674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Townsville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68AD151A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530F751D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34.1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130CBE3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58.0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EB08C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5BD3D65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57E92A06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21.09*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1C52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</w:tc>
      </w:tr>
      <w:tr w:rsidR="00A80746" w:rsidRPr="00F95519" w14:paraId="0C0C5E41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4808036C" w14:textId="6778E1BE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767824DE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16/11/2021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A2B424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689B3BF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265780C4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30.8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05F3AE7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59.6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795EE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18.2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7B3AA2EC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1389443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21.15 ± 2.31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2EB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4852</w:t>
            </w:r>
          </w:p>
        </w:tc>
      </w:tr>
      <w:tr w:rsidR="00A80746" w:rsidRPr="00F95519" w14:paraId="59E73D2D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51889E6E" w14:textId="7BAF25E9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0132D25C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5BCB23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030DDAED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4594672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6945924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70.9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099DD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248.8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4F7FD3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Steiner</w:t>
            </w:r>
          </w:p>
        </w:tc>
        <w:tc>
          <w:tcPr>
            <w:tcW w:w="1543" w:type="dxa"/>
            <w:shd w:val="clear" w:color="auto" w:fill="auto"/>
          </w:tcPr>
          <w:p w14:paraId="18BB14B5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&gt;40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2DC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746" w:rsidRPr="00F95519" w14:paraId="27FC5053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1722DA4A" w14:textId="1FCA12B3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F1D14C9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9B33CF0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C357577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69E82B7F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31.3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0AD99C1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61.2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4659A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160.6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7AEB1F94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292779E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24.08 ± 0.68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BC8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A80746" w:rsidRPr="00F95519" w14:paraId="79F506E5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15A24C5B" w14:textId="6C1DB655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0E580E7C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330733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Airlie Beach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4C068A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747BDBE8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30.7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4EB03C2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0195F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35.2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09E2013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Steiner</w:t>
            </w:r>
          </w:p>
        </w:tc>
        <w:tc>
          <w:tcPr>
            <w:tcW w:w="1543" w:type="dxa"/>
            <w:shd w:val="clear" w:color="auto" w:fill="auto"/>
          </w:tcPr>
          <w:p w14:paraId="3E564DF6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26.13 ± 2.47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9B72E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2188</w:t>
            </w:r>
          </w:p>
        </w:tc>
      </w:tr>
      <w:tr w:rsidR="00A80746" w:rsidRPr="00F95519" w14:paraId="4046AA35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48167F52" w14:textId="5DCB58C2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21F37A5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2A67A07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67A4242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1F0BBC3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203F7D58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70.9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B84EC5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248.8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FB29F14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Steiner</w:t>
            </w:r>
          </w:p>
        </w:tc>
        <w:tc>
          <w:tcPr>
            <w:tcW w:w="1543" w:type="dxa"/>
            <w:shd w:val="clear" w:color="auto" w:fill="auto"/>
          </w:tcPr>
          <w:p w14:paraId="428D8EFE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23.17 ± 2.25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801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2660</w:t>
            </w:r>
          </w:p>
        </w:tc>
      </w:tr>
      <w:tr w:rsidR="00A80746" w:rsidRPr="00F95519" w14:paraId="64AE736E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71FC8CA4" w14:textId="1FC7DFEB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00AC642C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08B915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Cooktown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554DBD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1383269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31.3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296D4ED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61.2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7781D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160.6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40BC5A1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14D7EC8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23.44 ± 3.49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AEE22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</w:tr>
      <w:tr w:rsidR="00A80746" w:rsidRPr="00F95519" w14:paraId="0FECF4E0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138F1E14" w14:textId="7EF63793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748193F1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A158AF9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17814734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55955A1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27.2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5DAD6FF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61.6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ADCB4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51.8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35CF7A7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Lynfield</w:t>
            </w:r>
          </w:p>
        </w:tc>
        <w:tc>
          <w:tcPr>
            <w:tcW w:w="1543" w:type="dxa"/>
            <w:shd w:val="clear" w:color="auto" w:fill="auto"/>
          </w:tcPr>
          <w:p w14:paraId="0095A1B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21.82 ± 3.61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A312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7110</w:t>
            </w:r>
          </w:p>
        </w:tc>
      </w:tr>
      <w:tr w:rsidR="00A80746" w:rsidRPr="00F95519" w14:paraId="3F0B8058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107AE179" w14:textId="297D5E80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5528A19B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2CC93D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4D4F3BEC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73BAB0C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29.7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5C1C157C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73.4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711E9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232.0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AAEAFCA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7A9AAFAC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25.80 ± 4.62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24AC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</w:tr>
      <w:tr w:rsidR="00A80746" w:rsidRPr="00F95519" w14:paraId="570AA0DE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374797D2" w14:textId="7AD5B05E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509823B0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79DECF4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00983A91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6B0B6BC5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29.7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30324D05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73.4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C17FC7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232.0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E4FA94B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311E7E56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24.72 ± 5.07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165C8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13863</w:t>
            </w:r>
          </w:p>
        </w:tc>
      </w:tr>
      <w:tr w:rsidR="00A80746" w:rsidRPr="00F95519" w14:paraId="199E7F5D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4DCA3E30" w14:textId="7F484CB7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62C09399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0EB3E75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2BC7DB3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2D324046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29.7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7BD88F19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73.4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F6B1D6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232.0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C112D0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79F9D1B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22.89 ± 5.15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47B2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5685</w:t>
            </w:r>
          </w:p>
        </w:tc>
      </w:tr>
      <w:tr w:rsidR="00A80746" w:rsidRPr="00F95519" w14:paraId="7CEBF8F7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7088C476" w14:textId="7CB273D6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49E5CD1E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25/01/2022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FFAC14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Airlie Beach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21D4ADC9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771BC35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30.7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7F210FAE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637FD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35.2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E2B6DA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Steiner</w:t>
            </w:r>
          </w:p>
        </w:tc>
        <w:tc>
          <w:tcPr>
            <w:tcW w:w="1543" w:type="dxa"/>
            <w:shd w:val="clear" w:color="auto" w:fill="auto"/>
          </w:tcPr>
          <w:p w14:paraId="5319D198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23.34 ± 0.79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83B8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7705</w:t>
            </w:r>
          </w:p>
        </w:tc>
      </w:tr>
      <w:tr w:rsidR="00A80746" w:rsidRPr="00F95519" w14:paraId="524D2EE7" w14:textId="77777777" w:rsidTr="00A4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03BB14BE" w14:textId="1CCC4840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3B177DFD" w14:textId="77777777" w:rsidR="00A80746" w:rsidRPr="00F95519" w:rsidRDefault="00A80746" w:rsidP="005D31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8/03/2022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F4918E5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024CD5B3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58AED299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31.6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45D2159F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66.4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943DAB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40.4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7D0E98D7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Paton</w:t>
            </w:r>
          </w:p>
        </w:tc>
        <w:tc>
          <w:tcPr>
            <w:tcW w:w="1543" w:type="dxa"/>
            <w:shd w:val="clear" w:color="auto" w:fill="auto"/>
          </w:tcPr>
          <w:p w14:paraId="340A7A80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23.61 ± 0.81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46DC" w14:textId="77777777" w:rsidR="00A80746" w:rsidRPr="00F95519" w:rsidRDefault="00A80746" w:rsidP="005D31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2614</w:t>
            </w:r>
          </w:p>
        </w:tc>
      </w:tr>
      <w:tr w:rsidR="00A80746" w:rsidRPr="00F95519" w14:paraId="78E9373E" w14:textId="77777777" w:rsidTr="00A47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shd w:val="clear" w:color="auto" w:fill="auto"/>
            <w:noWrap/>
            <w:hideMark/>
          </w:tcPr>
          <w:p w14:paraId="760D2A9B" w14:textId="68EF228A" w:rsidR="00A80746" w:rsidRPr="00F95519" w:rsidRDefault="00A649CF" w:rsidP="005D31E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Field</w:t>
            </w:r>
            <w:r w:rsidR="00A80746"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72288294" w14:textId="77777777" w:rsidR="00A80746" w:rsidRPr="00F95519" w:rsidRDefault="00A80746" w:rsidP="005D31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8/03/2022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72654C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Cairns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48F87F3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wks</w:t>
            </w:r>
          </w:p>
        </w:tc>
        <w:tc>
          <w:tcPr>
            <w:tcW w:w="2111" w:type="dxa"/>
            <w:shd w:val="clear" w:color="auto" w:fill="auto"/>
            <w:noWrap/>
            <w:hideMark/>
          </w:tcPr>
          <w:p w14:paraId="015F4275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31.6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3E85396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66.4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F8E9E9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40.4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43325062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Steiner</w:t>
            </w:r>
          </w:p>
        </w:tc>
        <w:tc>
          <w:tcPr>
            <w:tcW w:w="1543" w:type="dxa"/>
            <w:shd w:val="clear" w:color="auto" w:fill="auto"/>
          </w:tcPr>
          <w:p w14:paraId="7C42970A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21.56 ± 1.15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959DD" w14:textId="77777777" w:rsidR="00A80746" w:rsidRPr="00F95519" w:rsidRDefault="00A80746" w:rsidP="005D31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519">
              <w:rPr>
                <w:rFonts w:ascii="Times New Roman" w:hAnsi="Times New Roman" w:cs="Times New Roman"/>
                <w:sz w:val="20"/>
                <w:szCs w:val="20"/>
              </w:rPr>
              <w:t>2565</w:t>
            </w:r>
          </w:p>
        </w:tc>
      </w:tr>
    </w:tbl>
    <w:p w14:paraId="722394DE" w14:textId="77777777" w:rsidR="00A649CF" w:rsidRDefault="00A649CF" w:rsidP="00B81DB7">
      <w:pPr>
        <w:pStyle w:val="EndNoteBibliography"/>
        <w:rPr>
          <w:b/>
          <w:bCs/>
          <w:szCs w:val="20"/>
        </w:rPr>
        <w:sectPr w:rsidR="00A649CF" w:rsidSect="00A47324">
          <w:pgSz w:w="16838" w:h="11906" w:orient="landscape" w:code="9"/>
          <w:pgMar w:top="624" w:right="720" w:bottom="624" w:left="720" w:header="709" w:footer="709" w:gutter="0"/>
          <w:cols w:space="708"/>
          <w:docGrid w:linePitch="360"/>
        </w:sectPr>
      </w:pPr>
    </w:p>
    <w:p w14:paraId="26AD61B5" w14:textId="77777777" w:rsidR="005C2D6F" w:rsidRPr="00F95519" w:rsidRDefault="005C2D6F" w:rsidP="005C2D6F">
      <w:pPr>
        <w:spacing w:line="360" w:lineRule="auto"/>
        <w:rPr>
          <w:rFonts w:ascii="Times New Roman" w:hAnsi="Times New Roman" w:cs="Times New Roman"/>
        </w:rPr>
      </w:pPr>
      <w:r w:rsidRPr="00F95519">
        <w:rPr>
          <w:rFonts w:ascii="Times New Roman" w:hAnsi="Times New Roman" w:cs="Times New Roman"/>
          <w:b/>
          <w:bCs/>
        </w:rPr>
        <w:lastRenderedPageBreak/>
        <w:t>Supp</w:t>
      </w:r>
      <w:r>
        <w:rPr>
          <w:rFonts w:ascii="Times New Roman" w:hAnsi="Times New Roman" w:cs="Times New Roman"/>
          <w:b/>
          <w:bCs/>
        </w:rPr>
        <w:t>lementary</w:t>
      </w:r>
      <w:r w:rsidRPr="00F95519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/>
          <w:b/>
          <w:bCs/>
        </w:rPr>
        <w:t>5.</w:t>
      </w:r>
      <w:r w:rsidRPr="00F95519">
        <w:rPr>
          <w:rFonts w:ascii="Times New Roman" w:hAnsi="Times New Roman" w:cs="Times New Roman"/>
        </w:rPr>
        <w:t xml:space="preserve"> Adjusted average </w:t>
      </w:r>
      <w:r w:rsidRPr="00F95519">
        <w:rPr>
          <w:rFonts w:ascii="Times New Roman" w:hAnsi="Times New Roman" w:cs="Times New Roman"/>
          <w:i/>
          <w:iCs/>
        </w:rPr>
        <w:t xml:space="preserve">Bactrocera tryoni </w:t>
      </w:r>
      <w:r w:rsidRPr="00F95519">
        <w:rPr>
          <w:rFonts w:ascii="Times New Roman" w:hAnsi="Times New Roman" w:cs="Times New Roman"/>
        </w:rPr>
        <w:t xml:space="preserve">COI real-time PCR data and calculated copy number for seven treatment groups collected at two time points. Mean Ct value results with the same letter are not significantly </w:t>
      </w:r>
      <w:r w:rsidRPr="006D546B">
        <w:rPr>
          <w:rFonts w:ascii="Times New Roman" w:hAnsi="Times New Roman" w:cs="Times New Roman"/>
        </w:rPr>
        <w:t>different at P = 0.05.</w:t>
      </w:r>
      <w:r w:rsidRPr="00F95519">
        <w:rPr>
          <w:rFonts w:ascii="Times New Roman" w:hAnsi="Times New Roman" w:cs="Times New Roman"/>
        </w:rPr>
        <w:t xml:space="preserve"> Mean copy number results with the same letter are not significantly different at P</w:t>
      </w:r>
      <w:r>
        <w:rPr>
          <w:rFonts w:ascii="Times New Roman" w:hAnsi="Times New Roman" w:cs="Times New Roman"/>
        </w:rPr>
        <w:t xml:space="preserve"> </w:t>
      </w:r>
      <w:r w:rsidRPr="00F9551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F95519">
        <w:rPr>
          <w:rFonts w:ascii="Times New Roman" w:hAnsi="Times New Roman" w:cs="Times New Roman"/>
        </w:rPr>
        <w:t>0.05;</w:t>
      </w:r>
      <w:r w:rsidRPr="00F95519">
        <w:t xml:space="preserve"> </w:t>
      </w:r>
      <w:r w:rsidRPr="00F95519">
        <w:rPr>
          <w:rFonts w:ascii="Times New Roman" w:hAnsi="Times New Roman" w:cs="Times New Roman"/>
        </w:rPr>
        <w:t>*one datapoint only for treatment 3 at 2 weeks (3A) as samples failed to amplify (Ct</w:t>
      </w:r>
      <w:r>
        <w:rPr>
          <w:rFonts w:ascii="Times New Roman" w:hAnsi="Times New Roman" w:cs="Times New Roman"/>
        </w:rPr>
        <w:t xml:space="preserve"> </w:t>
      </w:r>
      <w:r w:rsidRPr="00F95519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F95519">
        <w:rPr>
          <w:rFonts w:ascii="Times New Roman" w:hAnsi="Times New Roman" w:cs="Times New Roman"/>
        </w:rPr>
        <w:t>40); *cabinet thermostat failed at 3 weeks for treatment 3 at 4 weeks (3B).</w:t>
      </w:r>
    </w:p>
    <w:tbl>
      <w:tblPr>
        <w:tblStyle w:val="PlainTable2"/>
        <w:tblW w:w="9214" w:type="dxa"/>
        <w:jc w:val="center"/>
        <w:tblLook w:val="04A0" w:firstRow="1" w:lastRow="0" w:firstColumn="1" w:lastColumn="0" w:noHBand="0" w:noVBand="1"/>
      </w:tblPr>
      <w:tblGrid>
        <w:gridCol w:w="1276"/>
        <w:gridCol w:w="1559"/>
        <w:gridCol w:w="1078"/>
        <w:gridCol w:w="1332"/>
        <w:gridCol w:w="1418"/>
        <w:gridCol w:w="1417"/>
        <w:gridCol w:w="1134"/>
      </w:tblGrid>
      <w:tr w:rsidR="005C2D6F" w:rsidRPr="00F95519" w14:paraId="145FD12E" w14:textId="77777777" w:rsidTr="00384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noWrap/>
            <w:hideMark/>
          </w:tcPr>
          <w:p w14:paraId="648A2F06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Treatment Group</w:t>
            </w:r>
          </w:p>
        </w:tc>
        <w:tc>
          <w:tcPr>
            <w:tcW w:w="1559" w:type="dxa"/>
            <w:vMerge w:val="restart"/>
            <w:noWrap/>
            <w:hideMark/>
          </w:tcPr>
          <w:p w14:paraId="243AE3F4" w14:textId="77777777" w:rsidR="005C2D6F" w:rsidRPr="00F95519" w:rsidRDefault="005C2D6F" w:rsidP="003841E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Temperature (°C)</w:t>
            </w:r>
          </w:p>
        </w:tc>
        <w:tc>
          <w:tcPr>
            <w:tcW w:w="1078" w:type="dxa"/>
            <w:vMerge w:val="restart"/>
            <w:noWrap/>
            <w:hideMark/>
          </w:tcPr>
          <w:p w14:paraId="0247DB44" w14:textId="77777777" w:rsidR="005C2D6F" w:rsidRPr="00F95519" w:rsidRDefault="005C2D6F" w:rsidP="003841E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RH (%)</w:t>
            </w:r>
          </w:p>
        </w:tc>
        <w:tc>
          <w:tcPr>
            <w:tcW w:w="2750" w:type="dxa"/>
            <w:gridSpan w:val="2"/>
          </w:tcPr>
          <w:p w14:paraId="19B36818" w14:textId="77777777" w:rsidR="005C2D6F" w:rsidRPr="00F95519" w:rsidRDefault="005C2D6F" w:rsidP="003841E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Mean Ct values</w:t>
            </w:r>
          </w:p>
        </w:tc>
        <w:tc>
          <w:tcPr>
            <w:tcW w:w="2551" w:type="dxa"/>
            <w:gridSpan w:val="2"/>
          </w:tcPr>
          <w:p w14:paraId="12AD1087" w14:textId="77777777" w:rsidR="005C2D6F" w:rsidRPr="00F95519" w:rsidRDefault="005C2D6F" w:rsidP="003841E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Mean Copy Number x10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F95519">
              <w:rPr>
                <w:rFonts w:ascii="Times New Roman" w:hAnsi="Times New Roman" w:cs="Times New Roman"/>
                <w:noProof/>
              </w:rPr>
              <w:t>/ reaction</w:t>
            </w:r>
          </w:p>
        </w:tc>
      </w:tr>
      <w:tr w:rsidR="005C2D6F" w:rsidRPr="00F95519" w14:paraId="4F0B4E29" w14:textId="77777777" w:rsidTr="0038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noWrap/>
          </w:tcPr>
          <w:p w14:paraId="3AE885C9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vMerge/>
            <w:noWrap/>
          </w:tcPr>
          <w:p w14:paraId="05615314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78" w:type="dxa"/>
            <w:vMerge/>
            <w:noWrap/>
          </w:tcPr>
          <w:p w14:paraId="01BCDEB1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2" w:type="dxa"/>
          </w:tcPr>
          <w:p w14:paraId="45B7D729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95519">
              <w:rPr>
                <w:rFonts w:ascii="Times New Roman" w:hAnsi="Times New Roman" w:cs="Times New Roman"/>
                <w:b/>
                <w:bCs/>
                <w:noProof/>
              </w:rPr>
              <w:t>2 weeks</w:t>
            </w:r>
          </w:p>
        </w:tc>
        <w:tc>
          <w:tcPr>
            <w:tcW w:w="1418" w:type="dxa"/>
          </w:tcPr>
          <w:p w14:paraId="38C615D7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95519">
              <w:rPr>
                <w:rFonts w:ascii="Times New Roman" w:hAnsi="Times New Roman" w:cs="Times New Roman"/>
                <w:b/>
                <w:bCs/>
                <w:color w:val="000000"/>
              </w:rPr>
              <w:t>4 weeks</w:t>
            </w:r>
          </w:p>
        </w:tc>
        <w:tc>
          <w:tcPr>
            <w:tcW w:w="1417" w:type="dxa"/>
          </w:tcPr>
          <w:p w14:paraId="2240B0B3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519">
              <w:rPr>
                <w:rFonts w:ascii="Times New Roman" w:hAnsi="Times New Roman" w:cs="Times New Roman"/>
                <w:b/>
                <w:bCs/>
                <w:noProof/>
              </w:rPr>
              <w:t>2 weeks</w:t>
            </w:r>
          </w:p>
        </w:tc>
        <w:tc>
          <w:tcPr>
            <w:tcW w:w="1134" w:type="dxa"/>
          </w:tcPr>
          <w:p w14:paraId="26C78378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519">
              <w:rPr>
                <w:rFonts w:ascii="Times New Roman" w:hAnsi="Times New Roman" w:cs="Times New Roman"/>
                <w:b/>
                <w:bCs/>
                <w:color w:val="000000"/>
              </w:rPr>
              <w:t>4 weeks</w:t>
            </w:r>
          </w:p>
        </w:tc>
      </w:tr>
      <w:tr w:rsidR="005C2D6F" w:rsidRPr="00F95519" w14:paraId="2F638494" w14:textId="77777777" w:rsidTr="003841E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C2643D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F8C8732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20.0</w:t>
            </w:r>
          </w:p>
        </w:tc>
        <w:tc>
          <w:tcPr>
            <w:tcW w:w="1078" w:type="dxa"/>
            <w:noWrap/>
            <w:hideMark/>
          </w:tcPr>
          <w:p w14:paraId="2D2B7FED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332" w:type="dxa"/>
          </w:tcPr>
          <w:p w14:paraId="78D77D1D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16.51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DE7AF74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16.94</w:t>
            </w:r>
            <w:r w:rsidRPr="00F95519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3C42E0F7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19.29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f</w:t>
            </w:r>
          </w:p>
        </w:tc>
        <w:tc>
          <w:tcPr>
            <w:tcW w:w="1134" w:type="dxa"/>
          </w:tcPr>
          <w:p w14:paraId="6CBD25E4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18.32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f</w:t>
            </w:r>
          </w:p>
        </w:tc>
      </w:tr>
      <w:tr w:rsidR="005C2D6F" w:rsidRPr="00F95519" w14:paraId="4AA9140C" w14:textId="77777777" w:rsidTr="0038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E1F936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3223F1E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27.5</w:t>
            </w:r>
          </w:p>
        </w:tc>
        <w:tc>
          <w:tcPr>
            <w:tcW w:w="1078" w:type="dxa"/>
            <w:noWrap/>
            <w:hideMark/>
          </w:tcPr>
          <w:p w14:paraId="63DC4C12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332" w:type="dxa"/>
          </w:tcPr>
          <w:p w14:paraId="155F3724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17.55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b</w:t>
            </w:r>
          </w:p>
        </w:tc>
        <w:tc>
          <w:tcPr>
            <w:tcW w:w="1418" w:type="dxa"/>
          </w:tcPr>
          <w:p w14:paraId="00D32970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18.52</w:t>
            </w:r>
            <w:r w:rsidRPr="00F95519">
              <w:rPr>
                <w:rFonts w:ascii="Times New Roman" w:hAnsi="Times New Roman" w:cs="Times New Roman"/>
                <w:color w:val="000000"/>
                <w:vertAlign w:val="superscript"/>
              </w:rPr>
              <w:t>cd</w:t>
            </w:r>
          </w:p>
        </w:tc>
        <w:tc>
          <w:tcPr>
            <w:tcW w:w="1417" w:type="dxa"/>
          </w:tcPr>
          <w:p w14:paraId="3FE95A7F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13.16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ef</w:t>
            </w:r>
          </w:p>
        </w:tc>
        <w:tc>
          <w:tcPr>
            <w:tcW w:w="1134" w:type="dxa"/>
          </w:tcPr>
          <w:p w14:paraId="76418570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6.31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cd</w:t>
            </w:r>
          </w:p>
        </w:tc>
      </w:tr>
      <w:tr w:rsidR="005C2D6F" w:rsidRPr="00F95519" w14:paraId="11E2ECE1" w14:textId="77777777" w:rsidTr="003841E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72DBA9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3*</w:t>
            </w:r>
          </w:p>
        </w:tc>
        <w:tc>
          <w:tcPr>
            <w:tcW w:w="1559" w:type="dxa"/>
            <w:noWrap/>
            <w:hideMark/>
          </w:tcPr>
          <w:p w14:paraId="7861D149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35.0</w:t>
            </w:r>
          </w:p>
        </w:tc>
        <w:tc>
          <w:tcPr>
            <w:tcW w:w="1078" w:type="dxa"/>
            <w:noWrap/>
            <w:hideMark/>
          </w:tcPr>
          <w:p w14:paraId="5BA6D720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332" w:type="dxa"/>
          </w:tcPr>
          <w:p w14:paraId="2A97DF56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19.40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def</w:t>
            </w:r>
          </w:p>
        </w:tc>
        <w:tc>
          <w:tcPr>
            <w:tcW w:w="1418" w:type="dxa"/>
          </w:tcPr>
          <w:p w14:paraId="1F5FB19F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20.64</w:t>
            </w:r>
            <w:r w:rsidRPr="00F95519">
              <w:rPr>
                <w:rFonts w:ascii="Times New Roman" w:hAnsi="Times New Roman" w:cs="Times New Roman"/>
                <w:color w:val="000000"/>
                <w:vertAlign w:val="superscript"/>
              </w:rPr>
              <w:t>fh</w:t>
            </w:r>
          </w:p>
        </w:tc>
        <w:tc>
          <w:tcPr>
            <w:tcW w:w="1417" w:type="dxa"/>
          </w:tcPr>
          <w:p w14:paraId="352DF043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1.31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ab</w:t>
            </w:r>
          </w:p>
        </w:tc>
        <w:tc>
          <w:tcPr>
            <w:tcW w:w="1134" w:type="dxa"/>
          </w:tcPr>
          <w:p w14:paraId="3E670977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4.37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bcd</w:t>
            </w:r>
          </w:p>
        </w:tc>
      </w:tr>
      <w:tr w:rsidR="005C2D6F" w:rsidRPr="00F95519" w14:paraId="11214728" w14:textId="77777777" w:rsidTr="0038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A634A0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083DC382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35.0</w:t>
            </w:r>
          </w:p>
        </w:tc>
        <w:tc>
          <w:tcPr>
            <w:tcW w:w="1078" w:type="dxa"/>
            <w:noWrap/>
            <w:hideMark/>
          </w:tcPr>
          <w:p w14:paraId="4481FC7C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332" w:type="dxa"/>
          </w:tcPr>
          <w:p w14:paraId="49C00BF8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17.68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bc</w:t>
            </w:r>
          </w:p>
        </w:tc>
        <w:tc>
          <w:tcPr>
            <w:tcW w:w="1418" w:type="dxa"/>
          </w:tcPr>
          <w:p w14:paraId="67980AA6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20.19</w:t>
            </w:r>
            <w:r w:rsidRPr="00F95519">
              <w:rPr>
                <w:rFonts w:ascii="Times New Roman" w:hAnsi="Times New Roman" w:cs="Times New Roman"/>
                <w:color w:val="000000"/>
                <w:vertAlign w:val="superscript"/>
              </w:rPr>
              <w:t>fgh</w:t>
            </w:r>
          </w:p>
        </w:tc>
        <w:tc>
          <w:tcPr>
            <w:tcW w:w="1417" w:type="dxa"/>
          </w:tcPr>
          <w:p w14:paraId="4EDD6F2D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3.10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abc</w:t>
            </w:r>
          </w:p>
        </w:tc>
        <w:tc>
          <w:tcPr>
            <w:tcW w:w="1134" w:type="dxa"/>
          </w:tcPr>
          <w:p w14:paraId="1FFEE844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0.92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</w:t>
            </w:r>
          </w:p>
        </w:tc>
      </w:tr>
      <w:tr w:rsidR="005C2D6F" w:rsidRPr="00F95519" w14:paraId="61CF8492" w14:textId="77777777" w:rsidTr="003841E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B383D3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35D51BA1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20.0</w:t>
            </w:r>
          </w:p>
        </w:tc>
        <w:tc>
          <w:tcPr>
            <w:tcW w:w="1078" w:type="dxa"/>
            <w:noWrap/>
            <w:hideMark/>
          </w:tcPr>
          <w:p w14:paraId="4B91D17E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332" w:type="dxa"/>
          </w:tcPr>
          <w:p w14:paraId="341EBF18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19.67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efg</w:t>
            </w:r>
          </w:p>
        </w:tc>
        <w:tc>
          <w:tcPr>
            <w:tcW w:w="1418" w:type="dxa"/>
          </w:tcPr>
          <w:p w14:paraId="1A95B9E9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20.13</w:t>
            </w:r>
            <w:r w:rsidRPr="00F95519">
              <w:rPr>
                <w:rFonts w:ascii="Times New Roman" w:hAnsi="Times New Roman" w:cs="Times New Roman"/>
                <w:color w:val="000000"/>
                <w:vertAlign w:val="superscript"/>
              </w:rPr>
              <w:t>fgh</w:t>
            </w:r>
          </w:p>
        </w:tc>
        <w:tc>
          <w:tcPr>
            <w:tcW w:w="1417" w:type="dxa"/>
          </w:tcPr>
          <w:p w14:paraId="7D09F057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3.38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abc</w:t>
            </w:r>
          </w:p>
        </w:tc>
        <w:tc>
          <w:tcPr>
            <w:tcW w:w="1134" w:type="dxa"/>
          </w:tcPr>
          <w:p w14:paraId="01562B80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2.56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abc</w:t>
            </w:r>
          </w:p>
        </w:tc>
      </w:tr>
      <w:tr w:rsidR="005C2D6F" w:rsidRPr="00F95519" w14:paraId="135741D4" w14:textId="77777777" w:rsidTr="0038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1DC248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1DB34962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25.0-30.0</w:t>
            </w:r>
          </w:p>
        </w:tc>
        <w:tc>
          <w:tcPr>
            <w:tcW w:w="1078" w:type="dxa"/>
            <w:noWrap/>
            <w:hideMark/>
          </w:tcPr>
          <w:p w14:paraId="0212E695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332" w:type="dxa"/>
          </w:tcPr>
          <w:p w14:paraId="2A249B87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17.72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bc</w:t>
            </w:r>
          </w:p>
        </w:tc>
        <w:tc>
          <w:tcPr>
            <w:tcW w:w="1418" w:type="dxa"/>
          </w:tcPr>
          <w:p w14:paraId="596F42C4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18.76</w:t>
            </w:r>
            <w:r w:rsidRPr="00F95519"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417" w:type="dxa"/>
          </w:tcPr>
          <w:p w14:paraId="1C6136F1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8.44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de</w:t>
            </w:r>
          </w:p>
        </w:tc>
        <w:tc>
          <w:tcPr>
            <w:tcW w:w="1134" w:type="dxa"/>
          </w:tcPr>
          <w:p w14:paraId="588577F1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5.45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bcd</w:t>
            </w:r>
          </w:p>
        </w:tc>
      </w:tr>
      <w:tr w:rsidR="005C2D6F" w:rsidRPr="00F95519" w14:paraId="65EABFAA" w14:textId="77777777" w:rsidTr="003841E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851D5D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2EC426DE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22.5-32.5</w:t>
            </w:r>
          </w:p>
        </w:tc>
        <w:tc>
          <w:tcPr>
            <w:tcW w:w="1078" w:type="dxa"/>
            <w:noWrap/>
            <w:hideMark/>
          </w:tcPr>
          <w:p w14:paraId="3613E153" w14:textId="77777777" w:rsidR="005C2D6F" w:rsidRPr="00F95519" w:rsidRDefault="005C2D6F" w:rsidP="003841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332" w:type="dxa"/>
          </w:tcPr>
          <w:p w14:paraId="33B7FC5A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17.34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3458E250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17.57</w:t>
            </w:r>
            <w:r w:rsidRPr="00F95519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50EED3D4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46.89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g</w:t>
            </w:r>
          </w:p>
        </w:tc>
        <w:tc>
          <w:tcPr>
            <w:tcW w:w="1134" w:type="dxa"/>
          </w:tcPr>
          <w:p w14:paraId="754151C4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36.22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g</w:t>
            </w:r>
          </w:p>
        </w:tc>
      </w:tr>
      <w:tr w:rsidR="005C2D6F" w:rsidRPr="00F95519" w14:paraId="5D3B333E" w14:textId="77777777" w:rsidTr="0038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</w:tcPr>
          <w:p w14:paraId="79C7D983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Untreated</w:t>
            </w:r>
          </w:p>
        </w:tc>
        <w:tc>
          <w:tcPr>
            <w:tcW w:w="1559" w:type="dxa"/>
            <w:noWrap/>
          </w:tcPr>
          <w:p w14:paraId="02F060FE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N/A</w:t>
            </w:r>
          </w:p>
        </w:tc>
        <w:tc>
          <w:tcPr>
            <w:tcW w:w="1078" w:type="dxa"/>
            <w:noWrap/>
          </w:tcPr>
          <w:p w14:paraId="5AC5A10D" w14:textId="77777777" w:rsidR="005C2D6F" w:rsidRPr="00F95519" w:rsidRDefault="005C2D6F" w:rsidP="003841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N/A</w:t>
            </w:r>
          </w:p>
        </w:tc>
        <w:tc>
          <w:tcPr>
            <w:tcW w:w="1332" w:type="dxa"/>
          </w:tcPr>
          <w:p w14:paraId="6AC05314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</w:rPr>
              <w:t>16.82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6F40118F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07EE9F5A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22.19</w:t>
            </w:r>
            <w:r w:rsidRPr="00F95519">
              <w:rPr>
                <w:rFonts w:ascii="Times New Roman" w:hAnsi="Times New Roman" w:cs="Times New Roman"/>
                <w:noProof/>
                <w:vertAlign w:val="superscript"/>
              </w:rPr>
              <w:t>f</w:t>
            </w:r>
          </w:p>
        </w:tc>
        <w:tc>
          <w:tcPr>
            <w:tcW w:w="1134" w:type="dxa"/>
          </w:tcPr>
          <w:p w14:paraId="6863F1AC" w14:textId="77777777" w:rsidR="005C2D6F" w:rsidRPr="00F95519" w:rsidRDefault="005C2D6F" w:rsidP="003841E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C2D6F" w:rsidRPr="00F95519" w14:paraId="06F4318F" w14:textId="77777777" w:rsidTr="003841E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3" w:type="dxa"/>
            <w:gridSpan w:val="3"/>
            <w:noWrap/>
          </w:tcPr>
          <w:p w14:paraId="4329B09C" w14:textId="77777777" w:rsidR="005C2D6F" w:rsidRPr="00F95519" w:rsidRDefault="005C2D6F" w:rsidP="003841E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95519">
              <w:rPr>
                <w:rFonts w:ascii="Times New Roman" w:hAnsi="Times New Roman" w:cs="Times New Roman"/>
                <w:noProof/>
              </w:rPr>
              <w:t>Pooled Standard Error</w:t>
            </w:r>
          </w:p>
        </w:tc>
        <w:tc>
          <w:tcPr>
            <w:tcW w:w="1332" w:type="dxa"/>
          </w:tcPr>
          <w:p w14:paraId="31691768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0.36</w:t>
            </w:r>
          </w:p>
        </w:tc>
        <w:tc>
          <w:tcPr>
            <w:tcW w:w="1418" w:type="dxa"/>
          </w:tcPr>
          <w:p w14:paraId="27B3B63E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34632A9C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1134" w:type="dxa"/>
          </w:tcPr>
          <w:p w14:paraId="5B668474" w14:textId="77777777" w:rsidR="005C2D6F" w:rsidRPr="00F95519" w:rsidRDefault="005C2D6F" w:rsidP="003841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95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611DDF23" w14:textId="77777777" w:rsidR="005C2D6F" w:rsidRPr="00F95519" w:rsidRDefault="005C2D6F" w:rsidP="005C2D6F">
      <w:pPr>
        <w:pStyle w:val="EndNoteBibliography"/>
        <w:rPr>
          <w:szCs w:val="20"/>
        </w:rPr>
      </w:pPr>
    </w:p>
    <w:p w14:paraId="520637A7" w14:textId="77777777" w:rsidR="005C2D6F" w:rsidRPr="00F95519" w:rsidRDefault="005C2D6F" w:rsidP="005C2D6F">
      <w:pPr>
        <w:pStyle w:val="EndNoteBibliography"/>
        <w:rPr>
          <w:szCs w:val="20"/>
        </w:rPr>
      </w:pPr>
    </w:p>
    <w:p w14:paraId="5391D7C2" w14:textId="77777777" w:rsidR="005C2D6F" w:rsidRPr="00F95519" w:rsidRDefault="005C2D6F" w:rsidP="005C2D6F">
      <w:pPr>
        <w:pStyle w:val="EndNoteBibliography"/>
        <w:rPr>
          <w:szCs w:val="20"/>
        </w:rPr>
      </w:pPr>
    </w:p>
    <w:p w14:paraId="1D0F225E" w14:textId="77777777" w:rsidR="005C2D6F" w:rsidRPr="00F95519" w:rsidRDefault="005C2D6F" w:rsidP="005C2D6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0FF3C7" w14:textId="5BF11776" w:rsidR="00A80746" w:rsidRPr="00F95519" w:rsidRDefault="00A80746" w:rsidP="00B81DB7">
      <w:pPr>
        <w:pStyle w:val="EndNoteBibliography"/>
        <w:rPr>
          <w:b/>
          <w:bCs/>
          <w:szCs w:val="20"/>
        </w:rPr>
      </w:pPr>
      <w:r w:rsidRPr="00F95519">
        <w:rPr>
          <w:b/>
          <w:bCs/>
          <w:szCs w:val="20"/>
        </w:rPr>
        <w:t>References</w:t>
      </w:r>
    </w:p>
    <w:p w14:paraId="427753E9" w14:textId="0E75E2E1" w:rsidR="003B6782" w:rsidRPr="003B6782" w:rsidRDefault="0081468E" w:rsidP="0081468E">
      <w:pPr>
        <w:pStyle w:val="EndNoteBibliography"/>
        <w:spacing w:after="0"/>
        <w:ind w:left="720" w:hanging="720"/>
      </w:pPr>
      <w:r w:rsidRPr="0081468E">
        <w:rPr>
          <w:szCs w:val="20"/>
        </w:rPr>
        <w:t>Australian Bureau of Meteorology. 2022. Climate data online. </w:t>
      </w:r>
      <w:hyperlink r:id="rId7" w:history="1">
        <w:r w:rsidRPr="0007213D">
          <w:rPr>
            <w:rStyle w:val="Hyperlink"/>
            <w:szCs w:val="20"/>
          </w:rPr>
          <w:t>http://www.bom.gov.au/climate/data/index.shtml</w:t>
        </w:r>
      </w:hyperlink>
      <w:r w:rsidR="00671A4A">
        <w:rPr>
          <w:szCs w:val="20"/>
        </w:rPr>
        <w:fldChar w:fldCharType="begin"/>
      </w:r>
      <w:r w:rsidR="00671A4A">
        <w:rPr>
          <w:szCs w:val="20"/>
        </w:rPr>
        <w:instrText xml:space="preserve"> ADDIN EN.REFLIST </w:instrText>
      </w:r>
      <w:r w:rsidR="00671A4A">
        <w:rPr>
          <w:szCs w:val="20"/>
        </w:rPr>
        <w:fldChar w:fldCharType="separate"/>
      </w:r>
    </w:p>
    <w:p w14:paraId="5F615131" w14:textId="02F5FB2F" w:rsidR="003B6782" w:rsidRPr="003B6782" w:rsidRDefault="003B6782" w:rsidP="003B6782">
      <w:pPr>
        <w:pStyle w:val="EndNoteBibliography"/>
        <w:ind w:left="720" w:hanging="720"/>
      </w:pPr>
      <w:r w:rsidRPr="003B6782">
        <w:t xml:space="preserve">Krosch MN, Strutt F, Blacket MJ et al. Development of internal COI primers to improve and extend barcoding of fruit flies (Diptera: Tephritidae: Dacini). Insect Science. 2020:27(143–158. </w:t>
      </w:r>
      <w:hyperlink r:id="rId8" w:history="1">
        <w:r w:rsidRPr="003B6782">
          <w:rPr>
            <w:rStyle w:val="Hyperlink"/>
          </w:rPr>
          <w:t>https://doi.org/https://doi-org.ezp01.library.qut.edu.au/10.1111/1744-7917.12612</w:t>
        </w:r>
      </w:hyperlink>
      <w:r w:rsidRPr="003B6782">
        <w:t>.</w:t>
      </w:r>
    </w:p>
    <w:p w14:paraId="05A00064" w14:textId="465253B0" w:rsidR="00A80746" w:rsidRDefault="00671A4A" w:rsidP="00B81DB7">
      <w:pPr>
        <w:pStyle w:val="EndNoteBibliography"/>
        <w:rPr>
          <w:szCs w:val="20"/>
        </w:rPr>
      </w:pPr>
      <w:r>
        <w:rPr>
          <w:szCs w:val="20"/>
        </w:rPr>
        <w:fldChar w:fldCharType="end"/>
      </w:r>
    </w:p>
    <w:p w14:paraId="663BB772" w14:textId="77777777" w:rsidR="00A80746" w:rsidRDefault="00A80746" w:rsidP="00B81DB7">
      <w:pPr>
        <w:pStyle w:val="EndNoteBibliography"/>
        <w:rPr>
          <w:szCs w:val="20"/>
        </w:rPr>
      </w:pPr>
    </w:p>
    <w:p w14:paraId="1BF97652" w14:textId="77777777" w:rsidR="00A80746" w:rsidRDefault="00A80746" w:rsidP="00B81DB7">
      <w:pPr>
        <w:pStyle w:val="EndNoteBibliography"/>
        <w:rPr>
          <w:szCs w:val="20"/>
        </w:rPr>
      </w:pPr>
    </w:p>
    <w:p w14:paraId="4C3CDC77" w14:textId="77777777" w:rsidR="00A80746" w:rsidRPr="00137C6E" w:rsidRDefault="00A80746" w:rsidP="00B81DB7">
      <w:pPr>
        <w:pStyle w:val="EndNoteBibliography"/>
        <w:rPr>
          <w:szCs w:val="20"/>
        </w:rPr>
      </w:pPr>
    </w:p>
    <w:p w14:paraId="55E28F4E" w14:textId="77777777" w:rsidR="00EA69FD" w:rsidRDefault="00EA69FD" w:rsidP="006D546B">
      <w:pPr>
        <w:pStyle w:val="EndNoteBibliography"/>
      </w:pPr>
    </w:p>
    <w:sectPr w:rsidR="00EA69FD" w:rsidSect="00A649C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11AEE"/>
    <w:multiLevelType w:val="multilevel"/>
    <w:tmpl w:val="0114B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98037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tomological Society of America According to the Editor in Chief, for Geof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xxtd2e3fp00re0er7v20w49r99a0ta20e9&quot;&gt;My EndNote Library-Converted&lt;record-ids&gt;&lt;item&gt;214&lt;/item&gt;&lt;item&gt;215&lt;/item&gt;&lt;/record-ids&gt;&lt;/item&gt;&lt;/Libraries&gt;"/>
  </w:docVars>
  <w:rsids>
    <w:rsidRoot w:val="00A80746"/>
    <w:rsid w:val="000064A0"/>
    <w:rsid w:val="00020611"/>
    <w:rsid w:val="00040A3F"/>
    <w:rsid w:val="00042B4A"/>
    <w:rsid w:val="000558C5"/>
    <w:rsid w:val="00065B46"/>
    <w:rsid w:val="000B5CEF"/>
    <w:rsid w:val="000C5247"/>
    <w:rsid w:val="000C661B"/>
    <w:rsid w:val="000F04FE"/>
    <w:rsid w:val="00102768"/>
    <w:rsid w:val="001049D0"/>
    <w:rsid w:val="001217D3"/>
    <w:rsid w:val="00137C6E"/>
    <w:rsid w:val="00147F55"/>
    <w:rsid w:val="001644D4"/>
    <w:rsid w:val="00173987"/>
    <w:rsid w:val="00175C99"/>
    <w:rsid w:val="00187870"/>
    <w:rsid w:val="00192A8E"/>
    <w:rsid w:val="001C1846"/>
    <w:rsid w:val="002005BB"/>
    <w:rsid w:val="00210A42"/>
    <w:rsid w:val="00211CD0"/>
    <w:rsid w:val="002213DF"/>
    <w:rsid w:val="00231BFF"/>
    <w:rsid w:val="00235D9C"/>
    <w:rsid w:val="00241790"/>
    <w:rsid w:val="00286C00"/>
    <w:rsid w:val="0029002E"/>
    <w:rsid w:val="002A2A82"/>
    <w:rsid w:val="002A2AF1"/>
    <w:rsid w:val="002A45CE"/>
    <w:rsid w:val="002B2447"/>
    <w:rsid w:val="002B3105"/>
    <w:rsid w:val="002C2149"/>
    <w:rsid w:val="002F2547"/>
    <w:rsid w:val="002F4804"/>
    <w:rsid w:val="00300AD1"/>
    <w:rsid w:val="00301B02"/>
    <w:rsid w:val="00316BB0"/>
    <w:rsid w:val="00335701"/>
    <w:rsid w:val="00346803"/>
    <w:rsid w:val="003653DF"/>
    <w:rsid w:val="00372CD4"/>
    <w:rsid w:val="00394F47"/>
    <w:rsid w:val="003A05A0"/>
    <w:rsid w:val="003B6782"/>
    <w:rsid w:val="003C29EE"/>
    <w:rsid w:val="003C7B1A"/>
    <w:rsid w:val="003E3987"/>
    <w:rsid w:val="004467C8"/>
    <w:rsid w:val="00447CA6"/>
    <w:rsid w:val="004779A7"/>
    <w:rsid w:val="004B4205"/>
    <w:rsid w:val="004D05C2"/>
    <w:rsid w:val="004D2836"/>
    <w:rsid w:val="004F0A84"/>
    <w:rsid w:val="0050365C"/>
    <w:rsid w:val="00531813"/>
    <w:rsid w:val="00546FCB"/>
    <w:rsid w:val="0055101E"/>
    <w:rsid w:val="00565466"/>
    <w:rsid w:val="00580A25"/>
    <w:rsid w:val="00580FBC"/>
    <w:rsid w:val="00596375"/>
    <w:rsid w:val="005A4F42"/>
    <w:rsid w:val="005C2D6F"/>
    <w:rsid w:val="005C35B9"/>
    <w:rsid w:val="005D31E7"/>
    <w:rsid w:val="005E7405"/>
    <w:rsid w:val="00604546"/>
    <w:rsid w:val="00630EB2"/>
    <w:rsid w:val="00632216"/>
    <w:rsid w:val="00633932"/>
    <w:rsid w:val="00662ED5"/>
    <w:rsid w:val="00671A4A"/>
    <w:rsid w:val="00683999"/>
    <w:rsid w:val="00685FA4"/>
    <w:rsid w:val="006B630B"/>
    <w:rsid w:val="006D546B"/>
    <w:rsid w:val="00721FA7"/>
    <w:rsid w:val="00754719"/>
    <w:rsid w:val="00762C40"/>
    <w:rsid w:val="00791CF7"/>
    <w:rsid w:val="007C4902"/>
    <w:rsid w:val="007C5AF2"/>
    <w:rsid w:val="007C616C"/>
    <w:rsid w:val="007D27B9"/>
    <w:rsid w:val="007D4CE2"/>
    <w:rsid w:val="007E308D"/>
    <w:rsid w:val="0081266C"/>
    <w:rsid w:val="00813297"/>
    <w:rsid w:val="0081468E"/>
    <w:rsid w:val="00825C7F"/>
    <w:rsid w:val="008551A5"/>
    <w:rsid w:val="00862177"/>
    <w:rsid w:val="008C2344"/>
    <w:rsid w:val="008D433A"/>
    <w:rsid w:val="008E32B6"/>
    <w:rsid w:val="008F228F"/>
    <w:rsid w:val="008F3152"/>
    <w:rsid w:val="00903995"/>
    <w:rsid w:val="00914C8E"/>
    <w:rsid w:val="0093404B"/>
    <w:rsid w:val="0094022C"/>
    <w:rsid w:val="0094687F"/>
    <w:rsid w:val="00947662"/>
    <w:rsid w:val="00981104"/>
    <w:rsid w:val="00984A6E"/>
    <w:rsid w:val="009901B5"/>
    <w:rsid w:val="00A26F46"/>
    <w:rsid w:val="00A47324"/>
    <w:rsid w:val="00A649CF"/>
    <w:rsid w:val="00A76CC6"/>
    <w:rsid w:val="00A80746"/>
    <w:rsid w:val="00A9527C"/>
    <w:rsid w:val="00AA2369"/>
    <w:rsid w:val="00AA5360"/>
    <w:rsid w:val="00AD3BDE"/>
    <w:rsid w:val="00AE269B"/>
    <w:rsid w:val="00B047E1"/>
    <w:rsid w:val="00B133B7"/>
    <w:rsid w:val="00B53AE8"/>
    <w:rsid w:val="00B71F43"/>
    <w:rsid w:val="00B81DB7"/>
    <w:rsid w:val="00B90D20"/>
    <w:rsid w:val="00B94317"/>
    <w:rsid w:val="00BA3DFA"/>
    <w:rsid w:val="00BA65D8"/>
    <w:rsid w:val="00BB45A2"/>
    <w:rsid w:val="00C13A3D"/>
    <w:rsid w:val="00C31B3E"/>
    <w:rsid w:val="00C46501"/>
    <w:rsid w:val="00C565F2"/>
    <w:rsid w:val="00C56A9F"/>
    <w:rsid w:val="00C63186"/>
    <w:rsid w:val="00C85C89"/>
    <w:rsid w:val="00CB540B"/>
    <w:rsid w:val="00CD39F3"/>
    <w:rsid w:val="00CE57E4"/>
    <w:rsid w:val="00CF1372"/>
    <w:rsid w:val="00CF5365"/>
    <w:rsid w:val="00D017BB"/>
    <w:rsid w:val="00D04DBA"/>
    <w:rsid w:val="00D0735A"/>
    <w:rsid w:val="00D12AD1"/>
    <w:rsid w:val="00D161F1"/>
    <w:rsid w:val="00D64F57"/>
    <w:rsid w:val="00D82957"/>
    <w:rsid w:val="00D8422E"/>
    <w:rsid w:val="00DD5EDA"/>
    <w:rsid w:val="00DF036E"/>
    <w:rsid w:val="00E12C6F"/>
    <w:rsid w:val="00E147F0"/>
    <w:rsid w:val="00E43349"/>
    <w:rsid w:val="00E57DA4"/>
    <w:rsid w:val="00E7353D"/>
    <w:rsid w:val="00EA0CCF"/>
    <w:rsid w:val="00EA69FD"/>
    <w:rsid w:val="00EB5421"/>
    <w:rsid w:val="00EC0363"/>
    <w:rsid w:val="00ED00F0"/>
    <w:rsid w:val="00ED3999"/>
    <w:rsid w:val="00EE17C1"/>
    <w:rsid w:val="00EE4DE2"/>
    <w:rsid w:val="00F4463A"/>
    <w:rsid w:val="00F54D66"/>
    <w:rsid w:val="00F76CF9"/>
    <w:rsid w:val="00F871F2"/>
    <w:rsid w:val="00F93C13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196F"/>
  <w15:chartTrackingRefBased/>
  <w15:docId w15:val="{057C7BEA-0D95-43A3-B1F2-5745A4E6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746"/>
    <w:rPr>
      <w:kern w:val="0"/>
      <w:sz w:val="20"/>
      <w:szCs w:val="20"/>
      <w14:ligatures w14:val="none"/>
    </w:rPr>
  </w:style>
  <w:style w:type="table" w:styleId="ListTable6Colorful">
    <w:name w:val="List Table 6 Colorful"/>
    <w:basedOn w:val="TableNormal"/>
    <w:uiPriority w:val="51"/>
    <w:rsid w:val="00A80746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Classic1">
    <w:name w:val="Table Classic 1"/>
    <w:basedOn w:val="TableNormal"/>
    <w:rsid w:val="00A807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746"/>
    <w:rPr>
      <w:b/>
      <w:bCs/>
      <w:kern w:val="0"/>
      <w:sz w:val="20"/>
      <w:szCs w:val="2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A80746"/>
    <w:pPr>
      <w:spacing w:after="0"/>
      <w:jc w:val="center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80746"/>
    <w:rPr>
      <w:rFonts w:ascii="Times New Roman" w:hAnsi="Times New Roman" w:cs="Times New Roman"/>
      <w:noProof/>
      <w:kern w:val="0"/>
      <w:sz w:val="2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80746"/>
    <w:pPr>
      <w:spacing w:line="240" w:lineRule="auto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80746"/>
    <w:rPr>
      <w:rFonts w:ascii="Times New Roman" w:hAnsi="Times New Roman" w:cs="Times New Roman"/>
      <w:noProof/>
      <w:kern w:val="0"/>
      <w:sz w:val="20"/>
      <w:lang w:val="en-US"/>
      <w14:ligatures w14:val="none"/>
    </w:rPr>
  </w:style>
  <w:style w:type="table" w:styleId="GridTable1Light">
    <w:name w:val="Grid Table 1 Light"/>
    <w:basedOn w:val="TableNormal"/>
    <w:uiPriority w:val="46"/>
    <w:rsid w:val="00A8074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8074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807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746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A8074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07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546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https://doi-org.ezp01.library.qut.edu.au/10.1111/1744-7917.126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m.gov.au/climate/data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EA3B-F10C-4378-892C-55044155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Fowler</dc:creator>
  <cp:keywords/>
  <dc:description/>
  <cp:lastModifiedBy>Elizabeth Fowler</cp:lastModifiedBy>
  <cp:revision>3</cp:revision>
  <dcterms:created xsi:type="dcterms:W3CDTF">2024-08-20T02:20:00Z</dcterms:created>
  <dcterms:modified xsi:type="dcterms:W3CDTF">2024-08-20T02:21:00Z</dcterms:modified>
</cp:coreProperties>
</file>